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firstLine="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9,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September 9, 2024</w:t>
      </w: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September 9,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Bitfarms Reschedules Special Meeting of Shareholders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Provides Update on Engagement with Riot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Special Meeting to be Held In-Person -</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ind w:hanging="1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 </w:t>
      </w:r>
      <w:r>
        <w:rPr>
          <w:rFonts w:ascii="Times New Roman" w:cs="Times New Roman" w:eastAsia="Times New Roman" w:hAnsi="Times New Roman"/>
          <w:sz w:val="18"/>
          <w:szCs w:val="18"/>
          <w:color w:val="auto"/>
        </w:rPr>
        <w:t>September 9, 2024 - Bitfarms Ltd. (NASDAQ/TSX: BITF)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global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vertically integrated Bitcoin data center operations, today announced that it has rescheduled the Special Meeting of shareholders (the “Special Meeting”) from October 29, 2024 to November 6, 2024. The Special Meeting has been called in response to a requisition made by Riot Platforms, Inc. (“Riot”) on June 24, 2024 and amended on September 3, 2024 (the “</w:t>
      </w:r>
      <w:r>
        <w:rPr>
          <w:rFonts w:ascii="Times New Roman" w:cs="Times New Roman" w:eastAsia="Times New Roman" w:hAnsi="Times New Roman"/>
          <w:sz w:val="18"/>
          <w:szCs w:val="18"/>
          <w:b w:val="1"/>
          <w:bCs w:val="1"/>
          <w:color w:val="auto"/>
        </w:rPr>
        <w:t>Amended Requisition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2194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160" w:lineRule="exact"/>
        <w:rPr>
          <w:sz w:val="20"/>
          <w:szCs w:val="20"/>
          <w:color w:val="auto"/>
        </w:rPr>
      </w:pPr>
    </w:p>
    <w:p>
      <w:pPr>
        <w:ind w:right="60" w:hanging="9"/>
        <w:spacing w:after="0" w:line="312" w:lineRule="auto"/>
        <w:rPr>
          <w:sz w:val="20"/>
          <w:szCs w:val="20"/>
          <w:color w:val="auto"/>
        </w:rPr>
      </w:pPr>
      <w:r>
        <w:rPr>
          <w:rFonts w:ascii="Times New Roman" w:cs="Times New Roman" w:eastAsia="Times New Roman" w:hAnsi="Times New Roman"/>
          <w:sz w:val="17"/>
          <w:szCs w:val="17"/>
          <w:color w:val="auto"/>
        </w:rPr>
        <w:t>The Special Meeting was rescheduled to provide the Bitfarms Special Committee adequate time to review and respond to Riot’s Amended Requisition and provide shareholders with sufficient time to evaluate the information relevant to this voting decision regarding the future of their investment in Bitfarms.</w:t>
      </w:r>
    </w:p>
    <w:p>
      <w:pPr>
        <w:spacing w:after="0" w:line="140" w:lineRule="exact"/>
        <w:rPr>
          <w:sz w:val="20"/>
          <w:szCs w:val="20"/>
          <w:color w:val="auto"/>
        </w:rPr>
      </w:pPr>
    </w:p>
    <w:p>
      <w:pPr>
        <w:ind w:hanging="9"/>
        <w:spacing w:after="0" w:line="256" w:lineRule="auto"/>
        <w:rPr>
          <w:sz w:val="20"/>
          <w:szCs w:val="20"/>
          <w:color w:val="auto"/>
        </w:rPr>
      </w:pPr>
      <w:r>
        <w:rPr>
          <w:rFonts w:ascii="Times New Roman" w:cs="Times New Roman" w:eastAsia="Times New Roman" w:hAnsi="Times New Roman"/>
          <w:sz w:val="18"/>
          <w:szCs w:val="18"/>
          <w:color w:val="auto"/>
        </w:rPr>
        <w:t>The Bitfarms Board is focused on acting in the best interests of ALL Bitfarms shareholders. On the contrary, it is clear that Riot, as a direct competitor to Bitfarms, is only focused on taking steps to support its shareholders, not Bitfarms or its shareholders. Recognizing the high costs and distraction associated with a proxy contest, the Bitfarms Special Committee continues to seek to engage constructively with Riot in an effort to resolve the Amended Requisition so that Bitfarms need not expend its cash resources to protect the interests of its shareholders against the actions of Riot. To that end, the Bitfarms Special Committee has proposed the following terms set out in a settlement agreement forwarded to Riot: the addition of one mutually agreed upon Board nominee resulting in an increase of the size of the Board to six, and standstill and other customary provisions.</w:t>
      </w:r>
    </w:p>
    <w:p>
      <w:pPr>
        <w:spacing w:after="0" w:line="187" w:lineRule="exact"/>
        <w:rPr>
          <w:sz w:val="20"/>
          <w:szCs w:val="20"/>
          <w:color w:val="auto"/>
        </w:rPr>
      </w:pPr>
    </w:p>
    <w:p>
      <w:pPr>
        <w:ind w:right="260" w:hanging="9"/>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in-person; however, shareholders who will not be attending the Special Meeting in person will have the opportunity to listen through a live audio-only webcast. Shareholders entitled to vote at the Special Meeting will receive detailed information about the Amended Requisition as well as other matters to be voted on at the Special Meeting in the form of a management information circular in advance of the Special Meeting. Bitfarms’ shareholders do not need to take any action at this time.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4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9" w:lineRule="exact"/>
        <w:rPr>
          <w:sz w:val="20"/>
          <w:szCs w:val="20"/>
          <w:color w:val="auto"/>
        </w:rPr>
      </w:pPr>
    </w:p>
    <w:p>
      <w:pPr>
        <w:ind w:right="16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right="16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234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date of the Special Meeting, expenditure of cash resources of the Company, sufficient time to evaluate the information relevant to shareholders’ voting decision and constructive engagement with Riot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the conduct and actions of Riot and risks relating to the operations and business of the Company. For further information concerning these and other risks and uncertainties, refer to the Company’s filings on www.sedarplus.ca (which are also available on the website of the U.S. Securities and Exchange Commission at www.sec.gov), including the MD&amp;A for the year-ended December 31, 2023, filed on March 7, 2024 and the MD&amp;A for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566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3566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2024-09-09T15:45:55Z</dcterms:created>
  <dcterms:modified xsi:type="dcterms:W3CDTF">2024-09-09T15:45:55Z</dcterms:modified>
</cp:coreProperties>
</file>