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For the month of April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00" w:lineRule="exact"/>
        <w:rPr>
          <w:sz w:val="20"/>
          <w:szCs w:val="20"/>
          <w:color w:val="auto"/>
        </w:rPr>
      </w:pPr>
    </w:p>
    <w:p>
      <w:pPr>
        <w:spacing w:after="0" w:line="24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April 7,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4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Description</w:t>
            </w:r>
          </w:p>
        </w:tc>
      </w:tr>
      <w:tr>
        <w:trPr>
          <w:trHeight w:val="190"/>
        </w:trPr>
        <w:tc>
          <w:tcPr>
            <w:tcW w:w="158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6"/>
                <w:szCs w:val="16"/>
                <w:color w:val="auto"/>
              </w:rPr>
            </w:pPr>
          </w:p>
        </w:tc>
        <w:tc>
          <w:tcPr>
            <w:tcW w:w="9540" w:type="dxa"/>
            <w:vAlign w:val="bottom"/>
            <w:tcBorders>
              <w:top w:val="single" w:sz="8" w:color="auto"/>
            </w:tcBorders>
            <w:gridSpan w:val="2"/>
            <w:shd w:val="clear" w:color="auto" w:fill="CCEEFF"/>
          </w:tcPr>
          <w:p>
            <w:pPr>
              <w:spacing w:after="0" w:line="169"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Material Change Report dated April 7, 2022</w:t>
              </w:r>
            </w:hyperlink>
          </w:p>
        </w:tc>
      </w:tr>
      <w:tr>
        <w:trPr>
          <w:trHeight w:val="574"/>
        </w:trPr>
        <w:tc>
          <w:tcPr>
            <w:tcW w:w="15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180" w:type="dxa"/>
            <w:vAlign w:val="bottom"/>
            <w:tcBorders>
              <w:top w:val="single" w:sz="8" w:color="0000EE"/>
              <w:bottom w:val="single" w:sz="8" w:color="auto"/>
            </w:tcBorders>
          </w:tcPr>
          <w:p>
            <w:pPr>
              <w:spacing w:after="0"/>
              <w:rPr>
                <w:sz w:val="24"/>
                <w:szCs w:val="24"/>
                <w:color w:val="auto"/>
              </w:rPr>
            </w:pPr>
          </w:p>
        </w:tc>
        <w:tc>
          <w:tcPr>
            <w:tcW w:w="63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17145</wp:posOffset>
            </wp:positionV>
            <wp:extent cx="24860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320"/>
        <w:spacing w:after="0"/>
        <w:tabs>
          <w:tab w:leader="none" w:pos="79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796"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1C4</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7, 2022.</w:t>
      </w:r>
    </w:p>
    <w:p>
      <w:pPr>
        <w:sectPr>
          <w:pgSz w:w="11900" w:h="16838" w:orient="portrait"/>
          <w:cols w:equalWidth="0" w:num="1">
            <w:col w:w="11240"/>
          </w:cols>
          <w:pgMar w:left="320" w:top="117"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ectPr>
          <w:pgSz w:w="11900" w:h="16838" w:orient="portrait"/>
          <w:cols w:equalWidth="0" w:num="2">
            <w:col w:w="580" w:space="720"/>
            <w:col w:w="994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April 7, 2022 by a newswire company in Canada.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ectPr>
          <w:pgSz w:w="11900" w:h="16838" w:orient="portrait"/>
          <w:cols w:equalWidth="0" w:num="1">
            <w:col w:w="11240"/>
          </w:cols>
          <w:pgMar w:left="320" w:top="117"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of subsection 7.1(2) of National Instrument 51-102</w:t>
      </w:r>
    </w:p>
    <w:p>
      <w:pPr>
        <w:spacing w:after="0" w:line="200" w:lineRule="exact"/>
        <w:rPr>
          <w:sz w:val="20"/>
          <w:szCs w:val="20"/>
          <w:color w:val="auto"/>
        </w:rPr>
      </w:pPr>
    </w:p>
    <w:p>
      <w:pPr>
        <w:sectPr>
          <w:pgSz w:w="11900" w:h="16838" w:orient="portrait"/>
          <w:cols w:equalWidth="0" w:num="2">
            <w:col w:w="580" w:space="720"/>
            <w:col w:w="994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17"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17"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154305</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Bitfarms Up-listing to the Toronto Stock Exchange</w:t>
      </w:r>
    </w:p>
    <w:p>
      <w:pPr>
        <w:spacing w:after="0" w:line="376" w:lineRule="exact"/>
        <w:rPr>
          <w:sz w:val="20"/>
          <w:szCs w:val="20"/>
          <w:color w:val="auto"/>
        </w:rPr>
      </w:pPr>
    </w:p>
    <w:p>
      <w:pPr>
        <w:ind w:left="660" w:right="880"/>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3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April 7, 2022)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 // TSXV: BITF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Bitcoin self-mining company, has received final approval for the listing of its common shares on the Toronto Stock Exchange (the “</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20" w:right="100" w:hanging="8"/>
        <w:spacing w:after="0" w:line="282" w:lineRule="auto"/>
        <w:rPr>
          <w:sz w:val="20"/>
          <w:szCs w:val="20"/>
          <w:color w:val="auto"/>
        </w:rPr>
      </w:pPr>
      <w:r>
        <w:rPr>
          <w:rFonts w:ascii="Times New Roman" w:cs="Times New Roman" w:eastAsia="Times New Roman" w:hAnsi="Times New Roman"/>
          <w:sz w:val="18"/>
          <w:szCs w:val="18"/>
          <w:color w:val="auto"/>
        </w:rPr>
        <w:t>The Company’s common shares will commence trading on the TSX effective market open on April 8, 2022. The Company’s common shares will cease trading on the TSX Venture Exchange concurrently with the commencement of trading on the TSX.</w:t>
      </w:r>
    </w:p>
    <w:p>
      <w:pPr>
        <w:spacing w:after="0" w:line="148" w:lineRule="exact"/>
        <w:rPr>
          <w:sz w:val="20"/>
          <w:szCs w:val="20"/>
          <w:color w:val="auto"/>
        </w:rPr>
      </w:pPr>
    </w:p>
    <w:p>
      <w:pPr>
        <w:jc w:val="both"/>
        <w:ind w:left="20" w:right="100"/>
        <w:spacing w:after="0" w:line="282" w:lineRule="auto"/>
        <w:rPr>
          <w:sz w:val="20"/>
          <w:szCs w:val="20"/>
          <w:color w:val="auto"/>
        </w:rPr>
      </w:pPr>
      <w:r>
        <w:rPr>
          <w:rFonts w:ascii="Times New Roman" w:cs="Times New Roman" w:eastAsia="Times New Roman" w:hAnsi="Times New Roman"/>
          <w:sz w:val="18"/>
          <w:szCs w:val="18"/>
          <w:color w:val="auto"/>
        </w:rPr>
        <w:t>The common shares will continue trading under the symbol “BITF” on both the Nasdaq and the TSX. No further action is required by Bitfarms shareholders.</w:t>
      </w:r>
    </w:p>
    <w:p>
      <w:pPr>
        <w:spacing w:after="0" w:line="162" w:lineRule="exact"/>
        <w:rPr>
          <w:sz w:val="20"/>
          <w:szCs w:val="20"/>
          <w:color w:val="auto"/>
        </w:rPr>
      </w:pPr>
    </w:p>
    <w:p>
      <w:pPr>
        <w:jc w:val="both"/>
        <w:ind w:left="20" w:right="100"/>
        <w:spacing w:after="0" w:line="261" w:lineRule="auto"/>
        <w:rPr>
          <w:sz w:val="20"/>
          <w:szCs w:val="20"/>
          <w:color w:val="auto"/>
        </w:rPr>
      </w:pPr>
      <w:r>
        <w:rPr>
          <w:rFonts w:ascii="Times New Roman" w:cs="Times New Roman" w:eastAsia="Times New Roman" w:hAnsi="Times New Roman"/>
          <w:sz w:val="18"/>
          <w:szCs w:val="18"/>
          <w:color w:val="auto"/>
        </w:rPr>
        <w:t>“A listing on Canada’s premier stock exchange provides us with exposure to a broad new investor base and promises greater visibility, liquidity and access to capital for the Company,” said Nicolas Bonta, Bitfarms Founder and Executive Chairman. “As we continue to execute on our global expansion strategy, we thank our shareholders for their ongoing support and congratulate our management team on this milestone, which complements our existing US Nasdaq listing with a premier exchange listing in Canada.”</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ind w:left="20" w:right="100" w:hanging="8"/>
        <w:spacing w:after="0" w:line="282" w:lineRule="auto"/>
        <w:rPr>
          <w:sz w:val="20"/>
          <w:szCs w:val="20"/>
          <w:color w:val="auto"/>
        </w:rPr>
      </w:pPr>
      <w:r>
        <w:rPr>
          <w:rFonts w:ascii="Times New Roman" w:cs="Times New Roman" w:eastAsia="Times New Roman" w:hAnsi="Times New Roman"/>
          <w:sz w:val="18"/>
          <w:szCs w:val="18"/>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62" w:lineRule="exact"/>
        <w:rPr>
          <w:sz w:val="20"/>
          <w:szCs w:val="20"/>
          <w:color w:val="auto"/>
        </w:rPr>
      </w:pPr>
    </w:p>
    <w:p>
      <w:pPr>
        <w:jc w:val="both"/>
        <w:ind w:left="20" w:right="100" w:hanging="10"/>
        <w:spacing w:after="0" w:line="258" w:lineRule="auto"/>
        <w:rPr>
          <w:sz w:val="20"/>
          <w:szCs w:val="20"/>
          <w:color w:val="auto"/>
        </w:rPr>
      </w:pPr>
      <w:r>
        <w:rPr>
          <w:rFonts w:ascii="Times New Roman" w:cs="Times New Roman" w:eastAsia="Times New Roman" w:hAnsi="Times New Roman"/>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Venture 50 Winner, placing first in the Technology sector. On April 8, 2022, Bitfarms will up-list from the TSX-V to the TSX.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351155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6" w:right="339" w:bottom="1440" w:gutter="0" w:footer="0" w:header="0"/>
        </w:sectPr>
      </w:pPr>
    </w:p>
    <w:bookmarkStart w:id="5" w:name="page6"/>
    <w:bookmarkEnd w:id="5"/>
    <w:p>
      <w:pPr>
        <w:jc w:val="both"/>
        <w:ind w:hanging="10"/>
        <w:spacing w:after="0" w:line="266" w:lineRule="auto"/>
        <w:rPr>
          <w:sz w:val="20"/>
          <w:szCs w:val="20"/>
          <w:color w:val="auto"/>
        </w:rPr>
      </w:pPr>
      <w:r>
        <w:rPr>
          <w:rFonts w:ascii="Times New Roman" w:cs="Times New Roman" w:eastAsia="Times New Roman" w:hAnsi="Times New Roman"/>
          <w:sz w:val="18"/>
          <w:szCs w:val="18"/>
          <w:color w:val="auto"/>
        </w:rPr>
        <w:t>Operationally, Bitfarms has a diversified production platform with seven industrial scale facilities located in Québec, one in Washington state, and one in Paraguay. Each facility is over 99% powered with environmentally friendly hydro power and secured with long- term power contracts. Bitfarms is currently the only publicly traded pure-play mining company audited by a Big Four accounting firm.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ind w:hanging="8"/>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41" w:lineRule="exact"/>
        <w:rPr>
          <w:sz w:val="20"/>
          <w:szCs w:val="20"/>
          <w:color w:val="auto"/>
        </w:rPr>
      </w:pPr>
    </w:p>
    <w:p>
      <w:pPr>
        <w:jc w:val="both"/>
        <w:ind w:hanging="8"/>
        <w:spacing w:after="0" w:line="272" w:lineRule="auto"/>
        <w:rPr>
          <w:sz w:val="20"/>
          <w:szCs w:val="20"/>
          <w:color w:val="auto"/>
        </w:rPr>
      </w:pPr>
      <w:r>
        <w:rPr>
          <w:rFonts w:ascii="Times New Roman" w:cs="Times New Roman" w:eastAsia="Times New Roman" w:hAnsi="Times New Roman"/>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information in this release regarding expectations in respect to the benefits of listing on the Toronto Stock Exchange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215265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796" w:right="439" w:bottom="1440" w:gutter="0" w:footer="0" w:header="0"/>
        </w:sectPr>
      </w:pPr>
    </w:p>
    <w:bookmarkStart w:id="6" w:name="page7"/>
    <w:bookmarkEnd w:id="6"/>
    <w:p>
      <w:pPr>
        <w:jc w:val="both"/>
        <w:ind w:hanging="8"/>
        <w:spacing w:after="0" w:line="251" w:lineRule="auto"/>
        <w:rPr>
          <w:sz w:val="20"/>
          <w:szCs w:val="20"/>
          <w:color w:val="auto"/>
        </w:rPr>
      </w:pPr>
      <w:r>
        <w:rPr>
          <w:rFonts w:ascii="Times New Roman" w:cs="Times New Roman" w:eastAsia="Times New Roman" w:hAnsi="Times New Roman"/>
          <w:sz w:val="18"/>
          <w:szCs w:val="18"/>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YAP Global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 Grodsky, Account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mia@yapglobal.com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Ryan Affaires publiques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Valérie Pomerleau, Public Affairs and Communications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417195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20"/>
      </w:cols>
      <w:pgMar w:left="440" w:top="79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2022-04-07T15:07:11Z</dcterms:created>
  <dcterms:modified xsi:type="dcterms:W3CDTF">2022-04-07T15:07:11Z</dcterms:modified>
</cp:coreProperties>
</file>