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3"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FORM 6-K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0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45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10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9,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151130</wp:posOffset>
            </wp:positionV>
            <wp:extent cx="2434590"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Bitfarms Expands Leadership Team with Seasoned U.S. Industry Experts to Support HPC/AI Infrastructure Development</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New York, New York (March 9, 2026) </w:t>
      </w:r>
      <w:r>
        <w:rPr>
          <w:rFonts w:ascii="Times New Roman" w:cs="Times New Roman" w:eastAsia="Times New Roman" w:hAnsi="Times New Roman"/>
          <w:sz w:val="18"/>
          <w:szCs w:val="18"/>
          <w:color w:val="auto"/>
        </w:rPr>
        <w:t>- Bitfarms Ltd. (NASDAQ/TSX: BITF), a North American digital infrastructure and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a series of strategic hires across its infrastructure and corporate teams. These additions bring deep expertise in power development, large-scale construction, permitting, and corporate scaling as Bitfarms accelerates build-outs across its portfolio.</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excited to welcome Tara, Michael, Christopher, Paul, Kevin, and Tom to our leadership team,” said CEO Ben Gagnon. “As we continue toward U.S. domiciliation and advance our sites, building a seasoned domestic leadership bench is essential. Our recent hires bring substantial industry experience, with an average of more than 20 years in digital and power infrastructure and extensive backgrounds in complex construction and specialized HPC data center development. Our new leaders will be based out of our New York office, positioning us to operate with greater coordination and focus as we enter the next phase of our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Leadership Strengthened to Advance HPC/AI Development</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Byrne </w:t>
      </w:r>
      <w:r>
        <w:rPr>
          <w:rFonts w:ascii="Times New Roman" w:cs="Times New Roman" w:eastAsia="Times New Roman" w:hAnsi="Times New Roman"/>
          <w:sz w:val="18"/>
          <w:szCs w:val="18"/>
          <w:color w:val="auto"/>
        </w:rPr>
        <w:t>joins as Senior Vice President of Construction. Michael brings a decade of hyperscale data center project delivery experience across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South America and Europe. Michael’s career includes leadership roles at Linesight and Aurecon where he oversaw significant hyperscale development programs, leading program management, multi-region execution, commercial governance, contractor oversight, and lifecycle delivery from concept through commissioning. At Bitfarms, he will lead end-to-end construction execution for our HPC/AI data center development portfolio, applying his proven ability to manage megaproject portfolios.</w:t>
      </w:r>
    </w:p>
    <w:p>
      <w:pPr>
        <w:spacing w:after="0" w:line="1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Christopher Ruppel </w:t>
      </w:r>
      <w:r>
        <w:rPr>
          <w:rFonts w:ascii="Times New Roman" w:cs="Times New Roman" w:eastAsia="Times New Roman" w:hAnsi="Times New Roman"/>
          <w:sz w:val="18"/>
          <w:szCs w:val="18"/>
          <w:color w:val="auto"/>
        </w:rPr>
        <w:t>joins as Senior Vice President of Power. Chris brings more than two decades of experience bridging advanced compute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energy systems optimization. Chris has led development strategies spanning onsite power, grid-connected assets, and gas-to-power solutions for high-density AI and edge-compute environments. His track record includes originating and developing 4 GW of energy projects globally, structuring billions of dollars in project financings, and advising data center operators on resilient, commercially optimized energy strategies. Chris joins Bitfarms from MARA Holdings, where he served as Head of Energy Development. At MARA, he led the strategy for the Digital Energy division, focusing on behind-the-meter power, thermal strategies, and demand-response initiatives.</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Paul Peterson </w:t>
      </w:r>
      <w:r>
        <w:rPr>
          <w:rFonts w:ascii="Times New Roman" w:cs="Times New Roman" w:eastAsia="Times New Roman" w:hAnsi="Times New Roman"/>
          <w:sz w:val="18"/>
          <w:szCs w:val="18"/>
          <w:color w:val="auto"/>
        </w:rPr>
        <w:t>joins Bitfarms as Vice President of HPC Operations. Paul brings nearly two decades of deep expertise in data centers, critical environments,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engineering services and operations. His career includes senior leadership roles at JLL Global and CBRE, where he oversaw large-scale engineering projects, guided complex infrastructure strategies, advanced global assessment and compliance programs, and drove operational excellence for enterprise, colocation, and hyperscale clients. With a foundation that spans hands-on engineering, facility management, auditing, and strategic technical leadership, Paul has repeatedly served as a trusted advisor to stakeholders—translating technical risk into business impact, strengthening reliability programs, and shaping industry-leading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Kevin Roberts </w:t>
      </w:r>
      <w:r>
        <w:rPr>
          <w:rFonts w:ascii="Times New Roman" w:cs="Times New Roman" w:eastAsia="Times New Roman" w:hAnsi="Times New Roman"/>
          <w:sz w:val="18"/>
          <w:szCs w:val="18"/>
          <w:color w:val="auto"/>
        </w:rPr>
        <w:t>joins Bitfarms as Director of Permitting. Kevin has over two decades of experience as a senior project development, environmental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leader across energy infrastructure, utilities, and hyperscale data centers. He has directed multi-million development portfolios and led permitting and compliance for over 50 natural gas facilities, more than 1,000 miles of pipeline, and multiple utility-scale data center developments across the United States. In his role at Bitfarms, he will utilize his expertise in environmental compliance, site selection, utilities coordination, and multidisciplinary project management to ensure Bitfarms’ HPC/AI campuses progress efficiently through federal, state, and local approval processes.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Additions to Corporate Leadership</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Tara Goldstein </w:t>
      </w:r>
      <w:r>
        <w:rPr>
          <w:rFonts w:ascii="Times New Roman" w:cs="Times New Roman" w:eastAsia="Times New Roman" w:hAnsi="Times New Roman"/>
          <w:sz w:val="18"/>
          <w:szCs w:val="18"/>
          <w:color w:val="auto"/>
        </w:rPr>
        <w:t>has been appointed Senior Vice President of Marketing. Tara is responsible for building and leading Bitfarms’ global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function, overseeing brand strategy, corporate narrative, digital presence, and enterprise-wide positioning. Tara has over two decades of experience leading strategy, storytelling, and placemaking for high-profile real estate and technology-driven companies. Before leading a full-service creative agency, she served as Senior Vice President of Marketing at Brookfield Properties, overseeing marketing for their 98-million-square-foot global office, retail, and residential portfolio. During her tenure, she led the rebrand and repositioning of Brookfield Place New York, the multi-phased Manhattan West development, and numerous other award-winning initiatives.</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Thomas Tyree III </w:t>
      </w:r>
      <w:r>
        <w:rPr>
          <w:rFonts w:ascii="Times New Roman" w:cs="Times New Roman" w:eastAsia="Times New Roman" w:hAnsi="Times New Roman"/>
          <w:sz w:val="18"/>
          <w:szCs w:val="18"/>
          <w:color w:val="auto"/>
        </w:rPr>
        <w:t>has been appointed Senior Vice President, Finance &amp; Strategy at Bitfarms. Tom leads financial and strategic initiatives supporting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Bitfarms’ HPC/AI transition, including capital markets activities, capital allocation, and strategic partnerships. He brings extensive experience in corporate finance, financial analysis, and execution of complex transactions across energy, power, and infrastructure. Prior to Bitfarms, Tom was a member of the executive leadership team at Stronghold Digital Mining, where he led the company’s initial public offering, several structured financings, and the strategic review process that led to Stronghold’s sale to Bitfarms. Before Stronghold, Tom worked at Riverstone Holdings, a $40 billion asset-management firm focused on energy, power, and infrastructure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Bitfarms is a North American digital infrastructure and energy company that develops, owns, and operates data centers and energy infrastructure for high-performance computing and next-generation-technology applications, including artificial intelligence.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Bitfarms’ 2.1 GW North American energy portfolio is comprised of energized, under development, and pipeline MW, located in established data center clusters, with robust access to power and fiber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is headquartered in New York, NY and Toronto, ON and traded on the Nasdaq and the Toronto Stock Exchange.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strategic hires to support HPC/AI infrastructure development and the anticipated contributions of new leadership and other statements regarding future growth, plans and objectives of Bitfarms are forward-looking information.</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anticipated benefits of the U.S. redomiciliation, and the anticipated rebalancing of operations to North America and from Bitcoin mining to digital infrastructure may occur on a timeline different than the expectations of Bitfarms, may not occur at all, and may have unanticipated costs for Bitfarms; the anticipated benefits of the rebalancing of operations to North America and the North American energy and compute infrastructure strategy may not be realized or the realization of such benefits may be delayed; an inability to apply Bitfarms’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Bitfarms’ annual information form for the year ended December 31, 2024, management’s discussion &amp; analysis for the year-ended December 31, 2024 and the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Bitfarms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Laine Yonker</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Tara Goldstein</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investors@bitfarms.com</w:t>
            </w:r>
          </w:p>
        </w:tc>
        <w:tc>
          <w:tcPr>
            <w:tcW w:w="7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media@bitfarms.com</w:t>
            </w:r>
          </w:p>
        </w:tc>
      </w:tr>
      <w:tr>
        <w:trPr>
          <w:trHeight w:val="655"/>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2026-03-09T14:35:21Z</dcterms:created>
  <dcterms:modified xsi:type="dcterms:W3CDTF">2026-03-09T14:35:21Z</dcterms:modified>
</cp:coreProperties>
</file>