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March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1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March 21,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3360" w:type="dxa"/>
            <w:vAlign w:val="bottom"/>
          </w:tcPr>
          <w:p>
            <w:pPr>
              <w:spacing w:after="0"/>
              <w:rPr>
                <w:sz w:val="20"/>
                <w:szCs w:val="20"/>
                <w:color w:val="auto"/>
              </w:rPr>
            </w:pPr>
          </w:p>
        </w:tc>
        <w:tc>
          <w:tcPr>
            <w:tcW w:w="6520" w:type="dxa"/>
            <w:vAlign w:val="bottom"/>
          </w:tcPr>
          <w:p>
            <w:pPr>
              <w:spacing w:after="0"/>
              <w:rPr>
                <w:sz w:val="20"/>
                <w:szCs w:val="20"/>
                <w:color w:val="auto"/>
              </w:rPr>
            </w:pPr>
          </w:p>
        </w:tc>
      </w:tr>
      <w:tr>
        <w:trPr>
          <w:trHeight w:val="439"/>
        </w:trPr>
        <w:tc>
          <w:tcPr>
            <w:tcW w:w="13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6520" w:type="dxa"/>
            <w:vAlign w:val="bottom"/>
            <w:tcBorders>
              <w:top w:val="single" w:sz="8" w:color="auto"/>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220" w:type="dxa"/>
            <w:vAlign w:val="bottom"/>
            <w:shd w:val="clear" w:color="auto" w:fill="CCEEFF"/>
          </w:tcPr>
          <w:p>
            <w:pPr>
              <w:spacing w:after="0"/>
              <w:rPr>
                <w:sz w:val="15"/>
                <w:szCs w:val="15"/>
                <w:color w:val="auto"/>
              </w:rPr>
            </w:pPr>
          </w:p>
        </w:tc>
        <w:tc>
          <w:tcPr>
            <w:tcW w:w="9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Material Change Report dated March 21, 2023</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0000EE"/>
            </w:tcBorders>
            <w:shd w:val="clear" w:color="auto" w:fill="CCEEFF"/>
          </w:tcPr>
          <w:p>
            <w:pPr>
              <w:spacing w:after="0" w:line="20" w:lineRule="exact"/>
              <w:rPr>
                <w:sz w:val="1"/>
                <w:szCs w:val="1"/>
                <w:color w:val="auto"/>
              </w:rPr>
            </w:pPr>
          </w:p>
        </w:tc>
        <w:tc>
          <w:tcPr>
            <w:tcW w:w="6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ind w:left="51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jc w:val="both"/>
        <w:ind w:left="7220"/>
        <w:spacing w:after="0"/>
        <w:tabs>
          <w:tab w:leader="none" w:pos="780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2023</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908" w:right="10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21, 2023.</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March 21, 2023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154305</wp:posOffset>
            </wp:positionV>
            <wp:extent cx="203136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Bitfarms Reports Fourth Quarter and</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Full Year 2022 Results</w:t>
      </w:r>
    </w:p>
    <w:p>
      <w:pPr>
        <w:spacing w:after="0" w:line="256" w:lineRule="exact"/>
        <w:rPr>
          <w:sz w:val="20"/>
          <w:szCs w:val="20"/>
          <w:color w:val="auto"/>
        </w:rPr>
      </w:pPr>
    </w:p>
    <w:p>
      <w:pPr>
        <w:ind w:left="3500" w:right="3500" w:firstLine="220"/>
        <w:spacing w:after="0" w:line="308" w:lineRule="auto"/>
        <w:tabs>
          <w:tab w:leader="none" w:pos="3818" w:val="left"/>
        </w:tabs>
        <w:numPr>
          <w:ilvl w:val="3"/>
          <w:numId w:val="1"/>
        </w:numPr>
        <w:rPr>
          <w:rFonts w:ascii="Arial" w:cs="Arial" w:eastAsia="Arial" w:hAnsi="Arial"/>
          <w:sz w:val="16"/>
          <w:szCs w:val="16"/>
          <w:color w:val="auto"/>
        </w:rPr>
      </w:pPr>
      <w:r>
        <w:rPr>
          <w:rFonts w:ascii="Arial" w:cs="Arial" w:eastAsia="Arial" w:hAnsi="Arial"/>
          <w:sz w:val="16"/>
          <w:szCs w:val="16"/>
          <w:color w:val="auto"/>
        </w:rPr>
        <w:t>Mined 1,434 BTC in Q4 2022; 5,167 BTC in 2022; and 20,000+ BTC since inception through February 2023 -</w:t>
      </w:r>
    </w:p>
    <w:p>
      <w:pPr>
        <w:spacing w:after="0" w:line="1" w:lineRule="exact"/>
        <w:rPr>
          <w:rFonts w:ascii="Arial" w:cs="Arial" w:eastAsia="Arial" w:hAnsi="Arial"/>
          <w:sz w:val="16"/>
          <w:szCs w:val="16"/>
          <w:color w:val="auto"/>
        </w:rPr>
      </w:pPr>
    </w:p>
    <w:p>
      <w:pPr>
        <w:ind w:left="3360" w:hanging="103"/>
        <w:spacing w:after="0"/>
        <w:tabs>
          <w:tab w:leader="none" w:pos="3360" w:val="left"/>
        </w:tabs>
        <w:numPr>
          <w:ilvl w:val="2"/>
          <w:numId w:val="1"/>
        </w:numPr>
        <w:rPr>
          <w:rFonts w:ascii="Arial" w:cs="Arial" w:eastAsia="Arial" w:hAnsi="Arial"/>
          <w:sz w:val="18"/>
          <w:szCs w:val="18"/>
          <w:color w:val="auto"/>
        </w:rPr>
      </w:pPr>
      <w:r>
        <w:rPr>
          <w:rFonts w:ascii="Arial" w:cs="Arial" w:eastAsia="Arial" w:hAnsi="Arial"/>
          <w:sz w:val="18"/>
          <w:szCs w:val="18"/>
          <w:color w:val="auto"/>
        </w:rPr>
        <w:t>Averaged direct cost of production of $10,000 per BTC in 2022-</w:t>
      </w:r>
    </w:p>
    <w:p>
      <w:pPr>
        <w:spacing w:after="0" w:line="22" w:lineRule="exact"/>
        <w:rPr>
          <w:rFonts w:ascii="Arial" w:cs="Arial" w:eastAsia="Arial" w:hAnsi="Arial"/>
          <w:sz w:val="18"/>
          <w:szCs w:val="18"/>
          <w:color w:val="auto"/>
        </w:rPr>
      </w:pPr>
    </w:p>
    <w:p>
      <w:pPr>
        <w:ind w:left="2460" w:hanging="104"/>
        <w:spacing w:after="0"/>
        <w:tabs>
          <w:tab w:leader="none" w:pos="24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Reported Q4 2022 net loss of $17 million and positive Adjusted EBITDA of $1 million –</w:t>
      </w:r>
    </w:p>
    <w:p>
      <w:pPr>
        <w:spacing w:after="0" w:line="35" w:lineRule="exact"/>
        <w:rPr>
          <w:rFonts w:ascii="Arial" w:cs="Arial" w:eastAsia="Arial" w:hAnsi="Arial"/>
          <w:sz w:val="18"/>
          <w:szCs w:val="18"/>
          <w:color w:val="auto"/>
        </w:rPr>
      </w:pPr>
    </w:p>
    <w:p>
      <w:pPr>
        <w:ind w:left="2360" w:hanging="112"/>
        <w:spacing w:after="0"/>
        <w:tabs>
          <w:tab w:leader="none" w:pos="2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Expects over 30% increase in hashrate to 6.0 EH/s with existing portfolio by year-end 2023-</w:t>
      </w:r>
    </w:p>
    <w:p>
      <w:pPr>
        <w:spacing w:after="0" w:line="252" w:lineRule="exact"/>
        <w:rPr>
          <w:sz w:val="20"/>
          <w:szCs w:val="20"/>
          <w:color w:val="auto"/>
        </w:rPr>
      </w:pPr>
    </w:p>
    <w:p>
      <w:pPr>
        <w:ind w:right="360"/>
        <w:spacing w:after="0" w:line="308"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7" w:lineRule="exact"/>
        <w:rPr>
          <w:sz w:val="20"/>
          <w:szCs w:val="20"/>
          <w:color w:val="auto"/>
        </w:rPr>
      </w:pPr>
    </w:p>
    <w:p>
      <w:pPr>
        <w:ind w:right="120"/>
        <w:spacing w:after="0" w:line="289" w:lineRule="auto"/>
        <w:rPr>
          <w:sz w:val="20"/>
          <w:szCs w:val="20"/>
          <w:color w:val="auto"/>
        </w:rPr>
      </w:pPr>
      <w:r>
        <w:rPr>
          <w:rFonts w:ascii="Arial" w:cs="Arial" w:eastAsia="Arial" w:hAnsi="Arial"/>
          <w:sz w:val="18"/>
          <w:szCs w:val="18"/>
          <w:b w:val="1"/>
          <w:bCs w:val="1"/>
          <w:color w:val="auto"/>
        </w:rPr>
        <w:t xml:space="preserve">Toronto, Ontario and Brossard, Québec (March 21,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 BITF</w:t>
      </w:r>
      <w:r>
        <w:rPr>
          <w:rFonts w:ascii="Arial" w:cs="Arial" w:eastAsia="Arial" w:hAnsi="Arial"/>
          <w:sz w:val="18"/>
          <w:szCs w:val="18"/>
          <w:color w:val="auto"/>
        </w:rPr>
        <w:t>), a global Bitcoin vertically integrated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reported its financial results for the fourth quarter and year ended December 31, 2022. All financial references are in U.S. dollars. During fourth quarter 2022, Bitfarms mined 1,434 BTC.</w:t>
      </w:r>
    </w:p>
    <w:p>
      <w:pPr>
        <w:spacing w:after="0" w:line="201" w:lineRule="exact"/>
        <w:rPr>
          <w:sz w:val="20"/>
          <w:szCs w:val="20"/>
          <w:color w:val="auto"/>
        </w:rPr>
      </w:pPr>
    </w:p>
    <w:p>
      <w:pPr>
        <w:ind w:left="20" w:right="60" w:hanging="8"/>
        <w:spacing w:after="0" w:line="294" w:lineRule="auto"/>
        <w:rPr>
          <w:sz w:val="20"/>
          <w:szCs w:val="20"/>
          <w:color w:val="auto"/>
        </w:rPr>
      </w:pPr>
      <w:r>
        <w:rPr>
          <w:rFonts w:ascii="Arial" w:cs="Arial" w:eastAsia="Arial" w:hAnsi="Arial"/>
          <w:sz w:val="17"/>
          <w:szCs w:val="17"/>
          <w:color w:val="auto"/>
        </w:rPr>
        <w:t>“In 2022, we once again ranked among the most cost-effective publicly traded BTC mining companies as we focused on delivering superior performance, particularly during challenging times, while upholding the highest mining, operating and accounting standards,” said President and CEO of Bitfarms Geoff Morphy. “Over the past nine months, we completed the construction and commissioning of three new farms in Canada, further optimized existing operations, and improved financial flexibility. These initiatives contributed to increasing our hashrate to 4.5 EH/s as of December 31, 2022, over 100% from the beginning of 2022. Looking ahead, we plan to leverage our existing infrastructure in Argentina and utilize equipment credits to prudently expand our EH/s to 6.0 with our existing assets by year end 2023. With our strengthened balance sheet, we are actively evaluating potential acquisitions that we expect to be accretive and complement our geographically diverse mining operations.”</w:t>
      </w:r>
    </w:p>
    <w:p>
      <w:pPr>
        <w:spacing w:after="0" w:line="160"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“We ended 2022 with 5,167 BTC mined, and in mid-February 2023 we surpassed 20,000 BTC mined since our inception in 2017. Our high operating efficiencies and low-cost power contracts yielded an average direct cost of production of $10,000 per BTC*** in 2022. Even during an especially challenging BTC pricing environment in Q4 2022, we continued to generate positive cash flow from operations and posted $1 million in Adjusted EBITDA as we maintained total cash cost of production per BTC less than the average price of BTC for the quarter,” added Morphy.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for the Quarter ended December 31, 2022</w:t>
      </w:r>
    </w:p>
    <w:p>
      <w:pPr>
        <w:spacing w:after="0" w:line="256" w:lineRule="exact"/>
        <w:rPr>
          <w:sz w:val="20"/>
          <w:szCs w:val="20"/>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was $27 million, compared to $33 million in Q3 2022, as the 13% increase in Bitfarms’ hashrate was offset by 15% lower average BTC prices and a 20% increase in network difficulty.</w:t>
      </w:r>
    </w:p>
    <w:p>
      <w:pPr>
        <w:spacing w:after="0" w:line="170" w:lineRule="exact"/>
        <w:rPr>
          <w:rFonts w:ascii="Arial" w:cs="Arial" w:eastAsia="Arial" w:hAnsi="Arial"/>
          <w:sz w:val="18"/>
          <w:szCs w:val="18"/>
          <w:color w:val="auto"/>
        </w:rPr>
      </w:pPr>
    </w:p>
    <w:p>
      <w:pPr>
        <w:ind w:left="660" w:right="9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mining profit* and gross mining margin* were $8 million and 33%, respectively, compared to $17 million and 52% in Q3 2022, respectively.</w:t>
      </w:r>
    </w:p>
    <w:p>
      <w:pPr>
        <w:spacing w:after="0" w:line="170" w:lineRule="exact"/>
        <w:rPr>
          <w:rFonts w:ascii="Arial" w:cs="Arial" w:eastAsia="Arial" w:hAnsi="Arial"/>
          <w:sz w:val="18"/>
          <w:szCs w:val="18"/>
          <w:color w:val="auto"/>
        </w:rPr>
      </w:pPr>
    </w:p>
    <w:p>
      <w:pPr>
        <w:ind w:left="660" w:right="34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and administrative expenses excluding non-cash share-based compensation and a charge associated with terminated consulting agreements, were $7 million, down 25% from Q4 2021 and up 6% from Q3 2022. The increase from the third quarter reflects modestly higher compensation expense and professional services fees largely associated with the Argentina build-out.</w:t>
      </w:r>
    </w:p>
    <w:p>
      <w:pPr>
        <w:spacing w:after="0" w:line="183"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loss, including a $9 million non-cash impairment reversal, a $29 million realized loss on disposition of digital assets, and a $23 million change in unrealized gain on revaluation of digital assets, was $20 million, compared to $98 million in Q3 2022, which included an $84 million non-cash impairment charge, a $44 million realized loss on disposition of digital assets, and a $46 million change in unrealized gain on revaluation of digital assets.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loss was $17 million, or ($0.08) per basic and diluted share, compared to $85 million, or ($0.40) per basic and diluted share, in Q3 2022.</w:t>
      </w:r>
    </w:p>
    <w:p>
      <w:pPr>
        <w:spacing w:after="0" w:line="248"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Non-IFRS adjusted EBITDA* was $1 million, or 4% of revenue, compared to $10 million, or 31% of revenue, in Q3 2022, driven by the lower average BTC price.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mined 1,434 BTC at an average direct cost of production per BTC*** of $11,100, compared to $9,600 in Q3 2022.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cash cost of production per BTC was $16,800 in Q4 2022, up from $14,500 in Q3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at December 31, 2022</w:t>
      </w:r>
    </w:p>
    <w:p>
      <w:pPr>
        <w:spacing w:after="0" w:line="270"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At December 31, 2022, the Company held $31 million in cash and 405 BTC valued at approximately $7 million based upon a BTC price of approximately $16,500.</w:t>
      </w:r>
    </w:p>
    <w:p>
      <w:pPr>
        <w:spacing w:after="0" w:line="197" w:lineRule="exact"/>
        <w:rPr>
          <w:sz w:val="20"/>
          <w:szCs w:val="20"/>
          <w:color w:val="auto"/>
        </w:rPr>
      </w:pPr>
    </w:p>
    <w:p>
      <w:pPr>
        <w:ind w:right="160"/>
        <w:spacing w:after="0" w:line="311" w:lineRule="auto"/>
        <w:rPr>
          <w:sz w:val="20"/>
          <w:szCs w:val="20"/>
          <w:color w:val="auto"/>
        </w:rPr>
      </w:pPr>
      <w:r>
        <w:rPr>
          <w:rFonts w:ascii="Arial" w:cs="Arial" w:eastAsia="Arial" w:hAnsi="Arial"/>
          <w:sz w:val="17"/>
          <w:szCs w:val="17"/>
          <w:color w:val="auto"/>
        </w:rPr>
        <w:t>Chief Financial Officer Jeff Lucas said, “Network difficulty increases are raising the cost of production for everyone, and only the most efficient players will succeed. Bitfarms continues to execute tactics to support our low-cost structure and strong balance sheet. Consistent with our strategy of carefully pursuing accretive growth opportunities, as market conditions improve, we are positioned for intelligent growth.”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Q4 2022</w:t>
      </w:r>
    </w:p>
    <w:p>
      <w:pPr>
        <w:spacing w:after="0" w:line="229"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Paid $23 million to fully extinguish the BTC-backed credit facility.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Paid down $8 million in equipment related indebtedness.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Renegotiated miner purchasing agreements, extinguishing without penalty payment obligations of $45 million and establishing a $22 million credit for deposits previously made, to be applied toward future purchase agreements.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Raised approximately $6 million in net proceeds through the Company’s at-the-market (ATM) equity offering program.</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Subsequent to December 31, 2022</w:t>
      </w:r>
    </w:p>
    <w:p>
      <w:pPr>
        <w:spacing w:after="0" w:line="229"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Settled all outstanding principal and interest due to BlockFi totaling $21 million for a cash payment of $8 million and paid off the $379,000 agreement with Reliz for $118,000 in February 2023.</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Ended February 2023 with $23 million indebtedness, down 86% from a high of $165 million in June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2022 and Recent 2023 Operating Highlights</w:t>
      </w:r>
    </w:p>
    <w:p>
      <w:pPr>
        <w:spacing w:after="0" w:line="25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Reached 4.7 EH/s online in early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Surpassed 20,000 BTC mined with renewable hydropower since 2017 founding.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construction of the first 50 MW warehouse in Rio Cuarto, Argentina.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Sherbrooke, Quebec:</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Completed the Garlock facility, energizing 18 MW, representing full capacity.</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6" w:name="page7"/>
    <w:bookmarkEnd w:id="6"/>
    <w:p>
      <w:pPr>
        <w:ind w:left="980" w:right="78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Energized the remaining 12 MW capacity at The Bunker, bringing it to 48 MW and the total Sherbrooke operations to 96 MW, both representing full capacity.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Decommissioned and sold the De la Pointe facility for net cash proceeds of $4 million.</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Imported and installed 2,888 new MicroBT M30s into Paraguay, which added a net 168 PH/s at this farm, bringing its total hashrate to 288 PH/s at January 31, 2023.</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Improved efficiency of the overall fleet to 39 w/TH and of the newly unencumbered Bitmain miners in Washington state by 16% from 31 w/TH to 26 w/TH with new firmware.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Quarterly Operating Performance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4620" w:type="dxa"/>
            <w:vAlign w:val="bottom"/>
          </w:tcPr>
          <w:p>
            <w:pPr>
              <w:spacing w:after="0"/>
              <w:rPr>
                <w:sz w:val="20"/>
                <w:szCs w:val="20"/>
                <w:color w:val="auto"/>
              </w:rPr>
            </w:pPr>
            <w:r>
              <w:rPr>
                <w:rFonts w:ascii="Arial" w:cs="Arial" w:eastAsia="Arial" w:hAnsi="Arial"/>
                <w:sz w:val="18"/>
                <w:szCs w:val="18"/>
                <w:b w:val="1"/>
                <w:bCs w:val="1"/>
                <w:color w:val="auto"/>
              </w:rPr>
              <w:t>Key Performance Indicators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5"/>
          </w:tcPr>
          <w:p>
            <w:pPr>
              <w:ind w:left="60"/>
              <w:spacing w:after="0"/>
              <w:rPr>
                <w:sz w:val="20"/>
                <w:szCs w:val="20"/>
                <w:color w:val="auto"/>
              </w:rPr>
            </w:pPr>
            <w:r>
              <w:rPr>
                <w:rFonts w:ascii="Arial" w:cs="Arial" w:eastAsia="Arial" w:hAnsi="Arial"/>
                <w:sz w:val="18"/>
                <w:szCs w:val="18"/>
                <w:b w:val="1"/>
                <w:bCs w:val="1"/>
                <w:color w:val="auto"/>
              </w:rPr>
              <w:t>Q4 2022</w:t>
            </w: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Q4 2021</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Q3 2022</w:t>
            </w:r>
          </w:p>
        </w:tc>
      </w:tr>
      <w:tr>
        <w:trPr>
          <w:trHeight w:val="243"/>
        </w:trPr>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BTC Mined</w:t>
            </w:r>
          </w:p>
        </w:tc>
        <w:tc>
          <w:tcPr>
            <w:tcW w:w="1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Borders>
              <w:top w:val="single" w:sz="8" w:color="CCEEFF"/>
            </w:tcBorders>
            <w:shd w:val="clear" w:color="auto" w:fill="CCEEFF"/>
          </w:tcPr>
          <w:p>
            <w:pPr>
              <w:spacing w:after="0"/>
              <w:rPr>
                <w:sz w:val="21"/>
                <w:szCs w:val="2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Quarter End Operating Hashrate</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4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Capacity (MW)</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Hydropower MW</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4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Watts/TH Efficiency</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BTC Sold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2,595</w:t>
            </w:r>
          </w:p>
        </w:tc>
      </w:tr>
      <w:tr>
        <w:trPr>
          <w:trHeight w:val="445"/>
        </w:trPr>
        <w:tc>
          <w:tcPr>
            <w:tcW w:w="4620" w:type="dxa"/>
            <w:vAlign w:val="bottom"/>
          </w:tcPr>
          <w:p>
            <w:pPr>
              <w:spacing w:after="0"/>
              <w:rPr>
                <w:sz w:val="20"/>
                <w:szCs w:val="20"/>
                <w:color w:val="auto"/>
              </w:rPr>
            </w:pPr>
            <w:r>
              <w:rPr>
                <w:rFonts w:ascii="Arial" w:cs="Arial" w:eastAsia="Arial" w:hAnsi="Arial"/>
                <w:sz w:val="18"/>
                <w:szCs w:val="18"/>
                <w:b w:val="1"/>
                <w:bCs w:val="1"/>
                <w:color w:val="auto"/>
              </w:rPr>
              <w:t>Quarterly Operating Production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7"/>
              </w:rPr>
              <w:t>BTC Mined</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BTC Mined</w:t>
            </w:r>
          </w:p>
        </w:tc>
      </w:tr>
      <w:tr>
        <w:trPr>
          <w:trHeight w:val="24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Q1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Q2</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Q3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Q4</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Year 2022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3,453</w:t>
            </w:r>
          </w:p>
        </w:tc>
      </w:tr>
      <w:tr>
        <w:trPr>
          <w:trHeight w:val="459"/>
        </w:trPr>
        <w:tc>
          <w:tcPr>
            <w:tcW w:w="6000" w:type="dxa"/>
            <w:vAlign w:val="bottom"/>
            <w:gridSpan w:val="4"/>
          </w:tcPr>
          <w:p>
            <w:pPr>
              <w:spacing w:after="0"/>
              <w:rPr>
                <w:sz w:val="20"/>
                <w:szCs w:val="20"/>
                <w:color w:val="auto"/>
              </w:rPr>
            </w:pPr>
            <w:r>
              <w:rPr>
                <w:rFonts w:ascii="Arial" w:cs="Arial" w:eastAsia="Arial" w:hAnsi="Arial"/>
                <w:sz w:val="18"/>
                <w:szCs w:val="18"/>
                <w:b w:val="1"/>
                <w:bCs w:val="1"/>
                <w:color w:val="auto"/>
              </w:rPr>
              <w:t>Quarterly Average Revenue** and Cost of Production per BTC***</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Q4 2022</w:t>
            </w:r>
          </w:p>
        </w:tc>
        <w:tc>
          <w:tcPr>
            <w:tcW w:w="180" w:type="dxa"/>
            <w:vAlign w:val="bottom"/>
          </w:tcPr>
          <w:p>
            <w:pPr>
              <w:spacing w:after="0"/>
              <w:rPr>
                <w:sz w:val="24"/>
                <w:szCs w:val="24"/>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Q3 2022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5"/>
          </w:tcPr>
          <w:p>
            <w:pPr>
              <w:ind w:left="100"/>
              <w:spacing w:after="0"/>
              <w:rPr>
                <w:sz w:val="20"/>
                <w:szCs w:val="20"/>
                <w:color w:val="auto"/>
              </w:rPr>
            </w:pPr>
            <w:r>
              <w:rPr>
                <w:rFonts w:ascii="Arial" w:cs="Arial" w:eastAsia="Arial" w:hAnsi="Arial"/>
                <w:sz w:val="18"/>
                <w:szCs w:val="18"/>
                <w:b w:val="1"/>
                <w:bCs w:val="1"/>
                <w:color w:val="auto"/>
              </w:rPr>
              <w:t>Q2 2022</w:t>
            </w: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Q1 2022</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Q4 2021</w:t>
            </w:r>
          </w:p>
        </w:tc>
      </w:tr>
      <w:tr>
        <w:trPr>
          <w:trHeight w:val="34"/>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Avg. Rev**/BTC</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Direct Cost***/BTC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9,600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10,100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Cost/BTC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14,500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17,200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Year-ended December 31, 2022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 2022, the Company generated revenue of $142 million, compared to $169 million in 2021.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2022 gross profit was $11 million, or 7% gross margin*, compared to $111 million, or 66% gross margin*, in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mined 5,167 BTC for an average cost of production** per BTC of $10,000 in 2022.</w:t>
      </w:r>
    </w:p>
    <w:p>
      <w:pPr>
        <w:spacing w:after="0" w:line="266"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color w:val="auto"/>
        </w:rPr>
        <w:t>Operating loss was $284 million in 2022, compared to operating income of $64 million in 2021. 2022 net loss was $239 million, or $(1.15) per basic and diluted share, compared to a net income of $22 million, or $0.13 per diluted share, in 2021. EBITDA* was a loss of $170 million, with EBITDA margin* of (119%) compared to a positive EBITDA* of $71 million, with EBITDA margin* of 42%, in 2021. Adjusted EBITDA* was $52 million, with 36% Adjusted EBITDA margin*, compared to $114 million, and 67% Adjusted EBITDA margin*, in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5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Management will host a conference call on Tuesday, March 21, 2023, at 11:00 a.m. ET to review the financial results. Following management’s formal remarks there will be a question-and-answer session, which may include pre-submitted questions. Participants are asked to pre-register for the call through the following link: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Q4 2022 Conference Call</w:t>
      </w:r>
    </w:p>
    <w:p>
      <w:pPr>
        <w:spacing w:after="0" w:line="252" w:lineRule="exact"/>
        <w:rPr>
          <w:sz w:val="20"/>
          <w:szCs w:val="20"/>
          <w:color w:val="auto"/>
        </w:rPr>
      </w:pPr>
    </w:p>
    <w:p>
      <w:pPr>
        <w:jc w:val="both"/>
        <w:ind w:right="260"/>
        <w:spacing w:after="0" w:line="311" w:lineRule="auto"/>
        <w:rPr>
          <w:sz w:val="20"/>
          <w:szCs w:val="20"/>
          <w:color w:val="auto"/>
        </w:rPr>
      </w:pPr>
      <w:r>
        <w:rPr>
          <w:rFonts w:ascii="Arial" w:cs="Arial" w:eastAsia="Arial" w:hAnsi="Arial"/>
          <w:sz w:val="17"/>
          <w:szCs w:val="17"/>
          <w:color w:val="auto"/>
        </w:rPr>
        <w:t>Please note that registered participants will receive their dial in number upon registration and will dial directly into the call without delay. Those without internet access or unable to pre-register may dial in by calling: 1-866-777-2509 (domestic), or 1-412-317-5413 (international). All callers should dial in approximately 10 minutes prior to the scheduled start time and ask to be joined into the Bitfarms call.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457"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conference call will also be available through a live webcast found here:</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Live Webcast</w:t>
      </w:r>
    </w:p>
    <w:p>
      <w:pPr>
        <w:spacing w:after="0" w:line="266"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A webcast replay of the call will be available approximately one hour after the end of the call and will be available for one year, at the above webcast link. A telephonic replay of the call will be available through March 28, 2023, and may be accessed by calling 1-877-344-7529 (domestic) or 1-412-317-0088 (international) or Canada (toll free) 855-669-9658 and using access code 4928932. A presentation of the Q4 2022 results will be accessible on Tuesday, March 21, 2023, under the “Investors” section of Bitfarms’ website.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03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50" w:lineRule="exact"/>
        <w:rPr>
          <w:sz w:val="20"/>
          <w:szCs w:val="20"/>
          <w:color w:val="auto"/>
        </w:rPr>
      </w:pPr>
    </w:p>
    <w:p>
      <w:pPr>
        <w:jc w:val="both"/>
        <w:ind w:right="560"/>
        <w:spacing w:after="0" w:line="287" w:lineRule="auto"/>
        <w:rPr>
          <w:sz w:val="20"/>
          <w:szCs w:val="20"/>
          <w:color w:val="auto"/>
        </w:rPr>
      </w:pPr>
      <w:r>
        <w:rPr>
          <w:rFonts w:ascii="Arial" w:cs="Arial" w:eastAsia="Arial" w:hAnsi="Arial"/>
          <w:sz w:val="18"/>
          <w:szCs w:val="18"/>
          <w:color w:val="auto"/>
          <w:highlight w:val="white"/>
        </w:rPr>
        <w:t>Founded in 2017, Bitfarms is a global, publicly traded (NASDAQ/TSX: BITF) Bitcoin 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18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highlight w:val="white"/>
        </w:rPr>
        <w:t>Bitfarms has 10 mining facilities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603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Website: www.bitfarms.com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https://twitter.com/Bitfarms_io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https://www.instagram.com/bitfarms/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52" w:lineRule="exact"/>
        <w:rPr>
          <w:sz w:val="20"/>
          <w:szCs w:val="20"/>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W/TH = Watts per Terahash</w:t>
      </w:r>
    </w:p>
    <w:p>
      <w:pPr>
        <w:spacing w:after="0" w:line="238" w:lineRule="exact"/>
        <w:rPr>
          <w:rFonts w:ascii="Arial" w:cs="Arial" w:eastAsia="Arial" w:hAnsi="Arial"/>
          <w:sz w:val="18"/>
          <w:szCs w:val="18"/>
          <w:color w:val="auto"/>
        </w:rPr>
      </w:pPr>
    </w:p>
    <w:p>
      <w:pPr>
        <w:jc w:val="both"/>
        <w:ind w:left="340" w:hanging="324"/>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Gross margin, gross mining profit, gross mining margin, operating margin, EBITDA, EBITDA margin, Adjusted EBITDA and Adjusted EBITDA margin are non-IFRS financial measures or ratios and should be read in conjunction with, and should not be viewed as alternatives to or replacements of, measures of operating results and liquidity presented in accordance with IFRS and refer readers to reconciliations of Non-IFRS measures included in the Company’s MD&amp;A and at the end of this press release.</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Average revenue per BTC is for mining operations only and excludes Volta revenue.</w:t>
      </w:r>
    </w:p>
    <w:p>
      <w:pPr>
        <w:spacing w:after="0" w:line="225" w:lineRule="exact"/>
        <w:rPr>
          <w:rFonts w:ascii="Arial" w:cs="Arial" w:eastAsia="Arial" w:hAnsi="Arial"/>
          <w:sz w:val="18"/>
          <w:szCs w:val="18"/>
          <w:i w:val="1"/>
          <w:iCs w:val="1"/>
          <w:color w:val="auto"/>
        </w:rPr>
      </w:pPr>
    </w:p>
    <w:p>
      <w:pPr>
        <w:ind w:left="340" w:right="40" w:hanging="332"/>
        <w:spacing w:after="0" w:line="277"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Cost of Production per BTC represents the direct cost of Bitcoin based on the total electricity costs, and, where applicable, hosting costs related to the mining of Bitcoin, excluding electricity consumed by hosting clients, divided by the total number of Bitcoin 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-2085340</wp:posOffset>
            </wp:positionV>
            <wp:extent cx="7132320" cy="831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312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highlight w:val="white"/>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03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4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i w:val="1"/>
          <w:iCs w:val="1"/>
          <w:color w:val="auto"/>
          <w:highlight w:val="white"/>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603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highlight w:val="white"/>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03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46"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expansion plans, including construction in Argentina and Québec, and potential strategic opportunities, expectations for monthly growth, targets, and goals for productive capacity and hashrates, debt reduction and liquidity including the ability to lower interest payments and manage bitcoin holding,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0" w:lineRule="exact"/>
        <w:rPr>
          <w:sz w:val="20"/>
          <w:szCs w:val="20"/>
          <w:color w:val="auto"/>
        </w:rPr>
      </w:pPr>
    </w:p>
    <w:p>
      <w:pPr>
        <w:spacing w:after="0" w:line="276"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9" w:name="page10"/>
    <w:bookmarkEnd w:id="9"/>
    <w:p>
      <w:pPr>
        <w:spacing w:after="0" w:line="306"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-ended December 31, 2022, filed on March 21, 2023. The</w:t>
      </w:r>
      <w:r>
        <w:rPr>
          <w:rFonts w:ascii="Arial" w:cs="Arial" w:eastAsia="Arial" w:hAnsi="Arial"/>
          <w:sz w:val="16"/>
          <w:szCs w:val="16"/>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Lisa Helfer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lmleclerc@tactconseil.ca</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gridSpan w:val="10"/>
          </w:tcPr>
          <w:p>
            <w:pPr>
              <w:jc w:val="right"/>
              <w:ind w:right="190"/>
              <w:spacing w:after="0"/>
              <w:rPr>
                <w:sz w:val="20"/>
                <w:szCs w:val="20"/>
                <w:color w:val="auto"/>
              </w:rPr>
            </w:pPr>
            <w:r>
              <w:rPr>
                <w:rFonts w:ascii="Arial" w:cs="Arial" w:eastAsia="Arial" w:hAnsi="Arial"/>
                <w:sz w:val="18"/>
                <w:szCs w:val="18"/>
                <w:b w:val="1"/>
                <w:bCs w:val="1"/>
                <w:color w:val="auto"/>
                <w:w w:val="98"/>
              </w:rPr>
              <w:t>Bitfarms Ltd. Consolidated Financial &amp; Operational Results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920" w:type="dxa"/>
            <w:vAlign w:val="bottom"/>
            <w:gridSpan w:val="2"/>
            <w:vMerge w:val="restart"/>
          </w:tcPr>
          <w:p>
            <w:pPr>
              <w:spacing w:after="0"/>
              <w:rPr>
                <w:sz w:val="20"/>
                <w:szCs w:val="20"/>
                <w:color w:val="auto"/>
              </w:rPr>
            </w:pPr>
            <w:r>
              <w:rPr>
                <w:rFonts w:ascii="Arial" w:cs="Arial" w:eastAsia="Arial" w:hAnsi="Arial"/>
                <w:sz w:val="18"/>
                <w:szCs w:val="18"/>
                <w:color w:val="auto"/>
              </w:rPr>
              <w:t>(U.S.$ in thousands except where</w:t>
            </w:r>
          </w:p>
        </w:tc>
        <w:tc>
          <w:tcPr>
            <w:tcW w:w="4180" w:type="dxa"/>
            <w:vAlign w:val="bottom"/>
            <w:gridSpan w:val="8"/>
          </w:tcPr>
          <w:p>
            <w:pPr>
              <w:jc w:val="right"/>
              <w:ind w:right="920"/>
              <w:spacing w:after="0"/>
              <w:rPr>
                <w:sz w:val="20"/>
                <w:szCs w:val="20"/>
                <w:color w:val="auto"/>
              </w:rPr>
            </w:pPr>
            <w:r>
              <w:rPr>
                <w:rFonts w:ascii="Arial" w:cs="Arial" w:eastAsia="Arial" w:hAnsi="Arial"/>
                <w:sz w:val="18"/>
                <w:szCs w:val="18"/>
                <w:b w:val="1"/>
                <w:bCs w:val="1"/>
                <w:color w:val="auto"/>
              </w:rPr>
              <w:t>Three months ended December 31,</w:t>
            </w:r>
          </w:p>
        </w:tc>
        <w:tc>
          <w:tcPr>
            <w:tcW w:w="780" w:type="dxa"/>
            <w:vAlign w:val="bottom"/>
          </w:tcPr>
          <w:p>
            <w:pPr>
              <w:spacing w:after="0"/>
              <w:rPr>
                <w:sz w:val="24"/>
                <w:szCs w:val="24"/>
                <w:color w:val="auto"/>
              </w:rPr>
            </w:pPr>
          </w:p>
        </w:tc>
        <w:tc>
          <w:tcPr>
            <w:tcW w:w="23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7"/>
              </w:rPr>
              <w:t>Year ended December 31,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920" w:type="dxa"/>
            <w:vAlign w:val="bottom"/>
            <w:gridSpan w:val="2"/>
            <w:vMerge w:val="continue"/>
          </w:tcPr>
          <w:p>
            <w:pPr>
              <w:spacing w:after="0"/>
              <w:rPr>
                <w:sz w:val="16"/>
                <w:szCs w:val="16"/>
                <w:color w:val="auto"/>
              </w:rPr>
            </w:pPr>
          </w:p>
        </w:tc>
        <w:tc>
          <w:tcPr>
            <w:tcW w:w="7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indicated)</w:t>
            </w: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 Change</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Change</w:t>
            </w:r>
          </w:p>
        </w:tc>
        <w:tc>
          <w:tcPr>
            <w:tcW w:w="3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 Change</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27,037</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59,598</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142,428</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169,491</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39,121</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20,613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18,508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1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131,910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58,371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73,539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2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Gross (loss) profit</w:t>
            </w:r>
          </w:p>
        </w:tc>
        <w:tc>
          <w:tcPr>
            <w:tcW w:w="74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6"/>
        </w:trPr>
        <w:tc>
          <w:tcPr>
            <w:tcW w:w="2920" w:type="dxa"/>
            <w:vAlign w:val="bottom"/>
            <w:gridSpan w:val="2"/>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(12,084)</w:t>
            </w:r>
          </w:p>
        </w:tc>
        <w:tc>
          <w:tcPr>
            <w:tcW w:w="36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38,985</w:t>
            </w:r>
          </w:p>
        </w:tc>
        <w:tc>
          <w:tcPr>
            <w:tcW w:w="26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(51,069)</w:t>
            </w:r>
          </w:p>
        </w:tc>
        <w:tc>
          <w:tcPr>
            <w:tcW w:w="2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10,518</w:t>
            </w:r>
          </w:p>
        </w:tc>
        <w:tc>
          <w:tcPr>
            <w:tcW w:w="34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111,120</w:t>
            </w:r>
          </w:p>
        </w:tc>
        <w:tc>
          <w:tcPr>
            <w:tcW w:w="26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(100,602)</w:t>
            </w:r>
          </w:p>
        </w:tc>
        <w:tc>
          <w:tcPr>
            <w:tcW w:w="2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92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9"/>
                <w:szCs w:val="29"/>
                <w:color w:val="auto"/>
                <w:vertAlign w:val="superscript"/>
              </w:rPr>
              <w:t>(1)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General and administrative</w:t>
            </w:r>
          </w:p>
        </w:tc>
        <w:tc>
          <w:tcPr>
            <w:tcW w:w="11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11,972</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51,506</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1100" w:type="dxa"/>
            <w:vAlign w:val="bottom"/>
            <w:gridSpan w:val="2"/>
            <w:vMerge w:val="continue"/>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18,928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120" w:type="dxa"/>
            <w:vAlign w:val="bottom"/>
            <w:gridSpan w:val="2"/>
            <w:vMerge w:val="continue"/>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43,238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29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Realized loss on disposition of</w:t>
            </w: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28,567</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restart"/>
          </w:tcPr>
          <w:p>
            <w:pPr>
              <w:jc w:val="right"/>
              <w:ind w:right="250"/>
              <w:spacing w:after="0"/>
              <w:rPr>
                <w:sz w:val="20"/>
                <w:szCs w:val="20"/>
                <w:color w:val="auto"/>
              </w:rPr>
            </w:pPr>
            <w:r>
              <w:rPr>
                <w:rFonts w:ascii="Arial" w:cs="Arial" w:eastAsia="Arial" w:hAnsi="Arial"/>
                <w:sz w:val="18"/>
                <w:szCs w:val="18"/>
                <w:b w:val="1"/>
                <w:bCs w:val="1"/>
                <w:color w:val="auto"/>
              </w:rPr>
              <w:t>150,810</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340"/>
              <w:spacing w:after="0"/>
              <w:rPr>
                <w:sz w:val="20"/>
                <w:szCs w:val="20"/>
                <w:color w:val="auto"/>
              </w:rPr>
            </w:pPr>
            <w:r>
              <w:rPr>
                <w:rFonts w:ascii="Arial" w:cs="Arial" w:eastAsia="Arial" w:hAnsi="Arial"/>
                <w:sz w:val="18"/>
                <w:szCs w:val="18"/>
                <w:color w:val="auto"/>
              </w:rPr>
              <w:t>digital assets</w:t>
            </w:r>
          </w:p>
        </w:tc>
        <w:tc>
          <w:tcPr>
            <w:tcW w:w="1100" w:type="dxa"/>
            <w:vAlign w:val="bottom"/>
            <w:gridSpan w:val="2"/>
            <w:vMerge w:val="continue"/>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28,430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nm</w:t>
            </w:r>
          </w:p>
        </w:tc>
        <w:tc>
          <w:tcPr>
            <w:tcW w:w="1120" w:type="dxa"/>
            <w:vAlign w:val="bottom"/>
            <w:gridSpan w:val="2"/>
            <w:vMerge w:val="continue"/>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289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150,521</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02"/>
        </w:trPr>
        <w:tc>
          <w:tcPr>
            <w:tcW w:w="29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Change in unrealized (gain) loss on</w:t>
            </w:r>
          </w:p>
        </w:tc>
        <w:tc>
          <w:tcPr>
            <w:tcW w:w="11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(23,284)</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(2,166)</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revaluation of digital assets</w:t>
            </w:r>
          </w:p>
        </w:tc>
        <w:tc>
          <w:tcPr>
            <w:tcW w:w="1100" w:type="dxa"/>
            <w:vAlign w:val="bottom"/>
            <w:gridSpan w:val="2"/>
            <w:vMerge w:val="continue"/>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(27,153)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1120" w:type="dxa"/>
            <w:vAlign w:val="bottom"/>
            <w:gridSpan w:val="2"/>
            <w:vMerge w:val="continue"/>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4,861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2"/>
        </w:trPr>
        <w:tc>
          <w:tcPr>
            <w:tcW w:w="29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Loss (gain) on disposition of</w:t>
            </w: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(415)</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restart"/>
          </w:tcPr>
          <w:p>
            <w:pPr>
              <w:jc w:val="right"/>
              <w:ind w:right="250"/>
              <w:spacing w:after="0"/>
              <w:rPr>
                <w:sz w:val="20"/>
                <w:szCs w:val="20"/>
                <w:color w:val="auto"/>
              </w:rPr>
            </w:pPr>
            <w:r>
              <w:rPr>
                <w:rFonts w:ascii="Arial" w:cs="Arial" w:eastAsia="Arial" w:hAnsi="Arial"/>
                <w:sz w:val="18"/>
                <w:szCs w:val="18"/>
                <w:b w:val="1"/>
                <w:bCs w:val="1"/>
                <w:color w:val="auto"/>
              </w:rPr>
              <w:t>1,277</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w:t>
            </w:r>
          </w:p>
        </w:tc>
        <w:tc>
          <w:tcPr>
            <w:tcW w:w="1100" w:type="dxa"/>
            <w:vAlign w:val="bottom"/>
            <w:gridSpan w:val="2"/>
            <w:vMerge w:val="continue"/>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(753)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120" w:type="dxa"/>
            <w:vAlign w:val="bottom"/>
            <w:gridSpan w:val="2"/>
            <w:vMerge w:val="continue"/>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(848)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2"/>
        </w:trPr>
        <w:tc>
          <w:tcPr>
            <w:tcW w:w="29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Impairment (reversal) on equipment</w:t>
            </w: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and construction prepayments,</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property, plant and equipment and</w:t>
            </w:r>
          </w:p>
        </w:tc>
        <w:tc>
          <w:tcPr>
            <w:tcW w:w="11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(8,903)</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75,213</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right-of-use assets</w:t>
            </w:r>
          </w:p>
        </w:tc>
        <w:tc>
          <w:tcPr>
            <w:tcW w:w="1100" w:type="dxa"/>
            <w:vAlign w:val="bottom"/>
            <w:gridSpan w:val="2"/>
            <w:vMerge w:val="continue"/>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(10,703)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c>
          <w:tcPr>
            <w:tcW w:w="1120" w:type="dxa"/>
            <w:vAlign w:val="bottom"/>
            <w:gridSpan w:val="2"/>
            <w:vMerge w:val="continue"/>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73,413</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6"/>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Impairment on goodwill</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17,900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17,900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9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Impairment reversal on property,</w:t>
            </w: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plant and equipment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Operating (loss) income</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2"/>
            <w:vMerge w:val="continue"/>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(20,021)</w:t>
            </w:r>
          </w:p>
        </w:tc>
        <w:tc>
          <w:tcPr>
            <w:tcW w:w="360" w:type="dxa"/>
            <w:vAlign w:val="bottom"/>
            <w:vMerge w:val="continue"/>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15,004</w:t>
            </w:r>
          </w:p>
        </w:tc>
        <w:tc>
          <w:tcPr>
            <w:tcW w:w="26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(35,025)</w:t>
            </w:r>
          </w:p>
        </w:tc>
        <w:tc>
          <w:tcPr>
            <w:tcW w:w="220" w:type="dxa"/>
            <w:vAlign w:val="bottom"/>
            <w:vMerge w:val="continue"/>
          </w:tcPr>
          <w:p>
            <w:pPr>
              <w:spacing w:after="0"/>
              <w:rPr>
                <w:sz w:val="17"/>
                <w:szCs w:val="17"/>
                <w:color w:val="auto"/>
              </w:rPr>
            </w:pPr>
          </w:p>
        </w:tc>
        <w:tc>
          <w:tcPr>
            <w:tcW w:w="10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(233)%</w:t>
            </w:r>
          </w:p>
        </w:tc>
        <w:tc>
          <w:tcPr>
            <w:tcW w:w="7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98"/>
              </w:rPr>
              <w:t>(284,022)</w:t>
            </w:r>
          </w:p>
        </w:tc>
        <w:tc>
          <w:tcPr>
            <w:tcW w:w="34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63,640</w:t>
            </w:r>
          </w:p>
        </w:tc>
        <w:tc>
          <w:tcPr>
            <w:tcW w:w="26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w w:val="98"/>
              </w:rPr>
              <w:t>(347,662)</w:t>
            </w:r>
          </w:p>
        </w:tc>
        <w:tc>
          <w:tcPr>
            <w:tcW w:w="220" w:type="dxa"/>
            <w:vAlign w:val="bottom"/>
            <w:vMerge w:val="continue"/>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7"/>
        </w:trPr>
        <w:tc>
          <w:tcPr>
            <w:tcW w:w="29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Operating margin </w:t>
            </w:r>
            <w:r>
              <w:rPr>
                <w:rFonts w:ascii="Arial" w:cs="Arial" w:eastAsia="Arial" w:hAnsi="Arial"/>
                <w:sz w:val="29"/>
                <w:szCs w:val="29"/>
                <w:color w:val="auto"/>
                <w:vertAlign w:val="superscript"/>
              </w:rPr>
              <w:t>(1)</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financial (income) expenses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(3,369)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(27,560)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21,003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171"/>
        </w:trPr>
        <w:tc>
          <w:tcPr>
            <w:tcW w:w="2920" w:type="dxa"/>
            <w:vAlign w:val="bottom"/>
            <w:tcBorders>
              <w:top w:val="single" w:sz="8" w:color="CCEEFF"/>
            </w:tcBorders>
            <w:gridSpan w:val="2"/>
          </w:tcPr>
          <w:p>
            <w:pPr>
              <w:spacing w:after="0" w:line="171" w:lineRule="exact"/>
              <w:rPr>
                <w:sz w:val="20"/>
                <w:szCs w:val="20"/>
                <w:color w:val="auto"/>
              </w:rPr>
            </w:pPr>
            <w:r>
              <w:rPr>
                <w:rFonts w:ascii="Arial" w:cs="Arial" w:eastAsia="Arial" w:hAnsi="Arial"/>
                <w:sz w:val="18"/>
                <w:szCs w:val="18"/>
                <w:b w:val="1"/>
                <w:bCs w:val="1"/>
                <w:color w:val="auto"/>
              </w:rPr>
              <w:t>Net (loss) income before income</w:t>
            </w:r>
          </w:p>
        </w:tc>
        <w:tc>
          <w:tcPr>
            <w:tcW w:w="740" w:type="dxa"/>
            <w:vAlign w:val="bottom"/>
            <w:tcBorders>
              <w:top w:val="single" w:sz="8" w:color="auto"/>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920" w:type="dxa"/>
            <w:vAlign w:val="bottom"/>
            <w:gridSpan w:val="2"/>
          </w:tcPr>
          <w:p>
            <w:pPr>
              <w:ind w:left="180"/>
              <w:spacing w:after="0"/>
              <w:rPr>
                <w:sz w:val="20"/>
                <w:szCs w:val="20"/>
                <w:color w:val="auto"/>
              </w:rPr>
            </w:pPr>
            <w:r>
              <w:rPr>
                <w:rFonts w:ascii="Arial" w:cs="Arial" w:eastAsia="Arial" w:hAnsi="Arial"/>
                <w:sz w:val="18"/>
                <w:szCs w:val="18"/>
                <w:b w:val="1"/>
                <w:bCs w:val="1"/>
                <w:color w:val="auto"/>
              </w:rPr>
              <w:t>taxes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(16,652)</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17,937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(34,589)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(256,462)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42,637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(299,099)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920" w:type="dxa"/>
            <w:vAlign w:val="bottom"/>
            <w:gridSpan w:val="2"/>
          </w:tcPr>
          <w:p>
            <w:pPr>
              <w:spacing w:after="0"/>
              <w:rPr>
                <w:sz w:val="20"/>
                <w:szCs w:val="20"/>
                <w:color w:val="auto"/>
              </w:rPr>
            </w:pPr>
            <w:r>
              <w:rPr>
                <w:rFonts w:ascii="Arial" w:cs="Arial" w:eastAsia="Arial" w:hAnsi="Arial"/>
                <w:sz w:val="18"/>
                <w:szCs w:val="18"/>
                <w:color w:val="auto"/>
              </w:rPr>
              <w:t>Income tax (recovery) expense</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191</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8,260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(8,069)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(17,412)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20,507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(37,919)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84"/>
        </w:trPr>
        <w:tc>
          <w:tcPr>
            <w:tcW w:w="2920" w:type="dxa"/>
            <w:vAlign w:val="bottom"/>
            <w:tcBorders>
              <w:top w:val="single" w:sz="8" w:color="CCEEFF"/>
            </w:tcBorders>
            <w:gridSpan w:val="2"/>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Net (loss) income and total</w:t>
            </w:r>
          </w:p>
        </w:tc>
        <w:tc>
          <w:tcPr>
            <w:tcW w:w="7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(loss) income</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(16,843)</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9,677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(26,520)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(239,050)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22,130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(261,180)</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6"/>
        </w:trPr>
        <w:tc>
          <w:tcPr>
            <w:tcW w:w="2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Basic (loss) earnings per share (in</w:t>
            </w:r>
          </w:p>
        </w:tc>
        <w:tc>
          <w:tcPr>
            <w:tcW w:w="11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(0.08)</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(1.15)</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dollars)</w:t>
            </w:r>
          </w:p>
        </w:tc>
        <w:tc>
          <w:tcPr>
            <w:tcW w:w="1100" w:type="dxa"/>
            <w:vAlign w:val="bottom"/>
            <w:gridSpan w:val="2"/>
            <w:vMerge w:val="continue"/>
            <w:shd w:val="clear" w:color="auto" w:fill="CCEEFF"/>
          </w:tcPr>
          <w:p>
            <w:pPr>
              <w:spacing w:after="0"/>
              <w:rPr>
                <w:sz w:val="21"/>
                <w:szCs w:val="21"/>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Diluted (loss) earnings per share (in</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920" w:type="dxa"/>
            <w:vAlign w:val="bottom"/>
            <w:gridSpan w:val="2"/>
            <w:vMerge w:val="continue"/>
          </w:tcPr>
          <w:p>
            <w:pPr>
              <w:spacing w:after="0"/>
              <w:rPr>
                <w:sz w:val="15"/>
                <w:szCs w:val="15"/>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(0.08)</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vMerge w:val="restart"/>
          </w:tcPr>
          <w:p>
            <w:pPr>
              <w:jc w:val="right"/>
              <w:ind w:right="190"/>
              <w:spacing w:after="0"/>
              <w:rPr>
                <w:sz w:val="20"/>
                <w:szCs w:val="20"/>
                <w:color w:val="auto"/>
              </w:rPr>
            </w:pPr>
            <w:r>
              <w:rPr>
                <w:rFonts w:ascii="Arial" w:cs="Arial" w:eastAsia="Arial" w:hAnsi="Arial"/>
                <w:sz w:val="18"/>
                <w:szCs w:val="18"/>
                <w:b w:val="1"/>
                <w:bCs w:val="1"/>
                <w:color w:val="auto"/>
              </w:rPr>
              <w:t>(1.15)</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U.S. dollars)</w:t>
            </w:r>
          </w:p>
        </w:tc>
        <w:tc>
          <w:tcPr>
            <w:tcW w:w="1100" w:type="dxa"/>
            <w:vAlign w:val="bottom"/>
            <w:gridSpan w:val="2"/>
            <w:vMerge w:val="continue"/>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vMerge w:val="continue"/>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0.13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9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Gross Mining profit </w:t>
            </w:r>
            <w:r>
              <w:rPr>
                <w:rFonts w:ascii="Arial" w:cs="Arial" w:eastAsia="Arial" w:hAnsi="Arial"/>
                <w:sz w:val="29"/>
                <w:szCs w:val="29"/>
                <w:color w:val="auto"/>
                <w:vertAlign w:val="superscript"/>
              </w:rPr>
              <w:t>(1)</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8,494</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49,055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(40,561)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1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82,584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134,884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(52,300)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29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9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7,396</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29,061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(21,665)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(169,821)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70,533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(240,354)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57"/>
        </w:trPr>
        <w:tc>
          <w:tcPr>
            <w:tcW w:w="29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9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1,126</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40,275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(39,149)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1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51,568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113,540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(61,972)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90"/>
        </w:trPr>
        <w:tc>
          <w:tcPr>
            <w:tcW w:w="29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920" w:type="dxa"/>
            <w:vAlign w:val="bottom"/>
            <w:tcBorders>
              <w:top w:val="single" w:sz="8" w:color="CCEEFF"/>
            </w:tcBorders>
            <w:gridSpan w:val="2"/>
          </w:tcPr>
          <w:p>
            <w:pPr>
              <w:spacing w:after="0" w:line="204" w:lineRule="exact"/>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tc>
        <w:tc>
          <w:tcPr>
            <w:tcW w:w="740" w:type="dxa"/>
            <w:vAlign w:val="bottom"/>
            <w:tcBorders>
              <w:top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Gross margin, gross Mining profit, gross Mining margin, operating margin, EBITDA, EBITDA margin, adjusted EBITDA and adjusted EBITDA margin, are non-IFRS financial measures or ratios; refer to the </w:t>
      </w:r>
      <w:r>
        <w:rPr>
          <w:rFonts w:ascii="Arial" w:cs="Arial" w:eastAsia="Arial" w:hAnsi="Arial"/>
          <w:sz w:val="17"/>
          <w:szCs w:val="17"/>
          <w:i w:val="1"/>
          <w:iCs w:val="1"/>
          <w:color w:val="auto"/>
        </w:rPr>
        <w:t>Non-IFRS Financial Measures and Ratios</w:t>
      </w:r>
      <w:r>
        <w:rPr>
          <w:rFonts w:ascii="Arial" w:cs="Arial" w:eastAsia="Arial" w:hAnsi="Arial"/>
          <w:sz w:val="17"/>
          <w:szCs w:val="17"/>
          <w:color w:val="auto"/>
        </w:rPr>
        <w:t xml:space="preserve"> section of the Company’s MD&amp;A.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10260" w:type="dxa"/>
            <w:vAlign w:val="bottom"/>
            <w:gridSpan w:val="16"/>
          </w:tcPr>
          <w:p>
            <w:pPr>
              <w:ind w:left="1840"/>
              <w:spacing w:after="0"/>
              <w:rPr>
                <w:sz w:val="20"/>
                <w:szCs w:val="20"/>
                <w:color w:val="auto"/>
              </w:rPr>
            </w:pPr>
            <w:r>
              <w:rPr>
                <w:rFonts w:ascii="Arial" w:cs="Arial" w:eastAsia="Arial" w:hAnsi="Arial"/>
                <w:sz w:val="18"/>
                <w:szCs w:val="18"/>
                <w:b w:val="1"/>
                <w:bCs w:val="1"/>
                <w:color w:val="auto"/>
              </w:rPr>
              <w:t>Bitfarms Ltd. Reconciliation of Consolidated Net Income (loss) to EBITDA and Adjusted EBITDA</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(U.S.$ in thousands except where</w:t>
            </w:r>
          </w:p>
        </w:tc>
        <w:tc>
          <w:tcPr>
            <w:tcW w:w="4160" w:type="dxa"/>
            <w:vAlign w:val="bottom"/>
            <w:gridSpan w:val="8"/>
          </w:tcPr>
          <w:p>
            <w:pPr>
              <w:jc w:val="right"/>
              <w:ind w:right="810"/>
              <w:spacing w:after="0"/>
              <w:rPr>
                <w:sz w:val="20"/>
                <w:szCs w:val="20"/>
                <w:color w:val="auto"/>
              </w:rPr>
            </w:pPr>
            <w:r>
              <w:rPr>
                <w:rFonts w:ascii="Arial" w:cs="Arial" w:eastAsia="Arial" w:hAnsi="Arial"/>
                <w:sz w:val="18"/>
                <w:szCs w:val="18"/>
                <w:b w:val="1"/>
                <w:bCs w:val="1"/>
                <w:color w:val="auto"/>
              </w:rPr>
              <w:t>Three months ended December 31,</w:t>
            </w:r>
          </w:p>
        </w:tc>
        <w:tc>
          <w:tcPr>
            <w:tcW w:w="760" w:type="dxa"/>
            <w:vAlign w:val="bottom"/>
          </w:tcPr>
          <w:p>
            <w:pPr>
              <w:spacing w:after="0"/>
              <w:rPr>
                <w:sz w:val="24"/>
                <w:szCs w:val="24"/>
                <w:color w:val="auto"/>
              </w:rPr>
            </w:pPr>
          </w:p>
        </w:tc>
        <w:tc>
          <w:tcPr>
            <w:tcW w:w="2320" w:type="dxa"/>
            <w:vAlign w:val="bottom"/>
            <w:gridSpan w:val="5"/>
          </w:tcPr>
          <w:p>
            <w:pPr>
              <w:jc w:val="right"/>
              <w:ind w:right="101"/>
              <w:spacing w:after="0"/>
              <w:rPr>
                <w:sz w:val="20"/>
                <w:szCs w:val="20"/>
                <w:color w:val="auto"/>
              </w:rPr>
            </w:pPr>
            <w:r>
              <w:rPr>
                <w:rFonts w:ascii="Arial" w:cs="Arial" w:eastAsia="Arial" w:hAnsi="Arial"/>
                <w:sz w:val="18"/>
                <w:szCs w:val="18"/>
                <w:b w:val="1"/>
                <w:bCs w:val="1"/>
                <w:color w:val="auto"/>
                <w:w w:val="96"/>
              </w:rPr>
              <w:t>Year ended December 31,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020" w:type="dxa"/>
            <w:vAlign w:val="bottom"/>
            <w:gridSpan w:val="2"/>
            <w:vMerge w:val="continue"/>
          </w:tcPr>
          <w:p>
            <w:pPr>
              <w:spacing w:after="0"/>
              <w:rPr>
                <w:sz w:val="16"/>
                <w:szCs w:val="16"/>
                <w:color w:val="auto"/>
              </w:rPr>
            </w:pPr>
          </w:p>
        </w:tc>
        <w:tc>
          <w:tcPr>
            <w:tcW w:w="76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2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7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w w:val="89"/>
              </w:rPr>
              <w:t>$ Change</w:t>
            </w:r>
          </w:p>
        </w:tc>
        <w:tc>
          <w:tcPr>
            <w:tcW w:w="1080" w:type="dxa"/>
            <w:vAlign w:val="bottom"/>
            <w:gridSpan w:val="2"/>
          </w:tcPr>
          <w:p>
            <w:pPr>
              <w:jc w:val="right"/>
              <w:ind w:right="250"/>
              <w:spacing w:after="0"/>
              <w:rPr>
                <w:sz w:val="20"/>
                <w:szCs w:val="20"/>
                <w:color w:val="auto"/>
              </w:rPr>
            </w:pPr>
            <w:r>
              <w:rPr>
                <w:rFonts w:ascii="Arial" w:cs="Arial" w:eastAsia="Arial" w:hAnsi="Arial"/>
                <w:sz w:val="18"/>
                <w:szCs w:val="18"/>
                <w:color w:val="auto"/>
                <w:w w:val="85"/>
              </w:rPr>
              <w:t>% Change</w:t>
            </w:r>
          </w:p>
        </w:tc>
        <w:tc>
          <w:tcPr>
            <w:tcW w:w="7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w w:val="89"/>
              </w:rPr>
              <w:t>$ Change</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236"/>
        </w:trPr>
        <w:tc>
          <w:tcPr>
            <w:tcW w:w="29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27,037</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59,598</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142,428</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169,491</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Net (loss) income before income taxes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(16,652)</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17,937</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(34,589)</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106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(256,462)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42,637</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(299,099)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gridSpan w:val="2"/>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3,271</w:t>
            </w:r>
          </w:p>
        </w:tc>
        <w:tc>
          <w:tcPr>
            <w:tcW w:w="30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837</w:t>
            </w:r>
          </w:p>
        </w:tc>
        <w:tc>
          <w:tcPr>
            <w:tcW w:w="28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2,434</w:t>
            </w:r>
          </w:p>
        </w:tc>
        <w:tc>
          <w:tcPr>
            <w:tcW w:w="220" w:type="dxa"/>
            <w:vAlign w:val="bottom"/>
            <w:vMerge w:val="continue"/>
          </w:tcPr>
          <w:p>
            <w:pPr>
              <w:spacing w:after="0"/>
              <w:rPr>
                <w:sz w:val="17"/>
                <w:szCs w:val="17"/>
                <w:color w:val="auto"/>
              </w:rPr>
            </w:pPr>
          </w:p>
        </w:tc>
        <w:tc>
          <w:tcPr>
            <w:tcW w:w="1080" w:type="dxa"/>
            <w:vAlign w:val="bottom"/>
            <w:gridSpan w:val="2"/>
          </w:tcPr>
          <w:p>
            <w:pPr>
              <w:jc w:val="right"/>
              <w:ind w:right="90"/>
              <w:spacing w:after="0" w:line="203" w:lineRule="exact"/>
              <w:rPr>
                <w:sz w:val="20"/>
                <w:szCs w:val="20"/>
                <w:color w:val="auto"/>
              </w:rPr>
            </w:pPr>
            <w:r>
              <w:rPr>
                <w:rFonts w:ascii="Arial" w:cs="Arial" w:eastAsia="Arial" w:hAnsi="Arial"/>
                <w:sz w:val="18"/>
                <w:szCs w:val="18"/>
                <w:color w:val="auto"/>
              </w:rPr>
              <w:t>291%</w:t>
            </w:r>
          </w:p>
        </w:tc>
        <w:tc>
          <w:tcPr>
            <w:tcW w:w="7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14,221</w:t>
            </w:r>
          </w:p>
        </w:tc>
        <w:tc>
          <w:tcPr>
            <w:tcW w:w="30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3,420</w:t>
            </w:r>
          </w:p>
        </w:tc>
        <w:tc>
          <w:tcPr>
            <w:tcW w:w="26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10,801</w:t>
            </w:r>
          </w:p>
        </w:tc>
        <w:tc>
          <w:tcPr>
            <w:tcW w:w="200" w:type="dxa"/>
            <w:vAlign w:val="bottom"/>
            <w:vMerge w:val="continue"/>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9"/>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Depreciation and amortization expense</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20,777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10,287</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10,490</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102%</w:t>
            </w:r>
          </w:p>
        </w:tc>
        <w:tc>
          <w:tcPr>
            <w:tcW w:w="106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b w:val="1"/>
                <w:bCs w:val="1"/>
                <w:color w:val="auto"/>
              </w:rPr>
              <w:t>72,420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24,476</w:t>
            </w: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47,944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EBITDA</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7,396</w:t>
            </w:r>
          </w:p>
        </w:tc>
        <w:tc>
          <w:tcPr>
            <w:tcW w:w="3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29,061</w:t>
            </w:r>
          </w:p>
        </w:tc>
        <w:tc>
          <w:tcPr>
            <w:tcW w:w="28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(21,665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w:t>
            </w:r>
          </w:p>
        </w:tc>
        <w:tc>
          <w:tcPr>
            <w:tcW w:w="32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8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(169,821</w:t>
            </w:r>
          </w:p>
        </w:tc>
        <w:tc>
          <w:tcPr>
            <w:tcW w:w="300" w:type="dxa"/>
            <w:vAlign w:val="bottom"/>
            <w:tcBorders>
              <w:top w:val="single" w:sz="8" w:color="CCEEFF"/>
              <w:bottom w:val="single" w:sz="8" w:color="CCEEFF"/>
            </w:tcBorders>
          </w:tcPr>
          <w:p>
            <w:pPr>
              <w:jc w:val="right"/>
              <w:ind w:right="156"/>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70,533</w:t>
            </w:r>
          </w:p>
        </w:tc>
        <w:tc>
          <w:tcPr>
            <w:tcW w:w="26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(240,354</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i w:val="1"/>
                <w:iCs w:val="1"/>
                <w:color w:val="auto"/>
              </w:rPr>
              <w:t>(341</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i w:val="1"/>
                <w:iCs w:val="1"/>
                <w:color w:val="auto"/>
                <w:w w:val="90"/>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3,795</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21,788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22,585</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Realized loss on disposition of digital</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28,567</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vMerge w:val="restart"/>
          </w:tcPr>
          <w:p>
            <w:pPr>
              <w:jc w:val="right"/>
              <w:ind w:right="216"/>
              <w:spacing w:after="0"/>
              <w:rPr>
                <w:sz w:val="20"/>
                <w:szCs w:val="20"/>
                <w:color w:val="auto"/>
              </w:rPr>
            </w:pPr>
            <w:r>
              <w:rPr>
                <w:rFonts w:ascii="Arial" w:cs="Arial" w:eastAsia="Arial" w:hAnsi="Arial"/>
                <w:sz w:val="18"/>
                <w:szCs w:val="18"/>
                <w:b w:val="1"/>
                <w:bCs w:val="1"/>
                <w:color w:val="auto"/>
              </w:rPr>
              <w:t>150,810</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1060" w:type="dxa"/>
            <w:vAlign w:val="bottom"/>
            <w:gridSpan w:val="2"/>
            <w:vMerge w:val="continue"/>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28,430</w:t>
            </w:r>
          </w:p>
        </w:tc>
        <w:tc>
          <w:tcPr>
            <w:tcW w:w="1080" w:type="dxa"/>
            <w:vAlign w:val="bottom"/>
            <w:gridSpan w:val="2"/>
          </w:tcPr>
          <w:p>
            <w:pPr>
              <w:jc w:val="right"/>
              <w:ind w:right="230"/>
              <w:spacing w:after="0"/>
              <w:rPr>
                <w:sz w:val="20"/>
                <w:szCs w:val="20"/>
                <w:color w:val="auto"/>
              </w:rPr>
            </w:pPr>
            <w:r>
              <w:rPr>
                <w:rFonts w:ascii="Arial" w:cs="Arial" w:eastAsia="Arial" w:hAnsi="Arial"/>
                <w:sz w:val="18"/>
                <w:szCs w:val="18"/>
                <w:i w:val="1"/>
                <w:iCs w:val="1"/>
                <w:color w:val="auto"/>
              </w:rPr>
              <w:t>nm</w:t>
            </w:r>
          </w:p>
        </w:tc>
        <w:tc>
          <w:tcPr>
            <w:tcW w:w="1060" w:type="dxa"/>
            <w:vAlign w:val="bottom"/>
            <w:gridSpan w:val="2"/>
            <w:vMerge w:val="continue"/>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289</w:t>
            </w: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150,521</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Change in unrealized (gain) loss on</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(23,284)</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(2,166)</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revaluation of digital assets</w:t>
            </w:r>
          </w:p>
        </w:tc>
        <w:tc>
          <w:tcPr>
            <w:tcW w:w="1060" w:type="dxa"/>
            <w:vAlign w:val="bottom"/>
            <w:gridSpan w:val="2"/>
            <w:vMerge w:val="continue"/>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3,869</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(27,153)</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c>
          <w:tcPr>
            <w:tcW w:w="1060" w:type="dxa"/>
            <w:vAlign w:val="bottom"/>
            <w:gridSpan w:val="2"/>
            <w:vMerge w:val="continue"/>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4,861</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Impairment (reversal) on equipment</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and construction prepayments,</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and</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(8,903)</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vMerge w:val="restart"/>
          </w:tcPr>
          <w:p>
            <w:pPr>
              <w:jc w:val="right"/>
              <w:ind w:right="216"/>
              <w:spacing w:after="0"/>
              <w:rPr>
                <w:sz w:val="20"/>
                <w:szCs w:val="20"/>
                <w:color w:val="auto"/>
              </w:rPr>
            </w:pPr>
            <w:r>
              <w:rPr>
                <w:rFonts w:ascii="Arial" w:cs="Arial" w:eastAsia="Arial" w:hAnsi="Arial"/>
                <w:sz w:val="18"/>
                <w:szCs w:val="18"/>
                <w:b w:val="1"/>
                <w:bCs w:val="1"/>
                <w:color w:val="auto"/>
              </w:rPr>
              <w:t>75,213</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right-of-use assets</w:t>
            </w:r>
          </w:p>
        </w:tc>
        <w:tc>
          <w:tcPr>
            <w:tcW w:w="1060" w:type="dxa"/>
            <w:vAlign w:val="bottom"/>
            <w:gridSpan w:val="2"/>
            <w:vMerge w:val="continue"/>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1,800</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(10,703)</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(595)%</w:t>
            </w:r>
          </w:p>
        </w:tc>
        <w:tc>
          <w:tcPr>
            <w:tcW w:w="1060" w:type="dxa"/>
            <w:vAlign w:val="bottom"/>
            <w:gridSpan w:val="2"/>
            <w:vMerge w:val="continue"/>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1,800</w:t>
            </w: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73,413</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on goodwill</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b w:val="1"/>
                <w:bCs w:val="1"/>
                <w:color w:val="auto"/>
              </w:rPr>
              <w:t>17,900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17,900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w w:val="98"/>
              </w:rPr>
              <w:t>Impairment reversal on property, plant</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vMerge w:val="restart"/>
          </w:tcPr>
          <w:p>
            <w:pPr>
              <w:jc w:val="right"/>
              <w:ind w:right="216"/>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and equipment</w:t>
            </w:r>
          </w:p>
        </w:tc>
        <w:tc>
          <w:tcPr>
            <w:tcW w:w="1060" w:type="dxa"/>
            <w:vAlign w:val="bottom"/>
            <w:gridSpan w:val="2"/>
            <w:vMerge w:val="continue"/>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vMerge w:val="continue"/>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(1,860)</w:t>
            </w: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1,860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financial (income) expenses and</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(6,445)</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(42,156)</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60" w:type="dxa"/>
            <w:vAlign w:val="bottom"/>
            <w:gridSpan w:val="2"/>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(4,628)</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(1,817)</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1060" w:type="dxa"/>
            <w:vAlign w:val="bottom"/>
            <w:gridSpan w:val="2"/>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15,332</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(57,488)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gridSpan w:val="2"/>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1,126</w:t>
            </w:r>
          </w:p>
        </w:tc>
        <w:tc>
          <w:tcPr>
            <w:tcW w:w="30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40,275</w:t>
            </w:r>
          </w:p>
        </w:tc>
        <w:tc>
          <w:tcPr>
            <w:tcW w:w="28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(39,149)</w:t>
            </w:r>
          </w:p>
        </w:tc>
        <w:tc>
          <w:tcPr>
            <w:tcW w:w="220" w:type="dxa"/>
            <w:vAlign w:val="bottom"/>
            <w:vMerge w:val="continue"/>
          </w:tcPr>
          <w:p>
            <w:pPr>
              <w:spacing w:after="0"/>
              <w:rPr>
                <w:sz w:val="17"/>
                <w:szCs w:val="17"/>
                <w:color w:val="auto"/>
              </w:rPr>
            </w:pPr>
          </w:p>
        </w:tc>
        <w:tc>
          <w:tcPr>
            <w:tcW w:w="108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(97)%</w:t>
            </w:r>
          </w:p>
        </w:tc>
        <w:tc>
          <w:tcPr>
            <w:tcW w:w="7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51,568</w:t>
            </w:r>
          </w:p>
        </w:tc>
        <w:tc>
          <w:tcPr>
            <w:tcW w:w="30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113,540</w:t>
            </w:r>
          </w:p>
        </w:tc>
        <w:tc>
          <w:tcPr>
            <w:tcW w:w="26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(61,972)</w:t>
            </w:r>
          </w:p>
        </w:tc>
        <w:tc>
          <w:tcPr>
            <w:tcW w:w="200" w:type="dxa"/>
            <w:vAlign w:val="bottom"/>
            <w:vMerge w:val="continue"/>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20" w:type="dxa"/>
            <w:vAlign w:val="bottom"/>
            <w:tcBorders>
              <w:top w:val="single" w:sz="8" w:color="CCEEFF"/>
            </w:tcBorders>
            <w:gridSpan w:val="2"/>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gridSpan w:val="15"/>
          </w:tcPr>
          <w:p>
            <w:pPr>
              <w:ind w:left="2720"/>
              <w:spacing w:after="0"/>
              <w:rPr>
                <w:sz w:val="20"/>
                <w:szCs w:val="20"/>
                <w:color w:val="auto"/>
              </w:rPr>
            </w:pPr>
            <w:r>
              <w:rPr>
                <w:rFonts w:ascii="Arial" w:cs="Arial" w:eastAsia="Arial" w:hAnsi="Arial"/>
                <w:sz w:val="18"/>
                <w:szCs w:val="18"/>
                <w:b w:val="1"/>
                <w:bCs w:val="1"/>
                <w:color w:val="auto"/>
              </w:rPr>
              <w:t>Bitfarms Ltd. Calculation of Gross Mining Profit and Gross Mining Margin</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(U.S.$ in thousands except where</w:t>
            </w:r>
          </w:p>
        </w:tc>
        <w:tc>
          <w:tcPr>
            <w:tcW w:w="4160" w:type="dxa"/>
            <w:vAlign w:val="bottom"/>
            <w:gridSpan w:val="8"/>
          </w:tcPr>
          <w:p>
            <w:pPr>
              <w:jc w:val="right"/>
              <w:ind w:right="810"/>
              <w:spacing w:after="0"/>
              <w:rPr>
                <w:sz w:val="20"/>
                <w:szCs w:val="20"/>
                <w:color w:val="auto"/>
              </w:rPr>
            </w:pPr>
            <w:r>
              <w:rPr>
                <w:rFonts w:ascii="Arial" w:cs="Arial" w:eastAsia="Arial" w:hAnsi="Arial"/>
                <w:sz w:val="18"/>
                <w:szCs w:val="18"/>
                <w:b w:val="1"/>
                <w:bCs w:val="1"/>
                <w:color w:val="auto"/>
              </w:rPr>
              <w:t>Three months ended December 31,</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right"/>
              <w:ind w:right="101"/>
              <w:spacing w:after="0"/>
              <w:rPr>
                <w:sz w:val="20"/>
                <w:szCs w:val="20"/>
                <w:color w:val="auto"/>
              </w:rPr>
            </w:pPr>
            <w:r>
              <w:rPr>
                <w:rFonts w:ascii="Arial" w:cs="Arial" w:eastAsia="Arial" w:hAnsi="Arial"/>
                <w:sz w:val="18"/>
                <w:szCs w:val="18"/>
                <w:b w:val="1"/>
                <w:bCs w:val="1"/>
                <w:color w:val="auto"/>
                <w:w w:val="88"/>
              </w:rPr>
              <w:t>Year ended December 31,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000" w:type="dxa"/>
            <w:vAlign w:val="bottom"/>
            <w:gridSpan w:val="2"/>
            <w:vMerge w:val="continue"/>
          </w:tcPr>
          <w:p>
            <w:pPr>
              <w:spacing w:after="0"/>
              <w:rPr>
                <w:sz w:val="16"/>
                <w:szCs w:val="16"/>
                <w:color w:val="auto"/>
              </w:rPr>
            </w:pPr>
          </w:p>
        </w:tc>
        <w:tc>
          <w:tcPr>
            <w:tcW w:w="7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7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w w:val="89"/>
              </w:rPr>
              <w:t>$ Change</w:t>
            </w:r>
          </w:p>
        </w:tc>
        <w:tc>
          <w:tcPr>
            <w:tcW w:w="1080" w:type="dxa"/>
            <w:vAlign w:val="bottom"/>
            <w:gridSpan w:val="2"/>
          </w:tcPr>
          <w:p>
            <w:pPr>
              <w:jc w:val="right"/>
              <w:ind w:right="230"/>
              <w:spacing w:after="0"/>
              <w:rPr>
                <w:sz w:val="20"/>
                <w:szCs w:val="20"/>
                <w:color w:val="auto"/>
              </w:rPr>
            </w:pPr>
            <w:r>
              <w:rPr>
                <w:rFonts w:ascii="Arial" w:cs="Arial" w:eastAsia="Arial" w:hAnsi="Arial"/>
                <w:sz w:val="18"/>
                <w:szCs w:val="18"/>
                <w:color w:val="auto"/>
                <w:w w:val="87"/>
              </w:rPr>
              <w:t>% Change</w:t>
            </w:r>
          </w:p>
        </w:tc>
        <w:tc>
          <w:tcPr>
            <w:tcW w:w="7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w w:val="92"/>
              </w:rPr>
              <w:t>$ Change</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249"/>
        </w:trPr>
        <w:tc>
          <w:tcPr>
            <w:tcW w:w="29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(loss) profit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(12,084</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38,985</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10,518</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111,120</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3"/>
        </w:trPr>
        <w:tc>
          <w:tcPr>
            <w:tcW w:w="3000" w:type="dxa"/>
            <w:vAlign w:val="bottom"/>
            <w:gridSpan w:val="2"/>
          </w:tcPr>
          <w:p>
            <w:pPr>
              <w:spacing w:after="0" w:line="203" w:lineRule="exact"/>
              <w:rPr>
                <w:sz w:val="20"/>
                <w:szCs w:val="20"/>
                <w:color w:val="auto"/>
              </w:rPr>
            </w:pPr>
            <w:r>
              <w:rPr>
                <w:rFonts w:ascii="Arial" w:cs="Arial" w:eastAsia="Arial" w:hAnsi="Arial"/>
                <w:sz w:val="18"/>
                <w:szCs w:val="18"/>
                <w:color w:val="auto"/>
              </w:rPr>
              <w:t>Non-Mining revenues (1)</w:t>
            </w:r>
          </w:p>
        </w:tc>
        <w:tc>
          <w:tcPr>
            <w:tcW w:w="7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(1,101)</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(1,206)</w:t>
            </w:r>
          </w:p>
        </w:tc>
        <w:tc>
          <w:tcPr>
            <w:tcW w:w="28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7"/>
                <w:szCs w:val="17"/>
                <w:color w:val="auto"/>
              </w:rPr>
            </w:pPr>
          </w:p>
        </w:tc>
        <w:tc>
          <w:tcPr>
            <w:tcW w:w="108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(9)%</w:t>
            </w:r>
          </w:p>
        </w:tc>
        <w:tc>
          <w:tcPr>
            <w:tcW w:w="7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(3,443)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(4,425)</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982</w:t>
            </w:r>
          </w:p>
        </w:tc>
        <w:tc>
          <w:tcPr>
            <w:tcW w:w="2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(22)</w:t>
            </w:r>
          </w:p>
        </w:tc>
        <w:tc>
          <w:tcPr>
            <w:tcW w:w="2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Depreciation and amortization expense</w:t>
            </w: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20,777</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10,287</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10,490</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72,420</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24,476</w:t>
            </w: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47,944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2"/>
        </w:trPr>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w w:val="93"/>
              </w:rPr>
              <w:t>Purchases of electrical components and</w:t>
            </w:r>
          </w:p>
        </w:tc>
        <w:tc>
          <w:tcPr>
            <w:tcW w:w="1080" w:type="dxa"/>
            <w:vAlign w:val="bottom"/>
            <w:gridSpan w:val="2"/>
            <w:vMerge w:val="restart"/>
          </w:tcPr>
          <w:p>
            <w:pPr>
              <w:jc w:val="right"/>
              <w:ind w:right="221"/>
              <w:spacing w:after="0"/>
              <w:rPr>
                <w:sz w:val="20"/>
                <w:szCs w:val="20"/>
                <w:color w:val="auto"/>
              </w:rPr>
            </w:pPr>
            <w:r>
              <w:rPr>
                <w:rFonts w:ascii="Arial" w:cs="Arial" w:eastAsia="Arial" w:hAnsi="Arial"/>
                <w:sz w:val="18"/>
                <w:szCs w:val="18"/>
                <w:b w:val="1"/>
                <w:bCs w:val="1"/>
                <w:color w:val="auto"/>
              </w:rPr>
              <w:t>510</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1,773</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080" w:type="dxa"/>
            <w:vAlign w:val="bottom"/>
            <w:gridSpan w:val="2"/>
            <w:vMerge w:val="continue"/>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552</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(8)%</w:t>
            </w:r>
          </w:p>
        </w:tc>
        <w:tc>
          <w:tcPr>
            <w:tcW w:w="960" w:type="dxa"/>
            <w:vAlign w:val="bottom"/>
            <w:gridSpan w:val="2"/>
            <w:vMerge w:val="continue"/>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1,986</w:t>
            </w: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(213)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Electrician salaries and payroll taxes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(45)</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1,316</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1,727</w:t>
            </w: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Gross Mining profit (2)</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gridSpan w:val="2"/>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8,494</w:t>
            </w:r>
          </w:p>
        </w:tc>
        <w:tc>
          <w:tcPr>
            <w:tcW w:w="300" w:type="dxa"/>
            <w:vAlign w:val="bottom"/>
            <w:vMerge w:val="continue"/>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49,055</w:t>
            </w:r>
          </w:p>
        </w:tc>
        <w:tc>
          <w:tcPr>
            <w:tcW w:w="28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(40,561)</w:t>
            </w:r>
          </w:p>
        </w:tc>
        <w:tc>
          <w:tcPr>
            <w:tcW w:w="220" w:type="dxa"/>
            <w:vAlign w:val="bottom"/>
            <w:vMerge w:val="continue"/>
          </w:tcPr>
          <w:p>
            <w:pPr>
              <w:spacing w:after="0"/>
              <w:rPr>
                <w:sz w:val="17"/>
                <w:szCs w:val="17"/>
                <w:color w:val="auto"/>
              </w:rPr>
            </w:pPr>
          </w:p>
        </w:tc>
        <w:tc>
          <w:tcPr>
            <w:tcW w:w="108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(83)%</w:t>
            </w:r>
          </w:p>
        </w:tc>
        <w:tc>
          <w:tcPr>
            <w:tcW w:w="7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82,584</w:t>
            </w: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134,884</w:t>
            </w:r>
          </w:p>
        </w:tc>
        <w:tc>
          <w:tcPr>
            <w:tcW w:w="26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(52,300)</w:t>
            </w:r>
          </w:p>
        </w:tc>
        <w:tc>
          <w:tcPr>
            <w:tcW w:w="220" w:type="dxa"/>
            <w:vAlign w:val="bottom"/>
            <w:vMerge w:val="continue"/>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Mining margin</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(1)  Non-Mining revenues reconciliation:</w:t>
      </w:r>
    </w:p>
    <w:p>
      <w:pPr>
        <w:spacing w:after="0" w:line="200" w:lineRule="exact"/>
        <w:rPr>
          <w:sz w:val="20"/>
          <w:szCs w:val="20"/>
          <w:color w:val="auto"/>
        </w:rPr>
      </w:pPr>
    </w:p>
    <w:p>
      <w:pPr>
        <w:spacing w:after="0" w:line="307"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(U.S.$ in thousands except where indicated)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40" w:lineRule="exact"/>
        <w:rPr>
          <w:sz w:val="20"/>
          <w:szCs w:val="20"/>
          <w:color w:val="auto"/>
        </w:rPr>
      </w:pPr>
    </w:p>
    <w:p>
      <w:pPr>
        <w:ind w:left="180" w:right="260" w:hanging="161"/>
        <w:spacing w:after="0" w:line="255" w:lineRule="auto"/>
        <w:rPr>
          <w:sz w:val="20"/>
          <w:szCs w:val="20"/>
          <w:color w:val="auto"/>
        </w:rPr>
      </w:pPr>
      <w:r>
        <w:rPr>
          <w:rFonts w:ascii="Arial" w:cs="Arial" w:eastAsia="Arial" w:hAnsi="Arial"/>
          <w:sz w:val="18"/>
          <w:szCs w:val="18"/>
          <w:color w:val="auto"/>
        </w:rPr>
        <w:t>Less Mining related revenues for the purpose of calculating gross Mining margin:</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Mining revenues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Hosting revenues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Non-Mining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3740" w:type="dxa"/>
            <w:vAlign w:val="bottom"/>
            <w:tcBorders>
              <w:bottom w:val="single" w:sz="8" w:color="auto"/>
            </w:tcBorders>
            <w:gridSpan w:val="7"/>
          </w:tcPr>
          <w:p>
            <w:pPr>
              <w:jc w:val="right"/>
              <w:ind w:right="450"/>
              <w:spacing w:after="0"/>
              <w:rPr>
                <w:sz w:val="20"/>
                <w:szCs w:val="20"/>
                <w:color w:val="auto"/>
              </w:rPr>
            </w:pPr>
            <w:r>
              <w:rPr>
                <w:rFonts w:ascii="Arial" w:cs="Arial" w:eastAsia="Arial" w:hAnsi="Arial"/>
                <w:sz w:val="18"/>
                <w:szCs w:val="18"/>
                <w:b w:val="1"/>
                <w:bCs w:val="1"/>
                <w:color w:val="auto"/>
              </w:rPr>
              <w:t>Three months ended December 31,</w:t>
            </w:r>
          </w:p>
        </w:tc>
        <w:tc>
          <w:tcPr>
            <w:tcW w:w="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right"/>
              <w:ind w:right="41"/>
              <w:spacing w:after="0"/>
              <w:rPr>
                <w:sz w:val="20"/>
                <w:szCs w:val="20"/>
                <w:color w:val="auto"/>
              </w:rPr>
            </w:pPr>
            <w:r>
              <w:rPr>
                <w:rFonts w:ascii="Arial" w:cs="Arial" w:eastAsia="Arial" w:hAnsi="Arial"/>
                <w:sz w:val="18"/>
                <w:szCs w:val="18"/>
                <w:b w:val="1"/>
                <w:bCs w:val="1"/>
                <w:color w:val="auto"/>
                <w:w w:val="89"/>
              </w:rPr>
              <w:t>Year ended December 31,</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426"/>
        </w:trPr>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4"/>
                <w:szCs w:val="24"/>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4"/>
                <w:szCs w:val="24"/>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w w:val="89"/>
              </w:rPr>
              <w:t>$ Change</w:t>
            </w:r>
          </w:p>
        </w:tc>
        <w:tc>
          <w:tcPr>
            <w:tcW w:w="1100" w:type="dxa"/>
            <w:vAlign w:val="bottom"/>
            <w:gridSpan w:val="2"/>
          </w:tcPr>
          <w:p>
            <w:pPr>
              <w:jc w:val="right"/>
              <w:ind w:right="250"/>
              <w:spacing w:after="0"/>
              <w:rPr>
                <w:sz w:val="20"/>
                <w:szCs w:val="20"/>
                <w:color w:val="auto"/>
              </w:rPr>
            </w:pPr>
            <w:r>
              <w:rPr>
                <w:rFonts w:ascii="Arial" w:cs="Arial" w:eastAsia="Arial" w:hAnsi="Arial"/>
                <w:sz w:val="18"/>
                <w:szCs w:val="18"/>
                <w:color w:val="auto"/>
                <w:w w:val="87"/>
              </w:rPr>
              <w:t>% Change</w:t>
            </w: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4"/>
                <w:szCs w:val="24"/>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4"/>
                <w:szCs w:val="24"/>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w w:val="92"/>
              </w:rPr>
              <w:t>$ Change</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w w:val="87"/>
              </w:rPr>
              <w:t>% Change</w:t>
            </w:r>
          </w:p>
        </w:tc>
      </w:tr>
      <w:tr>
        <w:trPr>
          <w:trHeight w:val="229"/>
        </w:trPr>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27,037</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59,598</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(32,561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142,428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169,491</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(27,063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7"/>
        </w:trPr>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836"/>
        </w:trPr>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(25,936)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(58,392)</w:t>
            </w: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32,456</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(56)%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(138,985)</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(164,393)</w:t>
            </w: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25,408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51"/>
        </w:trPr>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(673)</w:t>
            </w: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673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1,101</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4,425</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8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-453390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-162560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-1036955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220"/>
            <w:col w:w="8000"/>
          </w:cols>
          <w:pgMar w:left="320" w:top="904" w:right="339" w:bottom="1440" w:gutter="0" w:footer="0" w:header="0"/>
          <w:type w:val="continuous"/>
        </w:sectPr>
      </w:pPr>
    </w:p>
    <w:p>
      <w:pPr>
        <w:spacing w:after="0" w:line="42" w:lineRule="exact"/>
        <w:rPr>
          <w:sz w:val="20"/>
          <w:szCs w:val="20"/>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Mining profit” is defined as Gross profit excluding depreciation and amortization and other minor items included in cost of revenues that do not directly relate to Mining related activities. “Gross Mining margin” is defined as the percentage obtained when dividing Gross Mining profit by Revenues from Mining related activities.</w:t>
      </w: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lvl w:ilvl="1">
      <w:lvlJc w:val="left"/>
      <w:lvlText w:val="○"/>
      <w:numFmt w:val="bullet"/>
      <w:start w:val="1"/>
    </w:lvl>
  </w:abstractNum>
  <w:abstractNum w:abstractNumId="6">
    <w:nsid w:val="5BD062C2"/>
    <w:multiLevelType w:val="hybridMultilevel"/>
    <w:lvl w:ilvl="0">
      <w:lvlJc w:val="left"/>
      <w:lvlText w:val="*"/>
      <w:numFmt w:val="bullet"/>
      <w:start w:val="1"/>
    </w:lvl>
    <w:lvl w:ilvl="1">
      <w:lvlJc w:val="left"/>
      <w:lvlText w:val="●"/>
      <w:numFmt w:val="bullet"/>
      <w:start w:val="1"/>
    </w:lvl>
  </w:abstractNum>
  <w:abstractNum w:abstractNumId="7">
    <w:nsid w:val="12200854"/>
    <w:multiLevelType w:val="hybridMultilevel"/>
    <w:lvl w:ilvl="0">
      <w:lvlJc w:val="left"/>
      <w:lvlText w:val="**"/>
      <w:numFmt w:val="bullet"/>
      <w:start w:val="1"/>
    </w:lvl>
    <w:lvl w:ilvl="1">
      <w:lvlJc w:val="left"/>
      <w:lvlText w:val="●"/>
      <w:numFmt w:val="bullet"/>
      <w:start w:val="1"/>
    </w:lvl>
  </w:abstractNum>
  <w:abstractNum w:abstractNumId="8">
    <w:nsid w:val="4DB127F8"/>
    <w:multiLevelType w:val="hybridMultilevel"/>
    <w:lvl w:ilvl="0">
      <w:lvlJc w:val="left"/>
      <w:lvlText w:val="***"/>
      <w:numFmt w:val="bullet"/>
      <w:start w:val="1"/>
    </w:lvl>
    <w:lvl w:ilvl="1">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2023-03-21T05:11:48Z</dcterms:created>
  <dcterms:modified xsi:type="dcterms:W3CDTF">2023-03-21T05:11:48Z</dcterms:modified>
</cp:coreProperties>
</file>