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For the month of January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00" w:lineRule="exact"/>
        <w:rPr>
          <w:sz w:val="20"/>
          <w:szCs w:val="20"/>
          <w:color w:val="auto"/>
        </w:rPr>
      </w:pPr>
    </w:p>
    <w:p>
      <w:pPr>
        <w:spacing w:after="0" w:line="24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January 10,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460" w:type="dxa"/>
            <w:vAlign w:val="bottom"/>
          </w:tcPr>
          <w:p>
            <w:pPr>
              <w:spacing w:after="0"/>
              <w:rPr>
                <w:sz w:val="20"/>
                <w:szCs w:val="20"/>
                <w:color w:val="auto"/>
              </w:rPr>
            </w:pPr>
          </w:p>
        </w:tc>
        <w:tc>
          <w:tcPr>
            <w:tcW w:w="642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42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Material Change Report dated January 10, 2022</w:t>
              </w:r>
            </w:hyperlink>
          </w:p>
        </w:tc>
      </w:tr>
      <w:tr>
        <w:trPr>
          <w:trHeight w:val="763"/>
        </w:trPr>
        <w:tc>
          <w:tcPr>
            <w:tcW w:w="1360" w:type="dxa"/>
            <w:vAlign w:val="bottom"/>
            <w:tcBorders>
              <w:top w:val="single" w:sz="8" w:color="CCEEFF"/>
              <w:bottom w:val="single" w:sz="8" w:color="auto"/>
            </w:tcBorders>
          </w:tcPr>
          <w:p>
            <w:pPr>
              <w:spacing w:after="0"/>
              <w:rPr>
                <w:sz w:val="24"/>
                <w:szCs w:val="24"/>
                <w:color w:val="auto"/>
              </w:rPr>
            </w:pPr>
          </w:p>
        </w:tc>
        <w:tc>
          <w:tcPr>
            <w:tcW w:w="3460" w:type="dxa"/>
            <w:vAlign w:val="bottom"/>
            <w:tcBorders>
              <w:top w:val="single" w:sz="8" w:color="0000EE"/>
              <w:bottom w:val="single" w:sz="8" w:color="auto"/>
            </w:tcBorders>
          </w:tcPr>
          <w:p>
            <w:pPr>
              <w:spacing w:after="0"/>
              <w:rPr>
                <w:sz w:val="24"/>
                <w:szCs w:val="24"/>
                <w:color w:val="auto"/>
              </w:rPr>
            </w:pPr>
          </w:p>
        </w:tc>
        <w:tc>
          <w:tcPr>
            <w:tcW w:w="64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7" w:lineRule="exact"/>
        <w:rPr>
          <w:sz w:val="20"/>
          <w:szCs w:val="20"/>
          <w:color w:val="auto"/>
        </w:rPr>
      </w:pPr>
    </w:p>
    <w:p>
      <w:pPr>
        <w:ind w:left="6520"/>
        <w:spacing w:after="0"/>
        <w:tabs>
          <w:tab w:leader="none" w:pos="71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L. Geoffrey Morphy</w:t>
      </w:r>
    </w:p>
    <w:p>
      <w:pPr>
        <w:spacing w:after="0" w:line="23" w:lineRule="exact"/>
        <w:rPr>
          <w:sz w:val="20"/>
          <w:szCs w:val="20"/>
          <w:color w:val="auto"/>
        </w:rPr>
      </w:pPr>
    </w:p>
    <w:p>
      <w:pPr>
        <w:ind w:left="6520"/>
        <w:spacing w:after="0"/>
        <w:tabs>
          <w:tab w:leader="none" w:pos="712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800"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ectPr>
          <w:pgSz w:w="11900" w:h="16838" w:orient="portrait"/>
          <w:cols w:equalWidth="0" w:num="1">
            <w:col w:w="11240"/>
          </w:cols>
          <w:pgMar w:left="320" w:top="112"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and Address of Company</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Bitfarms Ltd. (“Bitfarms” or the “Company”)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12" w:right="3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January 10, 2022.</w:t>
      </w:r>
    </w:p>
    <w:p>
      <w:pPr>
        <w:sectPr>
          <w:pgSz w:w="11900" w:h="16838" w:orient="portrait"/>
          <w:cols w:equalWidth="0" w:num="1">
            <w:col w:w="11240"/>
          </w:cols>
          <w:pgMar w:left="320" w:top="112" w:right="339" w:bottom="144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January 10, 2022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112"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 &amp;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January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151765</wp:posOffset>
            </wp:positionV>
            <wp:extent cx="2065655" cy="56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6565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Bitfarms Buys 1,000 Bitcoin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Holds Over 4,300 Bitcoins in Treasury as of January 10, 2022 -</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This news release constitutes a “designated news release” for the</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purposes of the Company’s prospectus supplement dated August 16, 2021</w:t>
      </w:r>
    </w:p>
    <w:p>
      <w:pPr>
        <w:spacing w:after="0" w:line="9" w:lineRule="exact"/>
        <w:rPr>
          <w:sz w:val="20"/>
          <w:szCs w:val="20"/>
          <w:color w:val="auto"/>
        </w:rPr>
      </w:pPr>
    </w:p>
    <w:p>
      <w:pPr>
        <w:ind w:left="3400"/>
        <w:spacing w:after="0"/>
        <w:rPr>
          <w:sz w:val="20"/>
          <w:szCs w:val="20"/>
          <w:color w:val="auto"/>
        </w:rPr>
      </w:pPr>
      <w:r>
        <w:rPr>
          <w:rFonts w:ascii="Arial" w:cs="Arial" w:eastAsia="Arial" w:hAnsi="Arial"/>
          <w:sz w:val="18"/>
          <w:szCs w:val="18"/>
          <w:i w:val="1"/>
          <w:iCs w:val="1"/>
          <w:color w:val="auto"/>
        </w:rPr>
        <w:t>to its short form base shelf prospectus dated August 12, 2021.</w:t>
      </w:r>
    </w:p>
    <w:p>
      <w:pPr>
        <w:spacing w:after="0" w:line="200" w:lineRule="exact"/>
        <w:rPr>
          <w:sz w:val="20"/>
          <w:szCs w:val="20"/>
          <w:color w:val="auto"/>
        </w:rPr>
      </w:pPr>
    </w:p>
    <w:p>
      <w:pPr>
        <w:spacing w:after="0" w:line="223" w:lineRule="exact"/>
        <w:rPr>
          <w:sz w:val="20"/>
          <w:szCs w:val="20"/>
          <w:color w:val="auto"/>
        </w:rPr>
      </w:pPr>
    </w:p>
    <w:p>
      <w:pPr>
        <w:jc w:val="both"/>
        <w:ind w:left="20" w:hanging="8"/>
        <w:spacing w:after="0" w:line="282" w:lineRule="auto"/>
        <w:rPr>
          <w:sz w:val="20"/>
          <w:szCs w:val="20"/>
          <w:color w:val="auto"/>
        </w:rPr>
      </w:pPr>
      <w:r>
        <w:rPr>
          <w:rFonts w:ascii="Arial" w:cs="Arial" w:eastAsia="Arial" w:hAnsi="Arial"/>
          <w:sz w:val="18"/>
          <w:szCs w:val="18"/>
          <w:b w:val="1"/>
          <w:bCs w:val="1"/>
          <w:color w:val="auto"/>
        </w:rPr>
        <w:t xml:space="preserve">Toronto, Ontario and Brossard, Québec (January 10, 2022)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TSXV: BITF</w:t>
      </w:r>
      <w:r>
        <w:rPr>
          <w:rFonts w:ascii="Arial" w:cs="Arial" w:eastAsia="Arial" w:hAnsi="Arial"/>
          <w:sz w:val="18"/>
          <w:szCs w:val="18"/>
          <w:color w:val="auto"/>
        </w:rPr>
        <w:t>), a global Bitcoin self-mining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a Bitcoin (BTC) purchase and treasury update.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Emiliano Grodzki, Bitfarms Founder and Chief Executive Officer, said, “Our guiding company strategy at Bitfarms is to accumulate the most Bitcoin for the lowest cost and in the fastest amount of time for the benefit of our shareholders. To that end, we continually optimize our capital allocation. With the dip in BTC while mining hardware prices remain high, we seized the opportunity to move cash into BTC. We continue to be committed to executing our operational growth strategy and delivering our goal of 8 Exahash/second by the end of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Bitcoin Purchase Metrics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week of January 2022, Bitfarms purchased 1,000 BTC for US$43.2 million. This increased the BTC holdings 30% to over 4,300 as of January 10,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reference, 1,000 BTC is roughly equivalent to the amount Bitfarms added to the treasury in the third quarter of 2021 and again in the fourth quarter of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ind w:hanging="8"/>
        <w:spacing w:after="0" w:line="308" w:lineRule="auto"/>
        <w:rPr>
          <w:sz w:val="20"/>
          <w:szCs w:val="20"/>
          <w:color w:val="auto"/>
        </w:rPr>
      </w:pPr>
      <w:r>
        <w:rPr>
          <w:rFonts w:ascii="Arial" w:cs="Arial" w:eastAsia="Arial" w:hAnsi="Arial"/>
          <w:sz w:val="17"/>
          <w:szCs w:val="17"/>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46" w:lineRule="exact"/>
        <w:rPr>
          <w:sz w:val="20"/>
          <w:szCs w:val="20"/>
          <w:color w:val="auto"/>
        </w:rPr>
      </w:pPr>
    </w:p>
    <w:p>
      <w:pPr>
        <w:jc w:val="both"/>
        <w:ind w:hanging="10"/>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 w:name="page6"/>
    <w:bookmarkEnd w:id="5"/>
    <w:p>
      <w:pPr>
        <w:jc w:val="both"/>
        <w:ind w:hanging="10"/>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and one in Washington state. Each facility is over 99% powered with environmentally friendly hydro power and secured with long-term power contracts. Bitfarms is currently the only publicly traded pure-play mining company audited by a Big Four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https://www.facebook.com/bitfarms/ https://twitter.com/Bitfarms_io https://www.instagram.com/bitfarms/ https://www.linkedin.com/company/bitfarms/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ind w:hanging="8"/>
        <w:spacing w:after="0" w:line="259"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hanging="8"/>
        <w:spacing w:after="0" w:line="270"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information in this release regarding expectations in respect to the benefits of acquiring and holding Bitcoin, its future rate of Bitcoin production, its future accumulation of Bitcoin, its expansion plans,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1" w:lineRule="exact"/>
        <w:rPr>
          <w:sz w:val="20"/>
          <w:szCs w:val="20"/>
          <w:color w:val="auto"/>
        </w:rPr>
      </w:pPr>
    </w:p>
    <w:p>
      <w:pPr>
        <w:jc w:val="both"/>
        <w:ind w:hanging="8"/>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 w:name="page7"/>
    <w:bookmarkEnd w:id="6"/>
    <w:p>
      <w:pPr>
        <w:jc w:val="both"/>
        <w:ind w:hanging="8"/>
        <w:spacing w:after="0" w:line="283" w:lineRule="auto"/>
        <w:rPr>
          <w:sz w:val="20"/>
          <w:szCs w:val="20"/>
          <w:color w:val="auto"/>
        </w:rPr>
      </w:pPr>
      <w:r>
        <w:rPr>
          <w:rFonts w:ascii="Arial" w:cs="Arial" w:eastAsia="Arial" w:hAnsi="Arial"/>
          <w:sz w:val="16"/>
          <w:szCs w:val="16"/>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LHA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 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 Communications 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2022-01-10T15:02:37Z</dcterms:created>
  <dcterms:modified xsi:type="dcterms:W3CDTF">2022-01-10T15:02:37Z</dcterms:modified>
</cp:coreProperties>
</file>