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June,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ind w:right="160"/>
        <w:spacing w:after="0" w:line="259" w:lineRule="auto"/>
        <w:rPr>
          <w:sz w:val="20"/>
          <w:szCs w:val="20"/>
          <w:color w:val="auto"/>
        </w:rPr>
      </w:pPr>
      <w:r>
        <w:rPr>
          <w:rFonts w:ascii="Arial" w:cs="Arial" w:eastAsia="Arial" w:hAnsi="Arial"/>
          <w:sz w:val="18"/>
          <w:szCs w:val="18"/>
          <w:color w:val="auto"/>
        </w:rPr>
        <w:t>On June 23, 2021, the Registrant filed with the Canadian Securities Regulatory Authorities on the System for Electronic Data Analysis and Retrieval (SEDAR) a material change report that includes a copy of a press release and an addendum to its management information circular for its annual general and special meeting of shareholders, copies of which are attached hereto as Exhibit 99.1 and Exhibit 99.2, respectively, and which are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3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79"/>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June 23,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2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Addendum to the Management Information Circular dated June 23, 2021</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0000EE"/>
              <w:bottom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1</w:t>
            </w:r>
          </w:p>
        </w:tc>
        <w:tc>
          <w:tcPr>
            <w:tcW w:w="48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2021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700" w:space="720"/>
            <w:col w:w="982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June 23, 2021.</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700" w:space="720"/>
            <w:col w:w="982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June 23, 2021.</w:t>
      </w:r>
    </w:p>
    <w:p>
      <w:pPr>
        <w:spacing w:after="0" w:line="24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680" w:space="720"/>
            <w:col w:w="98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720" w:space="720"/>
            <w:col w:w="980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720" w:space="720"/>
            <w:col w:w="980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119"/>
        <w:spacing w:after="0"/>
        <w:rPr>
          <w:sz w:val="20"/>
          <w:szCs w:val="20"/>
          <w:color w:val="auto"/>
        </w:rPr>
      </w:pPr>
      <w:r>
        <w:rPr>
          <w:rFonts w:ascii="Arial" w:cs="Arial" w:eastAsia="Arial" w:hAnsi="Arial"/>
          <w:sz w:val="18"/>
          <w:szCs w:val="18"/>
          <w:color w:val="auto"/>
        </w:rPr>
        <w:t>Schedule “A”</w:t>
      </w:r>
    </w:p>
    <w:p>
      <w:pPr>
        <w:spacing w:after="0" w:line="198" w:lineRule="exact"/>
        <w:rPr>
          <w:sz w:val="20"/>
          <w:szCs w:val="20"/>
          <w:color w:val="auto"/>
        </w:rPr>
      </w:pPr>
    </w:p>
    <w:p>
      <w:pPr>
        <w:ind w:right="120"/>
        <w:spacing w:after="0" w:line="325" w:lineRule="auto"/>
        <w:rPr>
          <w:sz w:val="20"/>
          <w:szCs w:val="20"/>
          <w:color w:val="auto"/>
        </w:rPr>
      </w:pPr>
      <w:r>
        <w:rPr>
          <w:rFonts w:ascii="Arial" w:cs="Arial" w:eastAsia="Arial" w:hAnsi="Arial"/>
          <w:sz w:val="29"/>
          <w:szCs w:val="29"/>
          <w:b w:val="1"/>
          <w:bCs w:val="1"/>
          <w:color w:val="auto"/>
        </w:rPr>
        <w:t>Bitfarms Provides Reminder of Upcoming Annual General and Special Meeting and Issues Addendum to Previously Filed Management Information Circular</w:t>
      </w:r>
    </w:p>
    <w:p>
      <w:pPr>
        <w:spacing w:after="0" w:line="65" w:lineRule="exact"/>
        <w:rPr>
          <w:sz w:val="20"/>
          <w:szCs w:val="20"/>
          <w:color w:val="auto"/>
        </w:rPr>
      </w:pPr>
    </w:p>
    <w:p>
      <w:pPr>
        <w:ind w:right="60" w:hanging="8"/>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(June 23,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TSXV:BITF// NASDAQ:BITF</w:t>
      </w:r>
      <w:r>
        <w:rPr>
          <w:rFonts w:ascii="Arial" w:cs="Arial" w:eastAsia="Arial" w:hAnsi="Arial"/>
          <w:sz w:val="18"/>
          <w:szCs w:val="18"/>
          <w:color w:val="auto"/>
        </w:rPr>
        <w:t>), provides a</w:t>
      </w:r>
      <w:r>
        <w:rPr>
          <w:rFonts w:ascii="Arial" w:cs="Arial" w:eastAsia="Arial" w:hAnsi="Arial"/>
          <w:sz w:val="18"/>
          <w:szCs w:val="18"/>
          <w:b w:val="1"/>
          <w:bCs w:val="1"/>
          <w:color w:val="auto"/>
        </w:rPr>
        <w:t xml:space="preserve"> </w:t>
      </w:r>
      <w:r>
        <w:rPr>
          <w:rFonts w:ascii="Arial" w:cs="Arial" w:eastAsia="Arial" w:hAnsi="Arial"/>
          <w:sz w:val="18"/>
          <w:szCs w:val="18"/>
          <w:color w:val="auto"/>
        </w:rPr>
        <w:t>reminder of its upcoming Annual General and Special Meeting and issues the following news release to supplement the disclosure contained in its recently filed management information circular dated April 28, 2021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General and Special Meeting</w:t>
      </w:r>
    </w:p>
    <w:p>
      <w:pPr>
        <w:spacing w:after="0" w:line="229" w:lineRule="exact"/>
        <w:rPr>
          <w:sz w:val="20"/>
          <w:szCs w:val="20"/>
          <w:color w:val="auto"/>
        </w:rPr>
      </w:pPr>
    </w:p>
    <w:p>
      <w:pPr>
        <w:ind w:right="260" w:hanging="8"/>
        <w:spacing w:after="0" w:line="277" w:lineRule="auto"/>
        <w:rPr>
          <w:sz w:val="20"/>
          <w:szCs w:val="20"/>
          <w:color w:val="auto"/>
        </w:rPr>
      </w:pPr>
      <w:r>
        <w:rPr>
          <w:rFonts w:ascii="Arial" w:cs="Arial" w:eastAsia="Arial" w:hAnsi="Arial"/>
          <w:sz w:val="18"/>
          <w:szCs w:val="18"/>
          <w:color w:val="auto"/>
        </w:rPr>
        <w:t>The Company will hold its Annual General and Special Meeting virtually on June 25, 2021 at 1:30 p.m. (Eastern time). We are inviting shareholders of the Company to participate in the meeting by accessing the virtual meeting platform using the details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URL: https://virtual-meetings.tsxtrust.com/1118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Password: bitfarms2021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ID: 1118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Addendum to Previously Filed Management Information Circular</w:t>
      </w:r>
    </w:p>
    <w:p>
      <w:pPr>
        <w:spacing w:after="0" w:line="229" w:lineRule="exact"/>
        <w:rPr>
          <w:sz w:val="20"/>
          <w:szCs w:val="20"/>
          <w:color w:val="auto"/>
        </w:rPr>
      </w:pPr>
    </w:p>
    <w:p>
      <w:pPr>
        <w:ind w:hanging="8"/>
        <w:spacing w:after="0" w:line="263" w:lineRule="auto"/>
        <w:rPr>
          <w:sz w:val="20"/>
          <w:szCs w:val="20"/>
          <w:color w:val="auto"/>
        </w:rPr>
      </w:pPr>
      <w:r>
        <w:rPr>
          <w:rFonts w:ascii="Arial" w:cs="Arial" w:eastAsia="Arial" w:hAnsi="Arial"/>
          <w:sz w:val="18"/>
          <w:szCs w:val="18"/>
          <w:color w:val="auto"/>
        </w:rPr>
        <w:t>The Company is disseminating an addendum to the Circular to note that disinterested shareholder approval will be required for approval of the Company’s proposed LTIP (as defined in the Circular) and that the maximum number of restricted stock units issuable under the LTIP is fixed at 10,000,000. The addendum to the Circular is filed under the Company’s profile on www.sedar.com.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380" w:hanging="8"/>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146" w:lineRule="exact"/>
        <w:rPr>
          <w:sz w:val="20"/>
          <w:szCs w:val="20"/>
          <w:color w:val="auto"/>
        </w:rPr>
      </w:pPr>
    </w:p>
    <w:p>
      <w:pPr>
        <w:jc w:val="both"/>
        <w:ind w:right="260" w:hanging="8"/>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4" w:lineRule="exact"/>
        <w:rPr>
          <w:sz w:val="20"/>
          <w:szCs w:val="20"/>
          <w:color w:val="auto"/>
        </w:rPr>
      </w:pPr>
    </w:p>
    <w:p>
      <w:pPr>
        <w:ind w:right="540" w:hanging="8"/>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hanging="8"/>
        <w:spacing w:after="0" w:line="286"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60" w:hanging="8"/>
        <w:spacing w:after="0" w:line="272"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7" w:lineRule="exact"/>
        <w:rPr>
          <w:sz w:val="20"/>
          <w:szCs w:val="20"/>
          <w:color w:val="auto"/>
        </w:rPr>
      </w:pPr>
    </w:p>
    <w:p>
      <w:pPr>
        <w:ind w:right="60"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6" w:name="page7"/>
    <w:bookmarkEnd w:id="6"/>
    <w:p>
      <w:pPr>
        <w:ind w:hanging="8"/>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154305</wp:posOffset>
            </wp:positionV>
            <wp:extent cx="251142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14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ADDENDUM TO THE MANAGEMENT INFORMATION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CIRCULAR IN RESPECT OF THE ANNUAL GENERAL AND</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SPECIAL MEETING OF SHAREHOLDERS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CIRCULAR ADDENDUM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23, 2021</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This management information circular addendum (the “</w:t>
      </w:r>
      <w:r>
        <w:rPr>
          <w:rFonts w:ascii="Arial" w:cs="Arial" w:eastAsia="Arial" w:hAnsi="Arial"/>
          <w:sz w:val="18"/>
          <w:szCs w:val="18"/>
          <w:b w:val="1"/>
          <w:bCs w:val="1"/>
          <w:color w:val="auto"/>
        </w:rPr>
        <w:t>Addendum</w:t>
      </w:r>
      <w:r>
        <w:rPr>
          <w:rFonts w:ascii="Arial" w:cs="Arial" w:eastAsia="Arial" w:hAnsi="Arial"/>
          <w:sz w:val="18"/>
          <w:szCs w:val="18"/>
          <w:color w:val="auto"/>
        </w:rPr>
        <w:t>”) adds to and replaces certain information contained in the management information circular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dated April 28, 2021 (the “</w:t>
      </w:r>
      <w:r>
        <w:rPr>
          <w:rFonts w:ascii="Arial" w:cs="Arial" w:eastAsia="Arial" w:hAnsi="Arial"/>
          <w:sz w:val="18"/>
          <w:szCs w:val="18"/>
          <w:b w:val="1"/>
          <w:bCs w:val="1"/>
          <w:color w:val="auto"/>
        </w:rPr>
        <w:t>Circular</w:t>
      </w:r>
      <w:r>
        <w:rPr>
          <w:rFonts w:ascii="Arial" w:cs="Arial" w:eastAsia="Arial" w:hAnsi="Arial"/>
          <w:sz w:val="18"/>
          <w:szCs w:val="18"/>
          <w:color w:val="auto"/>
        </w:rPr>
        <w:t>”) in respect of the annual and special meeting of shareholders to be held on June 25, 2021 (the “</w:t>
      </w:r>
      <w:r>
        <w:rPr>
          <w:rFonts w:ascii="Arial" w:cs="Arial" w:eastAsia="Arial" w:hAnsi="Arial"/>
          <w:sz w:val="18"/>
          <w:szCs w:val="18"/>
          <w:b w:val="1"/>
          <w:bCs w:val="1"/>
          <w:color w:val="auto"/>
        </w:rPr>
        <w:t>Shareholder Meeting</w:t>
      </w:r>
      <w:r>
        <w:rPr>
          <w:rFonts w:ascii="Arial" w:cs="Arial" w:eastAsia="Arial" w:hAnsi="Arial"/>
          <w:sz w:val="18"/>
          <w:szCs w:val="18"/>
          <w:color w:val="auto"/>
        </w:rPr>
        <w:t>”). The Addendum should be read in conjunction with the information contained in the Circular. All terms capitalized and not otherwise defined herein shall have the meaning ascribed thereto in the Circular.</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Circular currently provides for the following at paragraph (f) under the heading “</w:t>
      </w:r>
      <w:r>
        <w:rPr>
          <w:rFonts w:ascii="Arial" w:cs="Arial" w:eastAsia="Arial" w:hAnsi="Arial"/>
          <w:sz w:val="18"/>
          <w:szCs w:val="18"/>
          <w:i w:val="1"/>
          <w:iCs w:val="1"/>
          <w:color w:val="auto"/>
        </w:rPr>
        <w:t>Notice of Annual General Meeting of Shareholders</w:t>
      </w:r>
      <w:r>
        <w:rPr>
          <w:rFonts w:ascii="Arial" w:cs="Arial" w:eastAsia="Arial" w:hAnsi="Arial"/>
          <w:sz w:val="18"/>
          <w:szCs w:val="18"/>
          <w:color w:val="auto"/>
        </w:rPr>
        <w:t>” with the following:</w:t>
      </w:r>
    </w:p>
    <w:p>
      <w:pPr>
        <w:spacing w:after="0" w:line="17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 to consider and, if deemed advisable, to pass, with or without variation, an ordinary resolution to approve the Corporation’s 10% rolling long term incentive plan for the ensuing year;”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the Shareholder Meeting, the above-noted item of business will be amended to replace paragraph (f) under the heading “</w:t>
      </w:r>
      <w:r>
        <w:rPr>
          <w:rFonts w:ascii="Arial" w:cs="Arial" w:eastAsia="Arial" w:hAnsi="Arial"/>
          <w:sz w:val="18"/>
          <w:szCs w:val="18"/>
          <w:i w:val="1"/>
          <w:iCs w:val="1"/>
          <w:color w:val="auto"/>
        </w:rPr>
        <w:t>Notice of Annual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of Shareholders</w:t>
      </w:r>
      <w:r>
        <w:rPr>
          <w:rFonts w:ascii="Arial" w:cs="Arial" w:eastAsia="Arial" w:hAnsi="Arial"/>
          <w:sz w:val="18"/>
          <w:szCs w:val="18"/>
          <w:color w:val="auto"/>
        </w:rPr>
        <w:t>” with the following (the “</w:t>
      </w:r>
      <w:r>
        <w:rPr>
          <w:rFonts w:ascii="Arial" w:cs="Arial" w:eastAsia="Arial" w:hAnsi="Arial"/>
          <w:sz w:val="18"/>
          <w:szCs w:val="18"/>
          <w:b w:val="1"/>
          <w:bCs w:val="1"/>
          <w:color w:val="auto"/>
        </w:rPr>
        <w:t>LTIP Resolution</w:t>
      </w:r>
      <w:r>
        <w:rPr>
          <w:rFonts w:ascii="Arial" w:cs="Arial" w:eastAsia="Arial" w:hAnsi="Arial"/>
          <w:sz w:val="18"/>
          <w:szCs w:val="18"/>
          <w:color w:val="auto"/>
        </w:rPr>
        <w:t>”):</w:t>
      </w:r>
    </w:p>
    <w:p>
      <w:pPr>
        <w:spacing w:after="0" w:line="166" w:lineRule="exact"/>
        <w:rPr>
          <w:sz w:val="20"/>
          <w:szCs w:val="20"/>
          <w:color w:val="auto"/>
        </w:rPr>
      </w:pPr>
    </w:p>
    <w:p>
      <w:pPr>
        <w:ind w:left="760" w:right="80"/>
        <w:spacing w:after="0" w:line="282" w:lineRule="auto"/>
        <w:rPr>
          <w:sz w:val="20"/>
          <w:szCs w:val="20"/>
          <w:color w:val="auto"/>
        </w:rPr>
      </w:pPr>
      <w:r>
        <w:rPr>
          <w:rFonts w:ascii="Arial" w:cs="Arial" w:eastAsia="Arial" w:hAnsi="Arial"/>
          <w:sz w:val="18"/>
          <w:szCs w:val="18"/>
          <w:color w:val="auto"/>
        </w:rPr>
        <w:t>“(f) to consider and, if deemed advisable, to pass, with or without variation, an ordinary resolution of disinterested shareholders (“</w:t>
      </w:r>
      <w:r>
        <w:rPr>
          <w:rFonts w:ascii="Arial" w:cs="Arial" w:eastAsia="Arial" w:hAnsi="Arial"/>
          <w:sz w:val="18"/>
          <w:szCs w:val="18"/>
          <w:b w:val="1"/>
          <w:bCs w:val="1"/>
          <w:color w:val="auto"/>
        </w:rPr>
        <w:t>Disinterested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to approve the Corporation’s long term incentive plan (the “</w:t>
      </w:r>
      <w:r>
        <w:rPr>
          <w:rFonts w:ascii="Arial" w:cs="Arial" w:eastAsia="Arial" w:hAnsi="Arial"/>
          <w:sz w:val="18"/>
          <w:szCs w:val="18"/>
          <w:b w:val="1"/>
          <w:bCs w:val="1"/>
          <w:color w:val="auto"/>
        </w:rPr>
        <w:t>LTIP</w:t>
      </w:r>
      <w:r>
        <w:rPr>
          <w:rFonts w:ascii="Arial" w:cs="Arial" w:eastAsia="Arial" w:hAnsi="Arial"/>
          <w:sz w:val="18"/>
          <w:szCs w:val="18"/>
          <w:color w:val="auto"/>
        </w:rPr>
        <w:t>”) for the ensuing year;”</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Discretionary proxies held by Management Nominees which are voted in favour of this item of business will be voted in favour of the LTIP Resolution. As at the Record Date, insiders of the Corporation hold 23,189,778 Common Shares and will abstain from voting such Common Shares on the LTIP Resolution. Shareholders who do not wish to vote in favour of the LTIP Resolution are instructed to amend their proxy to vote against approval of the LTIP following the instructions as provided in the Circular.</w:t>
      </w:r>
    </w:p>
    <w:p>
      <w:pPr>
        <w:spacing w:after="0" w:line="187"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To provide further information on the Amendment, the Circular is hereby amended to replace the third to eighth paragraphs under the heading “</w:t>
      </w:r>
      <w:r>
        <w:rPr>
          <w:rFonts w:ascii="Arial" w:cs="Arial" w:eastAsia="Arial" w:hAnsi="Arial"/>
          <w:sz w:val="17"/>
          <w:szCs w:val="17"/>
          <w:i w:val="1"/>
          <w:iCs w:val="1"/>
          <w:color w:val="auto"/>
        </w:rPr>
        <w:t>PARTICULARS OF MATTERS TO BE ACTED UPON – 6. Approval of Long Term Incentive Plan</w:t>
      </w:r>
      <w:r>
        <w:rPr>
          <w:rFonts w:ascii="Arial" w:cs="Arial" w:eastAsia="Arial" w:hAnsi="Arial"/>
          <w:sz w:val="17"/>
          <w:szCs w:val="17"/>
          <w:color w:val="auto"/>
        </w:rPr>
        <w:t>” with the following:</w:t>
      </w:r>
    </w:p>
    <w:p>
      <w:pPr>
        <w:spacing w:after="0" w:line="146" w:lineRule="exact"/>
        <w:rPr>
          <w:sz w:val="20"/>
          <w:szCs w:val="20"/>
          <w:color w:val="auto"/>
        </w:rPr>
      </w:pPr>
    </w:p>
    <w:p>
      <w:pPr>
        <w:ind w:left="760"/>
        <w:spacing w:after="0" w:line="293" w:lineRule="auto"/>
        <w:rPr>
          <w:sz w:val="20"/>
          <w:szCs w:val="20"/>
          <w:color w:val="auto"/>
        </w:rPr>
      </w:pPr>
      <w:r>
        <w:rPr>
          <w:rFonts w:ascii="Arial" w:cs="Arial" w:eastAsia="Arial" w:hAnsi="Arial"/>
          <w:sz w:val="16"/>
          <w:szCs w:val="16"/>
          <w:color w:val="auto"/>
        </w:rPr>
        <w:t>“The LTIP is designed to ensure compliance with the policies of TSX Venture Exchange (the “TSXV”). The LTIP is an incentive plan pursuant to which stock options and a fixed number of RSUs may be issued, that sets the number of Common Shares issuable thereunder at a maximum of 10% of the Common Shares issued and outstanding at the time of any grant and fixes the number of RSUs at 10,000,000. As at the date of this Circular, there are 7,108,922 options outstanding pursuant to the Old Plan which, assuming approval of the LTIP by the Shareholders at the Meeting, will be subsumed as options outstanding under the LTIP, and will represent approximately 4.90% of the issued and outstanding Common Shares, leaving a total of 7,392,764 Common Shares available for reservation pursuant to new grants of options.</w:t>
      </w:r>
    </w:p>
    <w:p>
      <w:pPr>
        <w:spacing w:after="0" w:line="164" w:lineRule="exact"/>
        <w:rPr>
          <w:sz w:val="20"/>
          <w:szCs w:val="20"/>
          <w:color w:val="auto"/>
        </w:rPr>
      </w:pPr>
    </w:p>
    <w:p>
      <w:pPr>
        <w:ind w:left="760"/>
        <w:spacing w:after="0" w:line="263" w:lineRule="auto"/>
        <w:rPr>
          <w:sz w:val="20"/>
          <w:szCs w:val="20"/>
          <w:color w:val="auto"/>
        </w:rPr>
      </w:pPr>
      <w:r>
        <w:rPr>
          <w:rFonts w:ascii="Arial" w:cs="Arial" w:eastAsia="Arial" w:hAnsi="Arial"/>
          <w:sz w:val="18"/>
          <w:szCs w:val="18"/>
          <w:color w:val="auto"/>
        </w:rPr>
        <w:t>Pursuant to the policies of TSXV, the Corporation is required to obtain the approval of its Disinterested Shareholders for a new incentive plan for acceptance of the incentive plan by the Corporation and at each annual meeting of shareholders. Accordingly, at the Meeting, Disinterested Shareholders will be asked to approve an ordinary resolution to approve the LTIP.</w:t>
      </w:r>
    </w:p>
    <w:p>
      <w:pPr>
        <w:spacing w:after="0" w:line="184" w:lineRule="exact"/>
        <w:rPr>
          <w:sz w:val="20"/>
          <w:szCs w:val="20"/>
          <w:color w:val="auto"/>
        </w:rPr>
      </w:pPr>
    </w:p>
    <w:p>
      <w:pPr>
        <w:ind w:left="760" w:right="320"/>
        <w:spacing w:after="0" w:line="259" w:lineRule="auto"/>
        <w:rPr>
          <w:sz w:val="20"/>
          <w:szCs w:val="20"/>
          <w:color w:val="auto"/>
        </w:rPr>
      </w:pPr>
      <w:r>
        <w:rPr>
          <w:rFonts w:ascii="Arial" w:cs="Arial" w:eastAsia="Arial" w:hAnsi="Arial"/>
          <w:sz w:val="18"/>
          <w:szCs w:val="18"/>
          <w:color w:val="auto"/>
        </w:rPr>
        <w:t>The LTIP provides that the Board may from time to time, in its discretion, grant to directors, officers, employees and consultants of the Corporation, or any subsidiary of the Corporation, the option to purchase Common Shares or restricted stock units (“RSUs”) which grant the holder the right to receive a payment in Common Shares. For a summary of the material features of the LTIP, please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LTIP</w:t>
      </w:r>
      <w:r>
        <w:rPr>
          <w:rFonts w:ascii="Arial" w:cs="Arial" w:eastAsia="Arial" w:hAnsi="Arial"/>
          <w:sz w:val="18"/>
          <w:szCs w:val="18"/>
          <w:color w:val="auto"/>
        </w:rPr>
        <w: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LTIP is set forth in Schedule “D” of this Circular.</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760"/>
        <w:spacing w:after="0" w:line="263" w:lineRule="auto"/>
        <w:rPr>
          <w:sz w:val="20"/>
          <w:szCs w:val="20"/>
          <w:color w:val="auto"/>
        </w:rPr>
      </w:pPr>
      <w:r>
        <w:rPr>
          <w:rFonts w:ascii="Arial" w:cs="Arial" w:eastAsia="Arial" w:hAnsi="Arial"/>
          <w:sz w:val="18"/>
          <w:szCs w:val="18"/>
          <w:color w:val="auto"/>
        </w:rPr>
        <w:t>At the Meeting, Disinterested Shareholders will be asked to consider and, if deemed appropriate, to pass, with or without variation, an ordinary resolution to approve the LTIP for the ensuing year (the “LTIP Resolution”). In order to be effected, the LTIP Resolution is required to be passed by the affirmative vote of a majority of the votes cast at the Meeting by disinterested shareholders.</w:t>
      </w:r>
    </w:p>
    <w:p>
      <w:pPr>
        <w:spacing w:after="0" w:line="184" w:lineRule="exact"/>
        <w:rPr>
          <w:sz w:val="20"/>
          <w:szCs w:val="20"/>
          <w:color w:val="auto"/>
        </w:rPr>
      </w:pPr>
    </w:p>
    <w:p>
      <w:pPr>
        <w:ind w:left="760" w:right="20"/>
        <w:spacing w:after="0" w:line="286" w:lineRule="auto"/>
        <w:rPr>
          <w:sz w:val="20"/>
          <w:szCs w:val="20"/>
          <w:color w:val="auto"/>
        </w:rPr>
      </w:pPr>
      <w:r>
        <w:rPr>
          <w:rFonts w:ascii="Arial" w:cs="Arial" w:eastAsia="Arial" w:hAnsi="Arial"/>
          <w:sz w:val="17"/>
          <w:szCs w:val="17"/>
          <w:color w:val="auto"/>
        </w:rPr>
        <w:t>The Board recommends that Disinterested Shareholders vote FOR the LTIP Resolution. Unless the Shareholder has specifically instructed in the form of proxy or voting instruction form that the Common Shares represented by such proxy or voting instruction form are to be voted against the LTIP Resolution, the persons named in the proxy or voting information form will vote FOR the LTIP Resolution.”</w:t>
      </w:r>
    </w:p>
    <w:p>
      <w:pPr>
        <w:spacing w:after="0" w:line="165"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In addition, the Circular is hereby amended to replace the sixth and seventh paragraphs under the heading “</w:t>
      </w:r>
      <w:r>
        <w:rPr>
          <w:rFonts w:ascii="Arial" w:cs="Arial" w:eastAsia="Arial" w:hAnsi="Arial"/>
          <w:sz w:val="18"/>
          <w:szCs w:val="18"/>
          <w:i w:val="1"/>
          <w:iCs w:val="1"/>
          <w:color w:val="auto"/>
        </w:rPr>
        <w:t>STATEMENT OF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Stock Option Plan</w:t>
      </w:r>
      <w:r>
        <w:rPr>
          <w:rFonts w:ascii="Arial" w:cs="Arial" w:eastAsia="Arial" w:hAnsi="Arial"/>
          <w:sz w:val="18"/>
          <w:szCs w:val="18"/>
          <w:color w:val="auto"/>
        </w:rPr>
        <w:t>” with the following:</w:t>
      </w:r>
    </w:p>
    <w:p>
      <w:pPr>
        <w:spacing w:after="0" w:line="170" w:lineRule="exact"/>
        <w:rPr>
          <w:sz w:val="20"/>
          <w:szCs w:val="20"/>
          <w:color w:val="auto"/>
        </w:rPr>
      </w:pPr>
    </w:p>
    <w:p>
      <w:pPr>
        <w:ind w:left="760" w:right="20"/>
        <w:spacing w:after="0" w:line="255" w:lineRule="auto"/>
        <w:rPr>
          <w:sz w:val="20"/>
          <w:szCs w:val="20"/>
          <w:color w:val="auto"/>
        </w:rPr>
      </w:pPr>
      <w:r>
        <w:rPr>
          <w:rFonts w:ascii="Arial" w:cs="Arial" w:eastAsia="Arial" w:hAnsi="Arial"/>
          <w:sz w:val="18"/>
          <w:szCs w:val="18"/>
          <w:color w:val="auto"/>
        </w:rPr>
        <w:t>“The LTIP is a partially rolling incentive plan, under which 10% of the outstanding Common Shares at any given time are available for issuance thereunder. The purpose of the LTIP is to advance the interests of the Corporation by (i) providing certain employees, officers, directors, or consultants of the Corporation (collectively, the “</w:t>
      </w:r>
      <w:r>
        <w:rPr>
          <w:rFonts w:ascii="Arial" w:cs="Arial" w:eastAsia="Arial" w:hAnsi="Arial"/>
          <w:sz w:val="18"/>
          <w:szCs w:val="18"/>
          <w:b w:val="1"/>
          <w:bCs w:val="1"/>
          <w:color w:val="auto"/>
        </w:rPr>
        <w:t>Award Holders</w:t>
      </w:r>
      <w:r>
        <w:rPr>
          <w:rFonts w:ascii="Arial" w:cs="Arial" w:eastAsia="Arial" w:hAnsi="Arial"/>
          <w:sz w:val="18"/>
          <w:szCs w:val="18"/>
          <w:color w:val="auto"/>
        </w:rPr>
        <w:t>”) with additional performance incentive; (ii) encouraging Common Share ownership by the Award Holders; (iii) increasing the proprietary interest of the Award Holders in the success of the Corporation; (iv) encouraging the Award Holders to remain with the Corporation; and (v) attracting new employees, officers, directors and consultants to the Corporation.</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information is intended to be a brief description and summary of the material features of the LTIP:</w:t>
      </w:r>
    </w:p>
    <w:p>
      <w:pPr>
        <w:spacing w:after="0" w:line="225" w:lineRule="exact"/>
        <w:rPr>
          <w:sz w:val="20"/>
          <w:szCs w:val="20"/>
          <w:color w:val="auto"/>
        </w:rPr>
      </w:pPr>
    </w:p>
    <w:p>
      <w:pPr>
        <w:ind w:left="1120" w:right="40" w:hanging="316"/>
        <w:spacing w:after="0" w:line="296"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aggregate maximum number of Common Shares available for issuance from treasury under the LTIP and all of the Corporation’s other security-based compensation arrangements at any given time is 10% of the outstanding Common Shares as at the date of grant of an option under the LTIP, subject to adjustment or increase of such number pursuant to the terms of the LTIP. Any Common Shares subject to an award (“</w:t>
      </w:r>
      <w:r>
        <w:rPr>
          <w:rFonts w:ascii="Arial" w:cs="Arial" w:eastAsia="Arial" w:hAnsi="Arial"/>
          <w:sz w:val="16"/>
          <w:szCs w:val="16"/>
          <w:b w:val="1"/>
          <w:bCs w:val="1"/>
          <w:color w:val="auto"/>
        </w:rPr>
        <w:t>Award</w:t>
      </w:r>
      <w:r>
        <w:rPr>
          <w:rFonts w:ascii="Arial" w:cs="Arial" w:eastAsia="Arial" w:hAnsi="Arial"/>
          <w:sz w:val="16"/>
          <w:szCs w:val="16"/>
          <w:color w:val="auto"/>
        </w:rPr>
        <w:t>”) of options or RSUs which has been granted under the LTIP and which has been cancelled, repurchased, expired or terminated in accordance with the terms of the LTIP without having been exercised will again be available under the LTIP.</w:t>
      </w:r>
    </w:p>
    <w:p>
      <w:pPr>
        <w:spacing w:after="0" w:line="161" w:lineRule="exact"/>
        <w:rPr>
          <w:rFonts w:ascii="Arial" w:cs="Arial" w:eastAsia="Arial" w:hAnsi="Arial"/>
          <w:sz w:val="16"/>
          <w:szCs w:val="16"/>
          <w:color w:val="auto"/>
        </w:rPr>
      </w:pPr>
    </w:p>
    <w:p>
      <w:pPr>
        <w:ind w:left="1120" w:hanging="31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RSU entitles the holder to receive one Common Share.</w:t>
      </w:r>
    </w:p>
    <w:p>
      <w:pPr>
        <w:spacing w:after="0" w:line="225" w:lineRule="exact"/>
        <w:rPr>
          <w:rFonts w:ascii="Arial" w:cs="Arial" w:eastAsia="Arial" w:hAnsi="Arial"/>
          <w:sz w:val="18"/>
          <w:szCs w:val="18"/>
          <w:color w:val="auto"/>
        </w:rPr>
      </w:pPr>
    </w:p>
    <w:p>
      <w:pPr>
        <w:ind w:left="1120" w:hanging="31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number of RSUs issuable under the LTIP is fixed as 10,000,000.</w:t>
      </w:r>
    </w:p>
    <w:p>
      <w:pPr>
        <w:spacing w:after="0" w:line="225" w:lineRule="exact"/>
        <w:rPr>
          <w:rFonts w:ascii="Arial" w:cs="Arial" w:eastAsia="Arial" w:hAnsi="Arial"/>
          <w:sz w:val="18"/>
          <w:szCs w:val="18"/>
          <w:color w:val="auto"/>
        </w:rPr>
      </w:pPr>
    </w:p>
    <w:p>
      <w:pPr>
        <w:ind w:left="1120" w:right="180" w:hanging="316"/>
        <w:spacing w:after="0" w:line="257"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exercise price of an option shall be determined by the Board at the time each option is granted, provided that such price shall not be less than (i) if the Common Shares are listed on the Exchange (as such term is defined in the LTIP), the last closing price of the Common Shares on the Exchange; or (ii) 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187" w:lineRule="exact"/>
        <w:rPr>
          <w:rFonts w:ascii="Arial" w:cs="Arial" w:eastAsia="Arial" w:hAnsi="Arial"/>
          <w:sz w:val="18"/>
          <w:szCs w:val="18"/>
          <w:color w:val="auto"/>
        </w:rPr>
      </w:pPr>
    </w:p>
    <w:p>
      <w:pPr>
        <w:jc w:val="both"/>
        <w:ind w:left="1120" w:right="360" w:hanging="316"/>
        <w:spacing w:after="0" w:line="263"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w:t>
      </w:r>
    </w:p>
    <w:p>
      <w:pPr>
        <w:spacing w:after="0" w:line="183" w:lineRule="exact"/>
        <w:rPr>
          <w:rFonts w:ascii="Arial" w:cs="Arial" w:eastAsia="Arial" w:hAnsi="Arial"/>
          <w:sz w:val="18"/>
          <w:szCs w:val="18"/>
          <w:color w:val="auto"/>
        </w:rPr>
      </w:pPr>
    </w:p>
    <w:p>
      <w:pPr>
        <w:jc w:val="both"/>
        <w:ind w:left="1120" w:right="660" w:hanging="316"/>
        <w:spacing w:after="0" w:line="263"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aggregate number of Common Shares reserved for issuance pursuant to awards granted to any one person or entity within any twelvemonth period shall not exceed 5% of the total number of Common Shares then outstanding unless disinterested shareholder approval is obtained.</w:t>
      </w:r>
    </w:p>
    <w:p>
      <w:pPr>
        <w:spacing w:after="0" w:line="183" w:lineRule="exact"/>
        <w:rPr>
          <w:rFonts w:ascii="Arial" w:cs="Arial" w:eastAsia="Arial" w:hAnsi="Arial"/>
          <w:sz w:val="18"/>
          <w:szCs w:val="18"/>
          <w:color w:val="auto"/>
        </w:rPr>
      </w:pPr>
    </w:p>
    <w:p>
      <w:pPr>
        <w:ind w:left="1120" w:right="440" w:hanging="316"/>
        <w:spacing w:after="0" w:line="301"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Directors, officers, consultants and employees of the Corporation or its subsidiaries, and employees of a person or company which provides management services to the Corporation or its subsidiaries are eligible to participate in the LTIP. Subject to compliance with requirements of the applicable regulators, Awards Holders may elect to hold Awards granted to them in an incorporated entity wholly owned by them and such entity is bound by the LTIP in the same manner as if the Awards were held by the Award Holder.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 w:name="page11"/>
    <w:bookmarkEnd w:id="10"/>
    <w:p>
      <w:pPr>
        <w:ind w:left="316" w:right="480" w:hanging="316"/>
        <w:spacing w:after="0" w:line="277"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 and all rights thereunder shall expire on the date set out in the Award agreement, provided that in no circumstances shall the duration of an Award exceed the maximum term permitted by the applicable regulators.</w:t>
      </w:r>
    </w:p>
    <w:p>
      <w:pPr>
        <w:spacing w:after="0" w:line="170" w:lineRule="exact"/>
        <w:rPr>
          <w:rFonts w:ascii="Arial" w:cs="Arial" w:eastAsia="Arial" w:hAnsi="Arial"/>
          <w:sz w:val="18"/>
          <w:szCs w:val="18"/>
          <w:color w:val="auto"/>
        </w:rPr>
      </w:pPr>
    </w:p>
    <w:p>
      <w:pPr>
        <w:ind w:left="316" w:right="120" w:hanging="316"/>
        <w:spacing w:after="0" w:line="259"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186" w:lineRule="exact"/>
        <w:rPr>
          <w:rFonts w:ascii="Arial" w:cs="Arial" w:eastAsia="Arial" w:hAnsi="Arial"/>
          <w:sz w:val="18"/>
          <w:szCs w:val="18"/>
          <w:color w:val="auto"/>
        </w:rPr>
      </w:pPr>
    </w:p>
    <w:p>
      <w:pPr>
        <w:ind w:left="316" w:right="120" w:hanging="316"/>
        <w:spacing w:after="0" w:line="279" w:lineRule="auto"/>
        <w:tabs>
          <w:tab w:leader="none" w:pos="31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LTIP are generally subject to a vesting schedule as follows: (i) 1/3 upon the date of grant; (ii) 1/3 upon the first anniversary of the date of grant; and (iii) 1/3 upon the second anniversary of the date of grant.</w:t>
      </w:r>
    </w:p>
    <w:p>
      <w:pPr>
        <w:spacing w:after="0" w:line="171" w:lineRule="exact"/>
        <w:rPr>
          <w:rFonts w:ascii="Arial" w:cs="Arial" w:eastAsia="Arial" w:hAnsi="Arial"/>
          <w:sz w:val="17"/>
          <w:szCs w:val="17"/>
          <w:color w:val="auto"/>
        </w:rPr>
      </w:pPr>
    </w:p>
    <w:p>
      <w:pPr>
        <w:ind w:left="316" w:hanging="316"/>
        <w:spacing w:after="0" w:line="301" w:lineRule="auto"/>
        <w:tabs>
          <w:tab w:leader="none" w:pos="316"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event an Award Holder ceases to be eligible for the grant of Awards under the LTIP, Awards previously granted to such person will cease to be exercisable within a period of 90 days after the date such person ceases to be eligible under the LTIP, or such longer or shorter period as determined by the Board, provided that no Award shall remain outstanding for any period which exceeds the earlier of: (i) the expiry date of such Award; and (ii) 12 months following the date such person ceases to be eligible under the LTIP.</w:t>
      </w:r>
    </w:p>
    <w:p>
      <w:pPr>
        <w:spacing w:after="0" w:line="157" w:lineRule="exact"/>
        <w:rPr>
          <w:rFonts w:ascii="Arial" w:cs="Arial" w:eastAsia="Arial" w:hAnsi="Arial"/>
          <w:sz w:val="16"/>
          <w:szCs w:val="16"/>
          <w:color w:val="auto"/>
        </w:rPr>
      </w:pPr>
    </w:p>
    <w:p>
      <w:pPr>
        <w:ind w:left="316" w:right="220" w:hanging="316"/>
        <w:spacing w:after="0" w:line="301" w:lineRule="auto"/>
        <w:tabs>
          <w:tab w:leader="none" w:pos="316"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an Award Holder ceases to be a director, officer, consultant or employee of the Corporation, or its subsidiaries, or ceases to be a management company employee, for any reason (other than death), such Award Holder may exercise their Award to the extent that the Award Holder was entitled to exercise it at the date of such cessation, provided that such exercise must occur within 90 days after the Award Holder ceases to be a director, officer, consultant or employee, or a management company employee.</w:t>
      </w:r>
    </w:p>
    <w:p>
      <w:pPr>
        <w:spacing w:after="0" w:line="157" w:lineRule="exact"/>
        <w:rPr>
          <w:rFonts w:ascii="Arial" w:cs="Arial" w:eastAsia="Arial" w:hAnsi="Arial"/>
          <w:sz w:val="16"/>
          <w:szCs w:val="16"/>
          <w:color w:val="auto"/>
        </w:rPr>
      </w:pPr>
    </w:p>
    <w:p>
      <w:pPr>
        <w:ind w:left="316" w:right="140" w:hanging="316"/>
        <w:spacing w:after="0" w:line="277"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of death of an Award Holder, the Award previously granted shall be exercisable only within 12 months after such death and only if and to the extent that such Award Holder was entitled to exercise the Award at the date of death.</w:t>
      </w:r>
    </w:p>
    <w:p>
      <w:pPr>
        <w:spacing w:after="0" w:line="170" w:lineRule="exact"/>
        <w:rPr>
          <w:rFonts w:ascii="Arial" w:cs="Arial" w:eastAsia="Arial" w:hAnsi="Arial"/>
          <w:sz w:val="18"/>
          <w:szCs w:val="18"/>
          <w:color w:val="auto"/>
        </w:rPr>
      </w:pPr>
    </w:p>
    <w:p>
      <w:pPr>
        <w:ind w:left="316" w:right="40" w:hanging="316"/>
        <w:spacing w:after="0" w:line="342" w:lineRule="auto"/>
        <w:tabs>
          <w:tab w:leader="none" w:pos="31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LTIP has been adopted by the Board subject to the approval of the applicable regulators and, if so approved, subject to the discretion of the Board, the LTIP will become effective upon approval at the next general meeting of the shareholders of the Corporation.”</w:t>
      </w:r>
    </w:p>
    <w:p>
      <w:pPr>
        <w:spacing w:after="0" w:line="123" w:lineRule="exact"/>
        <w:rPr>
          <w:rFonts w:ascii="Arial" w:cs="Arial" w:eastAsia="Arial" w:hAnsi="Arial"/>
          <w:sz w:val="16"/>
          <w:szCs w:val="16"/>
          <w:color w:val="auto"/>
        </w:rPr>
      </w:pPr>
    </w:p>
    <w:p>
      <w:pPr>
        <w:ind w:left="4516"/>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45" w:lineRule="exact"/>
        <w:rPr>
          <w:sz w:val="20"/>
          <w:szCs w:val="20"/>
          <w:color w:val="auto"/>
        </w:rPr>
      </w:pPr>
    </w:p>
    <w:p>
      <w:pPr>
        <w:ind w:left="477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36"/>
      </w:cols>
      <w:pgMar w:left="1124" w:top="9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8"/>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2021-06-24T05:11:15Z</dcterms:created>
  <dcterms:modified xsi:type="dcterms:W3CDTF">2021-06-24T05:11:15Z</dcterms:modified>
</cp:coreProperties>
</file>