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General Instruction II.L. of Form F-10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333-272989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Short Form Base Shelf Prospectus dated November 10, 2023</w:t>
      </w:r>
    </w:p>
    <w:p>
      <w:pPr>
        <w:spacing w:after="0" w:line="207" w:lineRule="exact"/>
        <w:rPr>
          <w:sz w:val="24"/>
          <w:szCs w:val="24"/>
          <w:color w:val="auto"/>
        </w:rPr>
      </w:pPr>
    </w:p>
    <w:p>
      <w:pPr>
        <w:spacing w:after="0"/>
        <w:tabs>
          <w:tab w:leader="none" w:pos="10160" w:val="left"/>
        </w:tabs>
        <w:rPr>
          <w:sz w:val="20"/>
          <w:szCs w:val="20"/>
          <w:color w:val="auto"/>
        </w:rPr>
      </w:pPr>
      <w:r>
        <w:rPr>
          <w:rFonts w:ascii="Times New Roman" w:cs="Times New Roman" w:eastAsia="Times New Roman" w:hAnsi="Times New Roman"/>
          <w:sz w:val="18"/>
          <w:szCs w:val="18"/>
          <w:u w:val="single" w:color="auto"/>
          <w:color w:val="auto"/>
        </w:rPr>
        <w:t>New Issue</w:t>
      </w:r>
      <w:r>
        <w:rPr>
          <w:sz w:val="20"/>
          <w:szCs w:val="20"/>
          <w:color w:val="auto"/>
        </w:rPr>
        <w:tab/>
      </w:r>
      <w:r>
        <w:rPr>
          <w:rFonts w:ascii="Times New Roman" w:cs="Times New Roman" w:eastAsia="Times New Roman" w:hAnsi="Times New Roman"/>
          <w:sz w:val="18"/>
          <w:szCs w:val="18"/>
          <w:color w:val="auto"/>
        </w:rPr>
        <w:t>March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154305</wp:posOffset>
            </wp:positionV>
            <wp:extent cx="252031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US$375,000,000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(this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together with the accompanying short form base shelf prospectus dated November 10, 2023 (the “</w:t>
      </w:r>
      <w:r>
        <w:rPr>
          <w:rFonts w:ascii="Times New Roman" w:cs="Times New Roman" w:eastAsia="Times New Roman" w:hAnsi="Times New Roman"/>
          <w:sz w:val="18"/>
          <w:szCs w:val="18"/>
          <w:b w:val="1"/>
          <w:bCs w:val="1"/>
          <w:color w:val="auto"/>
        </w:rPr>
        <w:t>base shelf prospectus</w:t>
      </w:r>
      <w:r>
        <w:rPr>
          <w:rFonts w:ascii="Times New Roman" w:cs="Times New Roman" w:eastAsia="Times New Roman" w:hAnsi="Times New Roman"/>
          <w:sz w:val="18"/>
          <w:szCs w:val="18"/>
          <w:color w:val="auto"/>
        </w:rPr>
        <w:t>” and together with this prospectus supplement,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hereby qualifies the distribution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of up to US$375,000,000 of common shares in the capital of the Company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each Common Share being qualified hereunder, an “</w:t>
      </w:r>
      <w:r>
        <w:rPr>
          <w:rFonts w:ascii="Times New Roman" w:cs="Times New Roman" w:eastAsia="Times New Roman" w:hAnsi="Times New Roman"/>
          <w:sz w:val="18"/>
          <w:szCs w:val="18"/>
          <w:b w:val="1"/>
          <w:bCs w:val="1"/>
          <w:color w:val="auto"/>
        </w:rPr>
        <w:t>Offered Share</w:t>
      </w:r>
      <w:r>
        <w:rPr>
          <w:rFonts w:ascii="Times New Roman" w:cs="Times New Roman" w:eastAsia="Times New Roman" w:hAnsi="Times New Roman"/>
          <w:sz w:val="18"/>
          <w:szCs w:val="18"/>
          <w:color w:val="auto"/>
        </w:rPr>
        <w:t>”) pursuant to an at the market offering agreement dated March 8,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between the Company and H.C. Wainwright &amp; Co.,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Pursuant to the Sales Agreement, the Company may distribute Offered Shares from time to time through the Agent, as the agent for distribution of the Offered Shares, in accordance with the terms of the Sales Agreement pursuant to the Offering. The Offering is being made in the United States under the terms of a registration statement on Form F-10 (File No. 333-272989)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as amended, filed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No Offered Shares will be sold under the Sales Agreement in Canada or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or any other trading markets in Canada.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Common Shares are listed for trading on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on the TSX under the symbol “BITF”. On March 7, 2024, being the last trading day prior to the date hereof, the closing prices of the Common Shares on the TSX and Nasdaq were C$3.35 and US$2.51, respectively. The TSX has conditionally approved the listing of the Offered Shares, subject to the Company fulfilling all of the listing requirements of the TSX.</w:t>
      </w:r>
    </w:p>
    <w:p>
      <w:pPr>
        <w:spacing w:after="0" w:line="1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Agent, and no person or company acting jointly or in concert with an Agent, may, in connection with the Offering, enter into any transaction that is intended to stabilize or maintain the market price of the Offered Shares or securities of the same class as the Offered Shares, including selling an aggregate number or principal amount of securities that would result in the Agent creating an over-allocation position in the Offered Shares.</w:t>
      </w:r>
    </w:p>
    <w:p>
      <w:pPr>
        <w:spacing w:after="0" w:line="174"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the opinion of counsel, the Offered Shares, if issued on the date hereof, generally would be qualified investments under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(collectively, the “</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for certain tax-exempt trusts. See </w:t>
      </w:r>
      <w:r>
        <w:rPr>
          <w:rFonts w:ascii="Times New Roman" w:cs="Times New Roman" w:eastAsia="Times New Roman" w:hAnsi="Times New Roman"/>
          <w:sz w:val="18"/>
          <w:szCs w:val="18"/>
          <w:i w:val="1"/>
          <w:iCs w:val="1"/>
          <w:color w:val="auto"/>
        </w:rPr>
        <w:t>“CERTAIN CANADIAN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Prospective investors should be aware that the acquisition, holding or disposition of the Offered Shares may have tax consequences in both Canada and the United States. Such consequences for investors who are resident in, or citizens of, the United States may not be described fully in this prospectus supplement. Prospective investors should read the tax discussion in this prospectus supplement and consult their own tax advisor with respect to their own particular circumstances. See “</w:t>
      </w:r>
      <w:r>
        <w:rPr>
          <w:rFonts w:ascii="Times New Roman" w:cs="Times New Roman" w:eastAsia="Times New Roman" w:hAnsi="Times New Roman"/>
          <w:sz w:val="18"/>
          <w:szCs w:val="18"/>
          <w:b w:val="1"/>
          <w:bCs w:val="1"/>
          <w:i w:val="1"/>
          <w:iCs w:val="1"/>
          <w:color w:val="auto"/>
        </w:rPr>
        <w:t>CERTAIN CANADIAN FEDERAL INCOME TAX CONSIDERATIONS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i w:val="1"/>
          <w:iCs w:val="1"/>
          <w:color w:val="auto"/>
        </w:rPr>
        <w:t>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U.S. FEDERAL INCOME TAX CONSIDERATIONS</w:t>
      </w:r>
      <w:r>
        <w:rPr>
          <w:rFonts w:ascii="Times New Roman" w:cs="Times New Roman" w:eastAsia="Times New Roman" w:hAnsi="Times New Roman"/>
          <w:sz w:val="18"/>
          <w:szCs w:val="18"/>
          <w:b w:val="1"/>
          <w:bCs w:val="1"/>
          <w:color w:val="auto"/>
        </w:rPr>
        <w:t>”.</w:t>
      </w:r>
    </w:p>
    <w:p>
      <w:pPr>
        <w:spacing w:after="0" w:line="179"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the Offered Shares is highly speculative and involves significant risks that you should consider before purchasing such securities. You should carefully review the risks outlined in this prospectus supplement and the accompanying base shelf prospectus and in the documents incorporated by reference as well as the information under the heading “Cautionary Note Regarding Forward-Looking Statements” and consider such risks and information in connection with an investment in the Offered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55" w:lineRule="auto"/>
        <w:rPr>
          <w:sz w:val="20"/>
          <w:szCs w:val="20"/>
          <w:color w:val="auto"/>
        </w:rPr>
      </w:pPr>
      <w:r>
        <w:rPr>
          <w:rFonts w:ascii="Times New Roman" w:cs="Times New Roman" w:eastAsia="Times New Roman" w:hAnsi="Times New Roman"/>
          <w:sz w:val="18"/>
          <w:szCs w:val="18"/>
          <w:color w:val="auto"/>
        </w:rPr>
        <w:t>Prospective investors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(State of Washington, U.S.A.), Backbone Hosting Solutions SAU (Argentina), D&amp;N Ingenieria SA (Paraguay), and Backbone Hosting Solutions Paraguay SA (Paraguay). In addition, certain of the Company’s directors and officers reside outside of Canada, namely: Emiliano Joel Grodzki, Nicolas Bonta, Andres Finkielsztain, Edith M. Hofmeister, Benjamin Gagnon, and Jeffrey Lucas reside outside of Canada and have appointed the Company at its registered office set forth below as their agent for service of process in Canada.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Person</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Agent</w:t>
            </w: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Bitfarms Ltd.</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Nicolas Bonta</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110 Yonge Street, Suite 1601,</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Andres Finkielsztain</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Toronto, ON M5C 1T4</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550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5500" w:type="dxa"/>
            <w:vAlign w:val="bottom"/>
          </w:tcPr>
          <w:p>
            <w:pPr>
              <w:spacing w:after="0"/>
              <w:rPr>
                <w:sz w:val="18"/>
                <w:szCs w:val="18"/>
                <w:color w:val="auto"/>
              </w:rPr>
            </w:pP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5500" w:type="dxa"/>
            <w:vAlign w:val="bottom"/>
          </w:tcPr>
          <w:p>
            <w:pPr>
              <w:spacing w:after="0"/>
              <w:rPr>
                <w:sz w:val="20"/>
                <w:szCs w:val="20"/>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not residents of the United States, that some or all of the agents or experts that may be named in the prospectus supplement and the accompanying base shelf prospectus may not be residents of the United States, and that all or a substantial portion of the assets of the Company and said persons may be located outside the United States.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THESE SECURITIES HAVE NOT BEEN APPROVED OR DISAPPROVED BY THE SEC NOR ANY STATE SECURITIES COMMISSION OR REGULATORY AUTHORITY NOR HAS THE SEC OR ANY STATE SECURITIES COMMISSION PASSED UPON THE ACCURACY OR ADEQUACY OF THE PROSPECTUS. ANY REPRESENTATION TO THE CONTRARY IS A CRIMINAL OFFENSE.</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Offering is being made by a Canadian issuer that is permitted, under a multijurisdictional disclosure system adopted by the United States and Canada, to prepare this prospectus supplement and the accompanying base shelf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(“IFRS Accounting Standards”), and may be subject to foreign auditing and auditor independence standards, and thus may not be comparable to financial statements of United States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Upon delivery of a placement notice by the Company, if any, the Agent may sell the Offered Shares in the United States only. Such sales of Offered Shares, if any, under this prospectus supplement and the accompanying base shelf prospectus will only be made in transactions that are deemed to be “at-the-market distributions” or an “at-the-market” offering under applicable securities laws, including, without limitation, sales made directly on Nasdaq or any other recognized marketplace upon which the Common Shares are listed or quoted or where the Common Shares are traded in the United States. The sales, if any, of Offered Shares made under the Sales Agreement will be made by means of ordinary brokers’ transactions on Nasdaq or another existing trading market in the United States at market prices, or as otherwise agreed upon by the Company and the Agent. No Offered Shares will be offered or sold in Canada or on the TSX or any other trading market in Canada. The Agent is not required to sell any specific number or dollar amount of Common Shares but will use its commercially reasonable efforts, consistent with its normal sales and trading practices, to sell the Offered Shares under the terms and conditions of the Sales Agreement. In this offering, prices may vary as between purchasers and during the period of distribution. There is no minimum amount of funds that must be raised under the Offering. As a result, the Offering may terminate after only raising a small portion of the offering amount set out above, or none at all. See “</w:t>
      </w:r>
      <w:r>
        <w:rPr>
          <w:rFonts w:ascii="Times New Roman" w:cs="Times New Roman" w:eastAsia="Times New Roman" w:hAnsi="Times New Roman"/>
          <w:sz w:val="18"/>
          <w:szCs w:val="18"/>
          <w:b w:val="1"/>
          <w:bCs w:val="1"/>
          <w:i w:val="1"/>
          <w:iCs w:val="1"/>
          <w:color w:val="auto"/>
        </w:rPr>
        <w:t>PLAN OF DISTRIBUTION</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Company will pay the Agent a fee of 3.0% of the gross sales price per Offered Share sold through the Agent as the Company’s agent under the Sales Agreement (the “Broker Fee”). In addition, the Company has agreed to reimburse the Agent for certain expenses incurred by it in connection with the Sales Agreement as described under “</w:t>
      </w:r>
      <w:r>
        <w:rPr>
          <w:rFonts w:ascii="Times New Roman" w:cs="Times New Roman" w:eastAsia="Times New Roman" w:hAnsi="Times New Roman"/>
          <w:sz w:val="18"/>
          <w:szCs w:val="18"/>
          <w:b w:val="1"/>
          <w:bCs w:val="1"/>
          <w:i w:val="1"/>
          <w:iCs w:val="1"/>
          <w:color w:val="auto"/>
        </w:rPr>
        <w:t>PLAN OF DISTRIBUTION</w:t>
      </w:r>
      <w:r>
        <w:rPr>
          <w:rFonts w:ascii="Times New Roman" w:cs="Times New Roman" w:eastAsia="Times New Roman" w:hAnsi="Times New Roman"/>
          <w:sz w:val="18"/>
          <w:szCs w:val="18"/>
          <w:b w:val="1"/>
          <w:bCs w:val="1"/>
          <w:color w:val="auto"/>
        </w:rPr>
        <w:t>.” In connection with sales of the Offered Shares, the Agent may be deemed to be an “underwriter” within the meaning of the U.S. Securities Act of 1933, as amended (the “U.S. Securities Act”), and the compensation of the Agent may be deemed to be underwriting commissions or discounts. The Company has agreed to provide indemnification and contribution to the Agent against certain liabilities, including liabilities under the U.S. Securities Act.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the Offered Shares is subject to certain risks that should be considered carefully by prospective purchasers. Please see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 in this prospectus supplement and the accompanying base shelf prospectus and the risk factors in the Company’s documents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are incorporated by reference herein for a description of risks involved in an investment in Offered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registered office is located at 110 Yonge Street, Suite 1601, Toronto, ON M5C 1T4.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AGENT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455295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80" w:type="dxa"/>
            <w:vAlign w:val="bottom"/>
            <w:gridSpan w:val="16"/>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TABLE OF CONTENTS FOR THE PROSPECTUS SUPPLEMENT</w:t>
            </w:r>
          </w:p>
        </w:tc>
        <w:tc>
          <w:tcPr>
            <w:tcW w:w="1860" w:type="dxa"/>
            <w:vAlign w:val="bottom"/>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96"/>
        </w:trPr>
        <w:tc>
          <w:tcPr>
            <w:tcW w:w="17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IMPORTANT NOTICE</w:t>
            </w:r>
          </w:p>
        </w:tc>
        <w:tc>
          <w:tcPr>
            <w:tcW w:w="7640" w:type="dxa"/>
            <w:vAlign w:val="bottom"/>
            <w:tcBorders>
              <w:bottom w:val="single" w:sz="8" w:color="CCEEFF"/>
            </w:tcBorders>
            <w:gridSpan w:val="25"/>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8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5460" w:type="dxa"/>
            <w:vAlign w:val="bottom"/>
            <w:tcBorders>
              <w:bottom w:val="single" w:sz="8" w:color="CCEEFF"/>
            </w:tcBorders>
            <w:gridSpan w:val="9"/>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5"/>
              </w:rPr>
              <w:t>S-6</w:t>
            </w: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CURRENCY PRESENTATION AND EXCHANGE RATE INFORMATION</w:t>
            </w:r>
          </w:p>
        </w:tc>
        <w:tc>
          <w:tcPr>
            <w:tcW w:w="18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3860" w:type="dxa"/>
            <w:vAlign w:val="bottom"/>
            <w:tcBorders>
              <w:bottom w:val="single" w:sz="8" w:color="CCEEFF"/>
            </w:tcBorders>
            <w:gridSpan w:val="3"/>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6"/>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18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186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PROMOTERS</w:t>
            </w:r>
          </w:p>
        </w:tc>
        <w:tc>
          <w:tcPr>
            <w:tcW w:w="8100" w:type="dxa"/>
            <w:vAlign w:val="bottom"/>
            <w:tcBorders>
              <w:top w:val="single" w:sz="8" w:color="CCEEFF"/>
            </w:tcBorders>
            <w:gridSpan w:val="28"/>
          </w:tcPr>
          <w:p>
            <w:pPr>
              <w:spacing w:after="0"/>
              <w:rPr>
                <w:sz w:val="15"/>
                <w:szCs w:val="15"/>
                <w:color w:val="auto"/>
              </w:rPr>
            </w:pPr>
          </w:p>
        </w:tc>
        <w:tc>
          <w:tcPr>
            <w:tcW w:w="1860" w:type="dxa"/>
            <w:vAlign w:val="bottom"/>
            <w:tcBorders>
              <w:top w:val="single" w:sz="8" w:color="CCEEFF"/>
            </w:tcBorders>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120" w:type="dxa"/>
            <w:vAlign w:val="bottom"/>
            <w:tcBorders>
              <w:bottom w:val="single" w:sz="8" w:color="CCEEFF"/>
            </w:tcBorders>
            <w:gridSpan w:val="29"/>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86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6500" w:type="dxa"/>
            <w:vAlign w:val="bottom"/>
            <w:tcBorders>
              <w:bottom w:val="single" w:sz="8" w:color="CCEEFF"/>
            </w:tcBorders>
            <w:gridSpan w:val="17"/>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176"/>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PRIOR SALES</w:t>
            </w:r>
          </w:p>
        </w:tc>
        <w:tc>
          <w:tcPr>
            <w:tcW w:w="186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6"/>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186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SHARES</w:t>
            </w:r>
          </w:p>
        </w:tc>
        <w:tc>
          <w:tcPr>
            <w:tcW w:w="186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320" w:type="dxa"/>
            <w:vAlign w:val="bottom"/>
            <w:tcBorders>
              <w:bottom w:val="single" w:sz="8" w:color="CCEEFF"/>
            </w:tcBorders>
            <w:gridSpan w:val="22"/>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176"/>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FEDERAL INCOME TAX CONSIDERATIONS</w:t>
            </w:r>
          </w:p>
        </w:tc>
        <w:tc>
          <w:tcPr>
            <w:tcW w:w="186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U.S. FEDERAL INCOME TAX CONSIDERATIONS</w:t>
            </w:r>
          </w:p>
        </w:tc>
        <w:tc>
          <w:tcPr>
            <w:tcW w:w="1860" w:type="dxa"/>
            <w:vAlign w:val="bottom"/>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S-24</w:t>
            </w:r>
          </w:p>
        </w:tc>
      </w:tr>
      <w:tr>
        <w:trPr>
          <w:trHeight w:val="176"/>
        </w:trPr>
        <w:tc>
          <w:tcPr>
            <w:tcW w:w="472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4660" w:type="dxa"/>
            <w:vAlign w:val="bottom"/>
            <w:tcBorders>
              <w:top w:val="single" w:sz="8" w:color="CCEEFF"/>
            </w:tcBorders>
            <w:gridSpan w:val="6"/>
          </w:tcPr>
          <w:p>
            <w:pPr>
              <w:spacing w:after="0"/>
              <w:rPr>
                <w:sz w:val="15"/>
                <w:szCs w:val="15"/>
                <w:color w:val="auto"/>
              </w:rPr>
            </w:pPr>
          </w:p>
        </w:tc>
        <w:tc>
          <w:tcPr>
            <w:tcW w:w="1860" w:type="dxa"/>
            <w:vAlign w:val="bottom"/>
            <w:tcBorders>
              <w:top w:val="single" w:sz="8" w:color="CCEEFF"/>
            </w:tcBorders>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S-28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5320" w:type="dxa"/>
            <w:vAlign w:val="bottom"/>
            <w:tcBorders>
              <w:bottom w:val="single" w:sz="8" w:color="CCEEFF"/>
            </w:tcBorders>
            <w:gridSpan w:val="8"/>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S-28</w:t>
            </w: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AGENT FOR SERVICE OF PROCESS</w:t>
            </w:r>
          </w:p>
        </w:tc>
        <w:tc>
          <w:tcPr>
            <w:tcW w:w="1860" w:type="dxa"/>
            <w:vAlign w:val="bottom"/>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S-28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EXEMPTIONS UNDER SECURITIES LAWS</w:t>
            </w:r>
          </w:p>
        </w:tc>
        <w:tc>
          <w:tcPr>
            <w:tcW w:w="5960" w:type="dxa"/>
            <w:vAlign w:val="bottom"/>
            <w:tcBorders>
              <w:bottom w:val="single" w:sz="8" w:color="CCEEFF"/>
            </w:tcBorders>
            <w:gridSpan w:val="12"/>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630"/>
              <w:spacing w:after="0" w:line="176" w:lineRule="exact"/>
              <w:rPr>
                <w:sz w:val="20"/>
                <w:szCs w:val="20"/>
                <w:color w:val="auto"/>
              </w:rPr>
            </w:pPr>
            <w:r>
              <w:rPr>
                <w:rFonts w:ascii="Times New Roman" w:cs="Times New Roman" w:eastAsia="Times New Roman" w:hAnsi="Times New Roman"/>
                <w:sz w:val="18"/>
                <w:szCs w:val="18"/>
                <w:color w:val="auto"/>
                <w:w w:val="99"/>
              </w:rPr>
              <w:t>S-29</w:t>
            </w:r>
          </w:p>
        </w:tc>
      </w:tr>
      <w:tr>
        <w:trPr>
          <w:trHeight w:val="432"/>
        </w:trPr>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20" w:type="dxa"/>
            <w:vAlign w:val="bottom"/>
            <w:gridSpan w:val="1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TABLE OF CONTENTS FOR THE SHELF PROSPECTUS</w:t>
            </w:r>
          </w:p>
        </w:tc>
        <w:tc>
          <w:tcPr>
            <w:tcW w:w="186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140" w:type="dxa"/>
            <w:vAlign w:val="bottom"/>
            <w:tcBorders>
              <w:bottom w:val="single" w:sz="8" w:color="CCEEFF"/>
            </w:tcBorders>
            <w:gridSpan w:val="21"/>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186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5460" w:type="dxa"/>
            <w:vAlign w:val="bottom"/>
            <w:tcBorders>
              <w:bottom w:val="single" w:sz="8" w:color="CCEEFF"/>
            </w:tcBorders>
            <w:gridSpan w:val="9"/>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CURRENCY PRESENTATION AND EXCHANGE RATE INFORMATION</w:t>
            </w:r>
          </w:p>
        </w:tc>
        <w:tc>
          <w:tcPr>
            <w:tcW w:w="186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3860" w:type="dxa"/>
            <w:vAlign w:val="bottom"/>
            <w:tcBorders>
              <w:bottom w:val="single" w:sz="8" w:color="CCEEFF"/>
            </w:tcBorders>
            <w:gridSpan w:val="3"/>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1860" w:type="dxa"/>
            <w:vAlign w:val="bottom"/>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1860" w:type="dxa"/>
            <w:vAlign w:val="bottom"/>
            <w:shd w:val="clear" w:color="auto" w:fill="CCEEFF"/>
          </w:tcPr>
          <w:p>
            <w:pPr>
              <w:jc w:val="center"/>
              <w:ind w:left="77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PROMOTERS</w:t>
            </w:r>
          </w:p>
        </w:tc>
        <w:tc>
          <w:tcPr>
            <w:tcW w:w="8100" w:type="dxa"/>
            <w:vAlign w:val="bottom"/>
            <w:tcBorders>
              <w:top w:val="single" w:sz="8" w:color="CCEEFF"/>
            </w:tcBorders>
            <w:gridSpan w:val="28"/>
          </w:tcPr>
          <w:p>
            <w:pPr>
              <w:spacing w:after="0"/>
              <w:rPr>
                <w:sz w:val="15"/>
                <w:szCs w:val="15"/>
                <w:color w:val="auto"/>
              </w:rPr>
            </w:pPr>
          </w:p>
        </w:tc>
        <w:tc>
          <w:tcPr>
            <w:tcW w:w="1860" w:type="dxa"/>
            <w:vAlign w:val="bottom"/>
            <w:tcBorders>
              <w:top w:val="single" w:sz="8" w:color="CCEEFF"/>
            </w:tcBorders>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SECONDARY OFFERING BY SELLING SECURITYHOLDERS</w:t>
            </w:r>
          </w:p>
        </w:tc>
        <w:tc>
          <w:tcPr>
            <w:tcW w:w="186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486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4520" w:type="dxa"/>
            <w:vAlign w:val="bottom"/>
            <w:tcBorders>
              <w:top w:val="single" w:sz="8" w:color="CCEEFF"/>
            </w:tcBorders>
            <w:gridSpan w:val="5"/>
          </w:tcPr>
          <w:p>
            <w:pPr>
              <w:spacing w:after="0"/>
              <w:rPr>
                <w:sz w:val="15"/>
                <w:szCs w:val="15"/>
                <w:color w:val="auto"/>
              </w:rPr>
            </w:pPr>
          </w:p>
        </w:tc>
        <w:tc>
          <w:tcPr>
            <w:tcW w:w="1860" w:type="dxa"/>
            <w:vAlign w:val="bottom"/>
            <w:tcBorders>
              <w:top w:val="single" w:sz="8" w:color="CCEEFF"/>
            </w:tcBorders>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5"/>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86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1860" w:type="dxa"/>
            <w:vAlign w:val="bottom"/>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8240" w:type="dxa"/>
            <w:vAlign w:val="bottom"/>
            <w:tcBorders>
              <w:bottom w:val="single" w:sz="8" w:color="CCEEFF"/>
            </w:tcBorders>
            <w:gridSpan w:val="30"/>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1860" w:type="dxa"/>
            <w:vAlign w:val="bottom"/>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5"/>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EARNINGS COVERAGE</w:t>
            </w:r>
          </w:p>
        </w:tc>
        <w:tc>
          <w:tcPr>
            <w:tcW w:w="186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1860" w:type="dxa"/>
            <w:vAlign w:val="bottom"/>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340" w:type="dxa"/>
            <w:vAlign w:val="bottom"/>
            <w:tcBorders>
              <w:bottom w:val="single" w:sz="8" w:color="CCEEFF"/>
            </w:tcBorders>
            <w:gridSpan w:val="14"/>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860" w:type="dxa"/>
            <w:vAlign w:val="bottom"/>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5"/>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86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RECEIPTS</w:t>
            </w:r>
          </w:p>
        </w:tc>
        <w:tc>
          <w:tcPr>
            <w:tcW w:w="1860" w:type="dxa"/>
            <w:vAlign w:val="bottom"/>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PURCHASE CONTRACTS</w:t>
            </w:r>
          </w:p>
        </w:tc>
        <w:tc>
          <w:tcPr>
            <w:tcW w:w="186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4180" w:type="dxa"/>
            <w:vAlign w:val="bottom"/>
            <w:tcBorders>
              <w:top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5200" w:type="dxa"/>
            <w:vAlign w:val="bottom"/>
            <w:tcBorders>
              <w:top w:val="single" w:sz="8" w:color="CCEEFF"/>
            </w:tcBorders>
            <w:gridSpan w:val="7"/>
          </w:tcPr>
          <w:p>
            <w:pPr>
              <w:spacing w:after="0"/>
              <w:rPr>
                <w:sz w:val="15"/>
                <w:szCs w:val="15"/>
                <w:color w:val="auto"/>
              </w:rPr>
            </w:pPr>
          </w:p>
        </w:tc>
        <w:tc>
          <w:tcPr>
            <w:tcW w:w="1860" w:type="dxa"/>
            <w:vAlign w:val="bottom"/>
            <w:tcBorders>
              <w:top w:val="single" w:sz="8" w:color="CCEEFF"/>
            </w:tcBorders>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186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350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880" w:type="dxa"/>
            <w:vAlign w:val="bottom"/>
            <w:tcBorders>
              <w:top w:val="single" w:sz="8" w:color="CCEEFF"/>
            </w:tcBorders>
            <w:gridSpan w:val="11"/>
          </w:tcPr>
          <w:p>
            <w:pPr>
              <w:spacing w:after="0"/>
              <w:rPr>
                <w:sz w:val="15"/>
                <w:szCs w:val="15"/>
                <w:color w:val="auto"/>
              </w:rPr>
            </w:pPr>
          </w:p>
        </w:tc>
        <w:tc>
          <w:tcPr>
            <w:tcW w:w="1860" w:type="dxa"/>
            <w:vAlign w:val="bottom"/>
            <w:tcBorders>
              <w:top w:val="single" w:sz="8" w:color="CCEEFF"/>
            </w:tcBorders>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5320" w:type="dxa"/>
            <w:vAlign w:val="bottom"/>
            <w:tcBorders>
              <w:bottom w:val="single" w:sz="8" w:color="CCEEFF"/>
            </w:tcBorders>
            <w:gridSpan w:val="8"/>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9380" w:type="dxa"/>
            <w:vAlign w:val="bottom"/>
            <w:gridSpan w:val="32"/>
          </w:tcPr>
          <w:p>
            <w:pPr>
              <w:spacing w:after="0" w:line="176" w:lineRule="exact"/>
              <w:rPr>
                <w:sz w:val="20"/>
                <w:szCs w:val="20"/>
                <w:color w:val="auto"/>
              </w:rPr>
            </w:pPr>
            <w:r>
              <w:rPr>
                <w:rFonts w:ascii="Times New Roman" w:cs="Times New Roman" w:eastAsia="Times New Roman" w:hAnsi="Times New Roman"/>
                <w:sz w:val="18"/>
                <w:szCs w:val="18"/>
                <w:color w:val="0000EE"/>
              </w:rPr>
              <w:t>AGENTS FOR SERVICE OF PROCESS</w:t>
            </w:r>
          </w:p>
        </w:tc>
        <w:tc>
          <w:tcPr>
            <w:tcW w:w="1860" w:type="dxa"/>
            <w:vAlign w:val="bottom"/>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75"/>
        </w:trPr>
        <w:tc>
          <w:tcPr>
            <w:tcW w:w="938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UNDER SECURITIES LAWS</w:t>
            </w:r>
          </w:p>
        </w:tc>
        <w:tc>
          <w:tcPr>
            <w:tcW w:w="186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the securities the Company is offering and the method of distribution of such securities and also adds to and updates certain information contained in the accompanying base shelf prospectus and the documents incorporated by reference herein and therein. The second part, the base shelf prospectus, gives more general information, some of which may not apply to the Offered Shares. This prospectus supplement is deemed to be incorporated by reference into the base shelf prospectus solely for the purposes of the Offering. This prospectus supplement may add, update or change information contained in the accompanying base shelf prospectus or any of the documents incorporated by reference herein or therein. To the extent that any statement made in this prospectus supplement is inconsistent with statements made in the accompanying base shelf prospectus or any documents incorporated by reference herein or therein filed prior to the date of this prospectus supplement, the statements made in this prospectus supplement will be deemed to modify or supersede those made in the accompanying base shelf prospectus and such documents incorporated by reference herein or therein.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base shelf prospectus. The Company and the Agent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such offer or sale is not permitted. The distribution of this prospectus supplement and the Offering in certain jurisdictions may be restricted by law. You should assume that the information contained in this prospectus supplement, the accompanying base shelf prospectus and the documents incorporated by reference herein and therein is accurate only as of its respective date, regardless of the time of delivery of the base shelf prospectus, this prospectus supplement or any amendment thereto, or of any sale of the Offered Shares. The Company’s business, financial condition, results of operations and prospects may have changed since those dates. The Company does not undertake to update the information contained or incorporated by reference herein, except as required by applicable Canadian and U.S. securities laws.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the information requirements of the United States Securities Exchange Act of 1934, as amended (the “</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and applicable Canadian securities legislation, and, in accordance therewith, the Company files reports and other information with the SEC and with the securities regulatory authorities in each of the provinces of Canada. Under a multijurisdictional disclosure system adopted by the United States and Canada, the Company may generally prepare those reports and other information in accordance with the Canadian disclosure requirements. Those requirements are different from those of the United States. As a foreign private issuer, the Company is exempt from the rules under the U.S. Exchange Act prescribing the furnishing and content of proxy statements, and the Company’s officers, directors and principal shareholders are exempt from the reporting and short-swing profit recovery provisions contained in Section 16 of the U.S. Exchange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This prospectus supplement shall not be used for anyone for any purpose other than in connection with the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prospectus supplement, unless otherwise indicated, all dollar amounts and references to “US$” or “$” are to United States dollars and references to “C$” are to Canadian dollars. This prospectus supplement and the documents incorporated by reference contain translations of certain United States dollar amounts into Canadian dollars solely for your convenience. See “</w:t>
      </w:r>
      <w:r>
        <w:rPr>
          <w:rFonts w:ascii="Times New Roman" w:cs="Times New Roman" w:eastAsia="Times New Roman" w:hAnsi="Times New Roman"/>
          <w:sz w:val="18"/>
          <w:szCs w:val="18"/>
          <w:i w:val="1"/>
          <w:iCs w:val="1"/>
          <w:color w:val="auto"/>
        </w:rPr>
        <w:t>CURRENCY PRESENTATION AND EXCHANGE RATE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statements and other information contained in this prospectus constitute “forward-looking information” under Canadian Securities Laws and “forward-looking statements” under United States securities laws (collectively “</w:t>
      </w:r>
      <w:r>
        <w:rPr>
          <w:rFonts w:ascii="Times New Roman" w:cs="Times New Roman" w:eastAsia="Times New Roman" w:hAnsi="Times New Roman"/>
          <w:sz w:val="18"/>
          <w:szCs w:val="18"/>
          <w:b w:val="1"/>
          <w:bCs w:val="1"/>
          <w:color w:val="auto"/>
        </w:rPr>
        <w:t>forward-looking statements</w:t>
      </w:r>
      <w:r>
        <w:rPr>
          <w:rFonts w:ascii="Times New Roman" w:cs="Times New Roman" w:eastAsia="Times New Roman" w:hAnsi="Times New Roman"/>
          <w:sz w:val="18"/>
          <w:szCs w:val="18"/>
          <w:color w:val="auto"/>
        </w:rPr>
        <w:t>”). Such forward-looking statements include, but are not limited to:</w:t>
      </w:r>
    </w:p>
    <w:p>
      <w:pPr>
        <w:spacing w:after="0" w:line="176"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 of cryptocurrencies, such as Bitcoin and the other types of digital assets which Bitfarms and its subsidiaries may earn, hold and trade;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intended use of net proceeds from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Offered Shares the Company intends to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pricing for services and solutions in the businesses of the Company and its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market price of the Common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sufficiency of its capital resources and requirements for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decrease of the market price of the Common Shares if the Company’s shareholders sell substantial amounts of Common Shares;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sales or issuances of equity securities diluting voting power and reducing future earnings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governmental laws and regulations, including tax regulations; and</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novel coronavirus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outbreak or other future global pandemics.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in this document are based on what the Company currently believes are reasonable assumptions, including the material assumptions set out in the Company’s applicable annual information form and management discussion and analysis. These documents are available electronically under the Company’s Canadian System for Electronic Document Analysis and Retrieval (“</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profile at www.sedarplus.ca and through the SEC’s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at the SEC’s website at www.sec.gov. Other material factors or assumptions that were applied in formulating the forward-looking statements contained herein include or relate to the following:</w:t>
      </w:r>
    </w:p>
    <w:p>
      <w:pPr>
        <w:spacing w:after="0" w:line="116"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economic conditions affecting the Company’s operations in their current state, including, general levels of economic activity, regulations, taxes and interest rates;</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profitably produce the computational power sold to Mining Pools (as defined herein) to solve block regards, which may be paid in Bitcoin, United States dollars, or other currency;</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acquire and maintain required regulatory licenses and qualifications;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prices of cryptocurrencies;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cryptocurrency and blockchain markets and sectors;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good business relationships;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and integrate acquisitions;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identify, hire and retain key personnel;</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sufficient debt or equity financing to support the Company’s continued growth;</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suffer a material impact or disruption from a cybersecurity incident, cyber-attack or theft of digital assets;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maintenance and development of cryptocurrency Mining facilities;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usage and in the blockchain for various applications;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a stable public infrastructure, with the necessary speed, data capacity and security required to operate blockchain networks;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adverse regulation or law;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changes in the legislative, regulatory or operating framework for the Company’s existing and anticipated business.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Inherent in forward-looking statements are risks, uncertainties and other factors beyond the Company’s ability to predict or control. Some of the risks or factors that could cause outcomes and results to differ materially from those expressed in the forward-looking statements include:</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 and expansion;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risks;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risks;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price volatility of cryptocurrencies;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fluctuations;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uncertainty of additional financing and dilution;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7" w:name="page8"/>
    <w:bookmarkEnd w:id="7"/>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bitcoin Mining algorithms transitioning to proof of stake validation;</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history of de-centralized financial system;</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network difficulty and impact of increased global computing power;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 risks;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profits/losses and production revenues/expenses;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failure of cryptocurrency exchanges, custodians and other trading venues;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and demands upon management and accounting and finance resources as a result of complying with the laws and regulations affecting public companies;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and impact of restatement of the company’s historical financial statements;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comprehensive accounting guidance for cryptocurrencies under IFRS accounting standards;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 material weakness;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Mining risks;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Mining Pool;</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agreements governed by foreign laws;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15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15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5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and/or widespread use of cryptocurrency is uncertain;</w:t>
      </w:r>
    </w:p>
    <w:p>
      <w:pPr>
        <w:spacing w:after="0" w:line="22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904" w:right="359" w:bottom="461" w:gutter="0" w:footer="0" w:header="0"/>
        </w:sectPr>
      </w:pPr>
    </w:p>
    <w:bookmarkStart w:id="8" w:name="page9"/>
    <w:bookmarkEnd w:id="8"/>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legislation and scrutiny regarding human rights issues;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foreign corrupt practices act and similar legislation;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 risks;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of the Company being classified as a Passive Foreign Investment Company;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and infectious disease risk (including Covid-19);</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risks;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volatility and other challenges in Argentina and/or Paraguay;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of Argentina and Paraguay economies to external shocks;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corruption and anti-corruption laws in operating locations;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of tax rates, capital controls and foreign exchange restrictions in Argentina;</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over use of proceeds;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public market for certain of the securities;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debt facilities;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changes in interest rates on debt securities;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fluctuations in foreign currency markets on debt securities;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 of common shares and volatility;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proceeds of the offering;</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certainty regarding the net proceeds to the Company;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likely to pay different prices;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enforcement of civil judgments;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investment is not guaranteed;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discount;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potential adverse U.S. federal income tax consequences to United States persons.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information on these and other factors is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supplement, in the accompanying base shelf prospectus and in the documents incorporated by reference herein including in the 2023 MD&amp;A (as defined herein) under the headings “Financial Instruments and Risks” and “Other Risks” and in the 2023 AIF (as defined herein) under the heading “Risk Factors”, as may be modified or superseded by other subsequently filed documents that are also incorporated or deemed to be incorporated by reference in this prospectus supplement.</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expressly qualified by this cautionary statement. Except as required by law, the Company does not undertake any obligation to publicly update or revise any forward- looking statements, whether as a result of new information, future events or otherwise.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has been incorporated by reference in this prospectus supplement and the accompanying base shelf prospectus from documents filed with the securities commissions or similar authorities in Canada and filed with, or furnished to, the SEC.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Copies of the documents incorporated herein by reference may be obtained on request without charge from the Chief Financial Officer of Bitfarms at 110 Yonge Street, Suite 1601, Toronto, ON M5C 1T4 (Telephone 647 259-1790) Attn: Chief Financial Officer. Such documents are also available without charge on SEDAR+ at www.sedarplus.ca or through EDGAR at the SEC’s website at www.sec.gov. The filings of the Company available on SEDAR+ and EDGAR are not incorporated by reference in this prospectus except as specifically set out herein.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hereof, the following documents, filed by the Company with securities commissions or similar authorities in each of the provinces of Canada and filed with, or furnished to, the SEC, are specifically incorporated by reference in, and form an integral part of, this prospectus supplement and the accompanying base shelf prospectus:</w:t>
      </w:r>
    </w:p>
    <w:p>
      <w:pPr>
        <w:spacing w:after="0" w:line="17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information form for the year ended </w:t>
      </w:r>
      <w:hyperlink r:id="rId18">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dated March 6, 2024 (the “</w:t>
      </w:r>
      <w:r>
        <w:rPr>
          <w:rFonts w:ascii="Times New Roman" w:cs="Times New Roman" w:eastAsia="Times New Roman" w:hAnsi="Times New Roman"/>
          <w:sz w:val="18"/>
          <w:szCs w:val="18"/>
          <w:b w:val="1"/>
          <w:bCs w:val="1"/>
          <w:color w:val="auto"/>
        </w:rPr>
        <w:t>2023 AIF</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consolidated financial statements as at and for the years ended </w:t>
      </w:r>
      <w:hyperlink r:id="rId19">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2022, the notes thereto and the Report of Independent Registered Public Accounting Firm thereon (the “</w:t>
      </w:r>
      <w:r>
        <w:rPr>
          <w:rFonts w:ascii="Times New Roman" w:cs="Times New Roman" w:eastAsia="Times New Roman" w:hAnsi="Times New Roman"/>
          <w:sz w:val="18"/>
          <w:szCs w:val="18"/>
          <w:b w:val="1"/>
          <w:bCs w:val="1"/>
          <w:color w:val="auto"/>
        </w:rPr>
        <w:t>2023 Annual Financial Statements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management’s discussion and analysis for the year ended </w:t>
      </w:r>
      <w:hyperlink r:id="rId20">
        <w:r>
          <w:rPr>
            <w:rFonts w:ascii="Times New Roman" w:cs="Times New Roman" w:eastAsia="Times New Roman" w:hAnsi="Times New Roman"/>
            <w:sz w:val="18"/>
            <w:szCs w:val="18"/>
            <w:u w:val="single" w:color="auto"/>
            <w:color w:val="0000EE"/>
          </w:rPr>
          <w:t>December 31, 2023</w:t>
        </w:r>
      </w:hyperlink>
      <w:r>
        <w:rPr>
          <w:rFonts w:ascii="Times New Roman" w:cs="Times New Roman" w:eastAsia="Times New Roman" w:hAnsi="Times New Roman"/>
          <w:sz w:val="18"/>
          <w:szCs w:val="18"/>
          <w:color w:val="auto"/>
        </w:rPr>
        <w:t>, dated March 6, 2024 (the “</w:t>
      </w:r>
      <w:r>
        <w:rPr>
          <w:rFonts w:ascii="Times New Roman" w:cs="Times New Roman" w:eastAsia="Times New Roman" w:hAnsi="Times New Roman"/>
          <w:sz w:val="18"/>
          <w:szCs w:val="18"/>
          <w:b w:val="1"/>
          <w:bCs w:val="1"/>
          <w:color w:val="auto"/>
        </w:rPr>
        <w:t>2023 MD&amp;A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management information circular dated </w:t>
      </w:r>
      <w:hyperlink r:id="rId21">
        <w:r>
          <w:rPr>
            <w:rFonts w:ascii="Times New Roman" w:cs="Times New Roman" w:eastAsia="Times New Roman" w:hAnsi="Times New Roman"/>
            <w:sz w:val="18"/>
            <w:szCs w:val="18"/>
            <w:u w:val="single" w:color="auto"/>
            <w:color w:val="0000EE"/>
          </w:rPr>
          <w:t>April 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with respect to an annual general and special meeting of shareholders held on May 24,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2">
        <w:r>
          <w:rPr>
            <w:rFonts w:ascii="Times New Roman" w:cs="Times New Roman" w:eastAsia="Times New Roman" w:hAnsi="Times New Roman"/>
            <w:sz w:val="18"/>
            <w:szCs w:val="18"/>
            <w:u w:val="single" w:color="auto"/>
            <w:color w:val="0000EE"/>
          </w:rPr>
          <w:t>January 2, 2024</w:t>
        </w:r>
      </w:hyperlink>
      <w:r>
        <w:rPr>
          <w:rFonts w:ascii="Times New Roman" w:cs="Times New Roman" w:eastAsia="Times New Roman" w:hAnsi="Times New Roman"/>
          <w:sz w:val="18"/>
          <w:szCs w:val="18"/>
          <w:color w:val="auto"/>
        </w:rPr>
        <w:t>, relating to the Company’s December 2023 monthly update;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3">
        <w:r>
          <w:rPr>
            <w:rFonts w:ascii="Times New Roman" w:cs="Times New Roman" w:eastAsia="Times New Roman" w:hAnsi="Times New Roman"/>
            <w:sz w:val="18"/>
            <w:szCs w:val="18"/>
            <w:u w:val="single" w:color="auto"/>
            <w:color w:val="0000EE"/>
          </w:rPr>
          <w:t>January 24, 2024</w:t>
        </w:r>
      </w:hyperlink>
      <w:r>
        <w:rPr>
          <w:rFonts w:ascii="Times New Roman" w:cs="Times New Roman" w:eastAsia="Times New Roman" w:hAnsi="Times New Roman"/>
          <w:sz w:val="18"/>
          <w:szCs w:val="18"/>
          <w:color w:val="auto"/>
        </w:rPr>
        <w:t>, relating to the Company’s purchase of land in Yguazu, Paraguay;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4">
        <w:r>
          <w:rPr>
            <w:rFonts w:ascii="Times New Roman" w:cs="Times New Roman" w:eastAsia="Times New Roman" w:hAnsi="Times New Roman"/>
            <w:sz w:val="18"/>
            <w:szCs w:val="18"/>
            <w:u w:val="single" w:color="auto"/>
            <w:color w:val="0000EE"/>
          </w:rPr>
          <w:t>February 1, 2024</w:t>
        </w:r>
      </w:hyperlink>
      <w:r>
        <w:rPr>
          <w:rFonts w:ascii="Times New Roman" w:cs="Times New Roman" w:eastAsia="Times New Roman" w:hAnsi="Times New Roman"/>
          <w:sz w:val="18"/>
          <w:szCs w:val="18"/>
          <w:color w:val="auto"/>
        </w:rPr>
        <w:t>, relating to the Company’s January 2024 monthly update;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5">
        <w:r>
          <w:rPr>
            <w:rFonts w:ascii="Times New Roman" w:cs="Times New Roman" w:eastAsia="Times New Roman" w:hAnsi="Times New Roman"/>
            <w:sz w:val="18"/>
            <w:szCs w:val="18"/>
            <w:u w:val="single" w:color="auto"/>
            <w:color w:val="0000EE"/>
          </w:rPr>
          <w:t>March 1, 2024</w:t>
        </w:r>
      </w:hyperlink>
      <w:r>
        <w:rPr>
          <w:rFonts w:ascii="Times New Roman" w:cs="Times New Roman" w:eastAsia="Times New Roman" w:hAnsi="Times New Roman"/>
          <w:sz w:val="18"/>
          <w:szCs w:val="18"/>
          <w:color w:val="auto"/>
        </w:rPr>
        <w:t>, relating to the Company’s February 2024 monthly update;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material change report dated </w:t>
      </w:r>
      <w:hyperlink r:id="rId26">
        <w:r>
          <w:rPr>
            <w:rFonts w:ascii="Times New Roman" w:cs="Times New Roman" w:eastAsia="Times New Roman" w:hAnsi="Times New Roman"/>
            <w:sz w:val="18"/>
            <w:szCs w:val="18"/>
            <w:u w:val="single" w:color="auto"/>
            <w:color w:val="0000EE"/>
          </w:rPr>
          <w:t>March 7, 2024</w:t>
        </w:r>
      </w:hyperlink>
      <w:r>
        <w:rPr>
          <w:rFonts w:ascii="Times New Roman" w:cs="Times New Roman" w:eastAsia="Times New Roman" w:hAnsi="Times New Roman"/>
          <w:sz w:val="18"/>
          <w:szCs w:val="18"/>
          <w:color w:val="auto"/>
        </w:rPr>
        <w:t>, relating to the Company’s reporting of its results for the quarter and year ended December 31, 2023.</w:t>
      </w:r>
    </w:p>
    <w:p>
      <w:pPr>
        <w:spacing w:after="0" w:line="160"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documents of the type described in Section 11.1 of Form 44-101F1 </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filed by the Company with a securities commission or similar authority in any province or territory of Canada subsequent to the date of this prospectus supplement and prior to the termination of the Offering, will be deemed to be incorporated by reference into this prospectus supplement and the accompanying base shelf prospectus and the previous documents of the type referred to in this paragraph will no longer be deemed to be incorporated by reference in this prospectus supplement. To the extent that any document or information incorporated by reference into this prospectus supplement is included in a report that is filed with or furnished to the SEC pursuant to the U.S. Exchange Act, such document or information shall also be deemed to be incorporated by reference as an exhibit to the Registration Statement (in the case of a report on Form 6-K, only if and to the extent expressly provided in such report).</w:t>
      </w:r>
    </w:p>
    <w:p>
      <w:pPr>
        <w:spacing w:after="0" w:line="181" w:lineRule="exact"/>
        <w:rPr>
          <w:rFonts w:ascii="Times New Roman" w:cs="Times New Roman" w:eastAsia="Times New Roman" w:hAnsi="Times New Roman"/>
          <w:sz w:val="18"/>
          <w:szCs w:val="18"/>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supplement, in the accompanying base shelf prospectus, or in a document incorporated or deemed to be incorporated by reference herein or therein will be deemed to be modified or superseded for purposes of this prospectus supplement or the accompanying base shelf prospectus, to the extent that a statement contained herein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 supplement or the prospectus.</w:t>
      </w:r>
    </w:p>
    <w:p>
      <w:pPr>
        <w:spacing w:after="0" w:line="188" w:lineRule="exact"/>
        <w:rPr>
          <w:rFonts w:ascii="Times New Roman" w:cs="Times New Roman" w:eastAsia="Times New Roman" w:hAnsi="Times New Roman"/>
          <w:sz w:val="18"/>
          <w:szCs w:val="18"/>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References to the Company’s website in this prospectus supplement, the accompanying base shelf prospectus or any documents that are incorporated by reference herein and therein do not incorporate by reference the information on such website into this prospectus supplement and the accompanying base shelf prospectus, and we disclaim any such incorporation by reference.</w:t>
      </w:r>
    </w:p>
    <w:p>
      <w:pPr>
        <w:spacing w:after="0" w:line="39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CURRENCY PRESENTATION AND EXCHANGE RATE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dollar amounts and references to “US$” or “$” are to are to United States dollars and references to “C$” are to Canadian dollars, unless otherwise indicated.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high, low, average and closing exchange rates for one United States dollar expressed in Canadian dollars for each of the periods indicated below, as quoted by the Bank of Canada, are set forth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80" w:type="dxa"/>
            <w:vAlign w:val="bottom"/>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(expressed in Canadian dollars)</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1.3875</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1.3856</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1.3875</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1.3856</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Low</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1.3205</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1.3288</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1.3128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1.2451</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1.3622</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1.3578</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1.3497</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1.3011</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1.3226</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1.3544</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1.3226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7, 2024, the daily average exchange rate for United States dollars in terms of Canadian dollars, as quoted by the Bank of Canada, was $1.00 = C$1.3474.</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FILED AS PART OF THE REGISTRATION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have been, or will be, filed with the SEC as part of the Registration Statement, of which this prospectus supplement forms a part:</w:t>
      </w:r>
    </w:p>
    <w:p>
      <w:pPr>
        <w:spacing w:after="0" w:line="27" w:lineRule="exact"/>
        <w:rPr>
          <w:sz w:val="20"/>
          <w:szCs w:val="20"/>
          <w:color w:val="auto"/>
        </w:rPr>
      </w:pPr>
    </w:p>
    <w:p>
      <w:pPr>
        <w:ind w:firstLine="8"/>
        <w:spacing w:after="0" w:line="260" w:lineRule="auto"/>
        <w:tabs>
          <w:tab w:leader="none" w:pos="2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listed under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(2) the powers of attorney from certain of the Company’s directors and officers; (3) the consent of PWC (as defined herein) and (4) the Sales Agreement.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U.S.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U.S. Exchange Act prescribing the furnishing and content of proxy statements, and the Company’s officers, directors and principal shareholders are exempt from the reporting and short-swing profit recovery provisions contained in Section 16 of the U.S. Exchange Act. Reports and other information filed by the Company with, or furnished to, the SEC may be obtained on EDGAR at the SEC’s website: www.sec.gov.</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filed with the SEC the Registration Statement with respect to certain securities of the Company, including the Offered Shares. This prospectus supplement and the accompanying base shelf prospectus, including the documents incorporated by reference herein, which form a part of the Registration Statement, do not contain all of the information set forth in the Registration Statement, certain parts of which are contained in the exhibits to the Registration Statement as permitted by the rules and regulations of the SEC. For further information with respect to the Company and the Offered Shares, reference is made to the Registration Statement and the exhibits thereto. Statements contained in this prospectus supplement and the accompanying base shelf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Company is, in some instances, derived from selected information about us contained in the documents incorporated by reference into this prospectus supplement and the accompanying base shelf prospectus. This description does not contain all of the information about us and our business that you should consider before investing in any securities. You should carefully read this entire prospectus supplement and the accompanying base shelf prospectus, including the section entitled “Risk Factors”, as well as the documents incorporated by reference herein and therein, before making an investment decision.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Address and Incorporation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was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October 11, 2018, and continued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on August 27, 2021. The Company has its registered and head office located at 110 Yonge Street, Suite 1601, Toronto, ON M5C 1T4. The Company’s Common Shares are listed for trading on Nasdaq and on the TSX under the trading symbol “BITF”.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principal material subsidiaries of the Company as of the date hereof.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28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Assets Held</w:t>
            </w: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 (Israel)</w:t>
            </w:r>
          </w:p>
        </w:tc>
        <w:tc>
          <w:tcPr>
            <w:tcW w:w="2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2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Inc.</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Canada</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cryptocurrency</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SAU</w:t>
            </w:r>
          </w:p>
        </w:tc>
        <w:tc>
          <w:tcPr>
            <w:tcW w:w="3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Argentina</w:t>
            </w: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Paraguay SA</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Paraguay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Mining Solutions LLC</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United States</w:t>
            </w: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194"/>
        </w:trPr>
        <w:tc>
          <w:tcPr>
            <w:tcW w:w="5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9159-9290 Québec Inc. (operating under the name “Volta Électrique</w:t>
            </w:r>
          </w:p>
        </w:tc>
        <w:tc>
          <w:tcPr>
            <w:tcW w:w="30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color w:val="auto"/>
                <w:w w:val="98"/>
              </w:rPr>
              <w:t>Quebec</w:t>
            </w:r>
          </w:p>
        </w:tc>
        <w:tc>
          <w:tcPr>
            <w:tcW w:w="2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Provides professional electrical</w:t>
            </w:r>
          </w:p>
        </w:tc>
      </w:tr>
      <w:tr>
        <w:trPr>
          <w:trHeight w:val="22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r>
              <w:rPr>
                <w:rFonts w:ascii="Times New Roman" w:cs="Times New Roman" w:eastAsia="Times New Roman" w:hAnsi="Times New Roman"/>
                <w:sz w:val="18"/>
                <w:szCs w:val="18"/>
                <w:b w:val="1"/>
                <w:bCs w:val="1"/>
                <w:color w:val="auto"/>
              </w:rPr>
              <w:t>Volta</w:t>
            </w:r>
            <w:r>
              <w:rPr>
                <w:rFonts w:ascii="Times New Roman" w:cs="Times New Roman" w:eastAsia="Times New Roman" w:hAnsi="Times New Roman"/>
                <w:sz w:val="18"/>
                <w:szCs w:val="18"/>
                <w:color w:val="auto"/>
              </w:rPr>
              <w:t>”)</w:t>
            </w: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services to Backbone Hosting</w:t>
            </w:r>
          </w:p>
        </w:tc>
      </w:tr>
      <w:tr>
        <w:trPr>
          <w:trHeight w:val="234"/>
        </w:trPr>
        <w:tc>
          <w:tcPr>
            <w:tcW w:w="5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Solutions Inc. and outside customers</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 Constellation Technologies Inc.</w:t>
            </w:r>
          </w:p>
        </w:tc>
        <w:tc>
          <w:tcPr>
            <w:tcW w:w="30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Quebec</w:t>
            </w: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D&amp;N Ingenieria SA</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Paraguay</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41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Description of the Business</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primary business is the mining of cryptocurrency. Through its subsidiaries, the Company owns and operates server farms, composed of computers (referred to as “</w:t>
      </w:r>
      <w:r>
        <w:rPr>
          <w:rFonts w:ascii="Times New Roman" w:cs="Times New Roman" w:eastAsia="Times New Roman" w:hAnsi="Times New Roman"/>
          <w:sz w:val="18"/>
          <w:szCs w:val="18"/>
          <w:b w:val="1"/>
          <w:bCs w:val="1"/>
          <w:color w:val="auto"/>
        </w:rPr>
        <w:t>Miners</w:t>
      </w:r>
      <w:r>
        <w:rPr>
          <w:rFonts w:ascii="Times New Roman" w:cs="Times New Roman" w:eastAsia="Times New Roman" w:hAnsi="Times New Roman"/>
          <w:sz w:val="18"/>
          <w:szCs w:val="18"/>
          <w:color w:val="auto"/>
        </w:rPr>
        <w:t>”) designed for the purpose of validating transactions on the Bitcoin Blockchain (referred to as “</w:t>
      </w: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Bitfarms generally operates Miners 24 hours a day producing computational power (measured by hashrate) which it sells to Mining Pools, for a formula-driven rate commonly known in the industry as Full Pay Per Share (“</w:t>
      </w:r>
      <w:r>
        <w:rPr>
          <w:rFonts w:ascii="Times New Roman" w:cs="Times New Roman" w:eastAsia="Times New Roman" w:hAnsi="Times New Roman"/>
          <w:sz w:val="18"/>
          <w:szCs w:val="18"/>
          <w:b w:val="1"/>
          <w:bCs w:val="1"/>
          <w:color w:val="auto"/>
        </w:rPr>
        <w:t>FPPS</w:t>
      </w:r>
      <w:r>
        <w:rPr>
          <w:rFonts w:ascii="Times New Roman" w:cs="Times New Roman" w:eastAsia="Times New Roman" w:hAnsi="Times New Roman"/>
          <w:sz w:val="18"/>
          <w:szCs w:val="18"/>
          <w:color w:val="auto"/>
        </w:rPr>
        <w:t>”). For more information regarding the Company’s Mining Pool arrangements, see the accompanying base shelf prospectus under the heading “</w:t>
      </w:r>
      <w:r>
        <w:rPr>
          <w:rFonts w:ascii="Times New Roman" w:cs="Times New Roman" w:eastAsia="Times New Roman" w:hAnsi="Times New Roman"/>
          <w:sz w:val="18"/>
          <w:szCs w:val="18"/>
          <w:i w:val="1"/>
          <w:iCs w:val="1"/>
          <w:color w:val="auto"/>
        </w:rPr>
        <w:t>THE COMPANY – Summary Description of the Business – Mining Pool Participation</w:t>
      </w:r>
      <w:r>
        <w:rPr>
          <w:rFonts w:ascii="Times New Roman" w:cs="Times New Roman" w:eastAsia="Times New Roman" w:hAnsi="Times New Roman"/>
          <w:sz w:val="18"/>
          <w:szCs w:val="18"/>
          <w:color w:val="auto"/>
        </w:rPr>
        <w:t>”. For more information regarding the business of the Company, see the 2023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description of the business of the Company in this prospectus supplement:</w:t>
      </w:r>
    </w:p>
    <w:p>
      <w:pPr>
        <w:spacing w:after="0" w:line="221" w:lineRule="exact"/>
        <w:rPr>
          <w:sz w:val="20"/>
          <w:szCs w:val="20"/>
          <w:color w:val="auto"/>
        </w:rPr>
      </w:pPr>
    </w:p>
    <w:p>
      <w:pPr>
        <w:jc w:val="both"/>
        <w:ind w:left="5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76" w:lineRule="exact"/>
        <w:rPr>
          <w:sz w:val="20"/>
          <w:szCs w:val="20"/>
          <w:color w:val="auto"/>
        </w:rPr>
      </w:pPr>
    </w:p>
    <w:p>
      <w:pPr>
        <w:jc w:val="both"/>
        <w:ind w:lef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 Reward</w:t>
      </w:r>
      <w:r>
        <w:rPr>
          <w:rFonts w:ascii="Times New Roman" w:cs="Times New Roman" w:eastAsia="Times New Roman" w:hAnsi="Times New Roman"/>
          <w:sz w:val="18"/>
          <w:szCs w:val="18"/>
          <w:color w:val="auto"/>
        </w:rPr>
        <w:t>” shall refer to the new Bitcoins that are awarded by the Blockchain to eligible cryptocurrency Miners for each block they successfully mine. The current block reward is 6.25 Bitcoin per block;</w:t>
      </w:r>
    </w:p>
    <w:p>
      <w:pPr>
        <w:spacing w:after="0" w:line="155"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Blockchain</w:t>
      </w:r>
      <w:r>
        <w:rPr>
          <w:rFonts w:ascii="Times New Roman" w:cs="Times New Roman" w:eastAsia="Times New Roman" w:hAnsi="Times New Roman"/>
          <w:sz w:val="18"/>
          <w:szCs w:val="18"/>
          <w:color w:val="auto"/>
        </w:rPr>
        <w:t>” shall refer to a cloud-based public ledger that exists on computers that participate on the network globally. The Blockchain grows 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left="5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Hash</w:t>
      </w:r>
      <w:r>
        <w:rPr>
          <w:rFonts w:ascii="Times New Roman" w:cs="Times New Roman" w:eastAsia="Times New Roman" w:hAnsi="Times New Roman"/>
          <w:sz w:val="18"/>
          <w:szCs w:val="18"/>
          <w:color w:val="auto"/>
        </w:rPr>
        <w:t>” shall refer to a function that converts or maps an input of letters and numbers into an encrypted output of a fixed length, which outputs are often referred to as Hashes. A Hash is created using an algorithm. The algorithm used in the validation of Bitcoin transactions is the SHA-256 algorithm;</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Hashrate</w:t>
      </w:r>
      <w:r>
        <w:rPr>
          <w:rFonts w:ascii="Times New Roman" w:cs="Times New Roman" w:eastAsia="Times New Roman" w:hAnsi="Times New Roman"/>
          <w:sz w:val="18"/>
          <w:szCs w:val="18"/>
          <w:color w:val="auto"/>
        </w:rPr>
        <w:t>” shall refer to the number of Hash operations performed per second and is a measure of computing power in Mining cryptocurrency;</w:t>
      </w:r>
    </w:p>
    <w:p>
      <w:pPr>
        <w:spacing w:after="0" w:line="225"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Pool</w:t>
      </w:r>
      <w:r>
        <w:rPr>
          <w:rFonts w:ascii="Times New Roman" w:cs="Times New Roman" w:eastAsia="Times New Roman" w:hAnsi="Times New Roman"/>
          <w:sz w:val="18"/>
          <w:szCs w:val="18"/>
          <w:color w:val="auto"/>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spacing w:after="0" w:line="171" w:lineRule="exact"/>
        <w:rPr>
          <w:sz w:val="20"/>
          <w:szCs w:val="20"/>
          <w:color w:val="auto"/>
        </w:rPr>
      </w:pPr>
    </w:p>
    <w:p>
      <w:pPr>
        <w:jc w:val="both"/>
        <w:ind w:lef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shall refer to a megawatt, which is 1,000 kilowatts of electricity and, in the industry of cryptocurrency Mining, is typically a reference to the number of megawatts of electricity that is available for use.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January 2021, the Company routinely exchanged cryptocurrencies earned into U.S. dollars through reputable cryptocurrency trading platforms. At the beginning of Fiscal 2021, the Company implemented the Digital Asset Management Program under which the Company decided how many earned Bitcoin would be held by the Company through its custodians. See the 2023 AIF under the heading “</w:t>
      </w:r>
      <w:r>
        <w:rPr>
          <w:rFonts w:ascii="Times New Roman" w:cs="Times New Roman" w:eastAsia="Times New Roman" w:hAnsi="Times New Roman"/>
          <w:sz w:val="18"/>
          <w:szCs w:val="18"/>
          <w:i w:val="1"/>
          <w:iCs w:val="1"/>
          <w:color w:val="auto"/>
        </w:rPr>
        <w:t>4.8. Digital Asset Management Program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March 6, 2024, Bitfarms operates eleven total server farms around the world. Eight server farm facilities are located in Québec, Canada, with electrical infrastructure capacity of 158 MW for Mining Bitcoin and expansion opportunities up to 179 MW. One server farm facility is located in Washington State, United States, with operational electrical infrastructure capacity of 18 MW and expansion opportunities up to 21 MW. One server farm facility is located in Villarrica, Paraguay, with electrical infrastructure capacity of 10 MW and expansion opportunities up to 180 MW. One server farm facility is located in Argentina, with current operational electrical infrastructure capacity of 54 MW, and expansion opportunities up to 210 MW. The Company has contracts securing an aggregate of 179 MW, 180 MW and 21 MW of hydro-electric green energy in Quebec, Paraguay, and Washington, respectively, and up to 210 MW of natural gas energy in Argentina. The Company currently has a permit in place to draw up to 100 MW of the 210 MW from a private energy supplier; however, the Company may draw all 210 MW from the Argentina public energy grid at any time, without additional permits.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2023 and is continually being updated to enhance its features and improve its functionality. The revised system is referred to as MGMT-2.</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Volta, a wholly owned subsidiary of the Company, provides electrician services to both commercial and residential customers in Québec, while assisting Bitfarms in building and maintaining its server farms in Quebec.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the business of the Company since the date of the Company’s 2023 Annual Financial Statements, which have not been disclosed in this prospectus supplement, the accompanying base shelf prospectus, or the documents incorporated by reference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38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PROMOTERS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Promoters of the Company:</w:t>
            </w: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Class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Quantity of</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of Class</w:t>
            </w:r>
            <w:r>
              <w:rPr>
                <w:rFonts w:ascii="Times New Roman" w:cs="Times New Roman" w:eastAsia="Times New Roman" w:hAnsi="Times New Roman"/>
                <w:sz w:val="29"/>
                <w:szCs w:val="29"/>
                <w:b w:val="1"/>
                <w:bCs w:val="1"/>
                <w:color w:val="auto"/>
                <w:w w:val="96"/>
                <w:vertAlign w:val="superscript"/>
              </w:rPr>
              <w:t>(3)</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Emiliano Joel Grodzki</w:t>
            </w:r>
            <w:r>
              <w:rPr>
                <w:rFonts w:ascii="Times New Roman" w:cs="Times New Roman" w:eastAsia="Times New Roman" w:hAnsi="Times New Roman"/>
                <w:sz w:val="29"/>
                <w:szCs w:val="29"/>
                <w:color w:val="auto"/>
                <w:vertAlign w:val="superscript"/>
              </w:rPr>
              <w:t>(1)</w:t>
            </w: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6,698,443</w:t>
            </w:r>
          </w:p>
        </w:tc>
        <w:tc>
          <w:tcPr>
            <w:tcW w:w="2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vMerge w:val="restart"/>
          </w:tcPr>
          <w:p>
            <w:pPr>
              <w:spacing w:after="0" w:line="263" w:lineRule="exact"/>
              <w:rPr>
                <w:sz w:val="20"/>
                <w:szCs w:val="20"/>
                <w:color w:val="auto"/>
              </w:rPr>
            </w:pPr>
            <w:r>
              <w:rPr>
                <w:rFonts w:ascii="Times New Roman" w:cs="Times New Roman" w:eastAsia="Times New Roman" w:hAnsi="Times New Roman"/>
                <w:sz w:val="18"/>
                <w:szCs w:val="18"/>
                <w:color w:val="auto"/>
              </w:rPr>
              <w:t>Nicolas Bonta</w:t>
            </w:r>
            <w:r>
              <w:rPr>
                <w:rFonts w:ascii="Times New Roman" w:cs="Times New Roman" w:eastAsia="Times New Roman" w:hAnsi="Times New Roman"/>
                <w:sz w:val="29"/>
                <w:szCs w:val="29"/>
                <w:color w:val="auto"/>
                <w:vertAlign w:val="superscript"/>
              </w:rPr>
              <w:t>(2)</w:t>
            </w: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vMerge w:val="continue"/>
          </w:tcPr>
          <w:p>
            <w:pPr>
              <w:spacing w:after="0"/>
              <w:rPr>
                <w:sz w:val="21"/>
                <w:szCs w:val="21"/>
                <w:color w:val="auto"/>
              </w:rPr>
            </w:pPr>
          </w:p>
        </w:tc>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8,625,452</w:t>
            </w:r>
          </w:p>
        </w:tc>
        <w:tc>
          <w:tcPr>
            <w:tcW w:w="2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15,323,895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right="2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Common Shares noted in the table above, Mr. Grodzki holds 2,314,900 options to purchase Common Shares at an average price of C$2.05 per Common Shares and 150,000 RSUs (as defined herein).</w:t>
      </w: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Common Shares noted in the table above, Mr. Bonta holds 2,304,900 options to purchase Common Shares at an average price of C$2.06 per Common Shares and 66,666 RSUs.</w:t>
      </w: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339,274,441 Common Shares are issued and outstanding as of the date hereof.</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was within 10 years before the date of this prospectus supplement,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Promoter has: (a) been within the 10 years before the date of this prospectus supplement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Before deciding to invest in the Offered Shares, prospective purchasers should carefully consider the risk factors and the other information contained in this prospectus supplement and the accompanying base shelf prospectus and the documents incorporated by reference herein and therein. 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supplement and the accompanying base shelf prospectus, including the Company’s 2023 AIF and the 2023 MD&amp;A and annual financial statements, and the related notes. A prospective investor should carefully consider the risk factors set out below along with the other matters set out or incorporated by reference in this prospectus.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of the Common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process of resolving SEC comments relating to our Annual Report on Form 40-F for the fiscal year ended December 31, 2022 regarding certain accounting and financial disclosure matters, which could result in changes to our existing accounting and financial disclosure.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recently received comments from the staff of the SEC's Division of Corporation Finance (the “Staff”) relating to our Annual Report on Form 40-F for the fiscal year ended December 31, 2022 (the “2022 Annual Report”).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Staff’s comments are focused on the Company’s accounting of its Bitcoin-related operations and related accounting policies. Because of the limited precedent available and a lack of formal accounting guidance for cryptocurrencies under certain applicable accounting standards, including, among other things, revenue recognition, there is uncertainty associated with how Bitcoin miners (in particular, non-U.S. companies like the Company that report in accordance with IFRS Accounting Standards) may be required to account for cryptocurrency operations, transactions and assets and related revenue recognition. The Company is committed to addressing these remaining Staff comments or any additional Staff questions. However, until these comments are resolved, or until any additional comments raised by the Staff in this process are resolved, we cannot provide assurance that we will not be required to amend our 2022 Annual Report or other public disclosures or make any material changes to the accounting or financial disclosures contained in the 2022 Annual Report or other public disclosures, our accounting policies, or related disclosures made in any future filings.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Company and its management will have broad discretion in the use of proceeds from the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currently intends to allocate the net proceeds it will receive from the Offering, if any, as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 However, the Company and its management will have broad discretion in the actual application of the net proceeds, as well as the timing of their expenditures, and there can be no assurance as to such net proceeds will be allocated. The Company may elect to allocate the net proceeds differently from the allocation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 if management believes it would be in the Company’s best interests to do so. The Company’s investors may not agree with the manner in which the Company chooses to allocate and spend the net proceeds from the Offering. The failure by the Company to apply these funds effectively could have a material adverse effect on the business of the Company and cause the price of Common Shares to decline. Pending their use, the Company may invest the net proceeds from the Offering in a manner that does not produce income or that loses value.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There is no certainty regarding the net proceeds to the Company of the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certainty that any Offered Shares will be sold in the Offering or that gross proceeds of $375,000,000 will be raised in the Offering. The Agent has agreed to use its commercially reasonable efforts to sell, on the Company’s behalf, the Offered Shares designated by the Company, but the Company is not required to request the sale of the maximum amount offered or any amount and, if the Company requests a sale, the Agent is not obligated to purchase any unsold Offered Shares as principal. As a result of the Offering being made on a commercially reasonable efforts basis with no minimum, and only as requested by the Company, the Company may raise substantially less than the maximum total offering amount or nothing at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Investors will likely pay different prices in the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who purchase Offered Shares in this Offering at different times will likely pay different prices, and so may experience different outcomes in their investment results. The Company will have discretion, subject to market demand, to vary the timing, prices and numbers of Offered Shares sold, and there is no minimum or maximum sales price. Investors may experience a decline in the value of their Offered Shares as a result of Common Share sales made at prices lower than the prices they paid or for other reasons. Moreover, if the prevailing market price for the Common Shares declines, then the Corporation will be able to issue more Offered Shares under the Offering and investors may suffer greater dilution.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 a Company organized in Canada, it may be difficult to bring and enforce suits against us in the United States.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It may be difficult to bring and enforce suits against us in the United States because the Company is organized pursuant to the laws of the Province of Ontario, Canada, the Company is governed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and most of the Company’s assets are located outside the United States. It may not be possible for an investor to effect service of process within the United States on, or enforce judgments obtained in the United States courts against, the Company or certain of the Company’s directors and officers based upon the civil liability provisions of United States federal securities laws or the securities laws of any state of the United States.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a substantial portion of the assets of the Company are located outside of Canada, it may also not be possible for investors in the securities of the Company to collect on judgments obtained in courts in Canada predicated on the civil liability provisions of securities legislation of certain of the provinces and territories of Canada. In the event a judgment is obtained in a Canadian court against one or more of the Company’s directors or officers for violations of applicable securities laws or otherwise, it may not be possible to enforce such judgment against those directors and officers not resident in Canada.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light of the above, there is doubt as to whether (i) a judgment of a United States court based solely upon the civil liability provisions of United States federal or state securities laws would be enforceable in Canada against the Company or the Company’s directors and officers and (ii) an original action could be brought in Canada against us or our directors and officers to enforce liabilities based solely upon United States federal or state securities laws.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You may suffer dilution in this Offering or other offerings of our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number of Common Shares that the Company is authorized to issue is unlimited. The Company may, in its sole discretion, as part of future offerings, issue additional Common Shares and/or securities convertible into or exercisable for Common Shares from time to time subject to the rules of any applicable stock exchange on which the Common Shares are then listed and applicable securities law. The Company cannot predict the size or price of future issuances of Common Shares or the size or terms of future issuances of debt instruments or other securities convertible into Common Shares, or the effect, if any, that such future issuances and sales will have on the market price of the Common Shares. The issuance of any additional Common Shares and/or securities convertible into or exercisable for Common Shares may have a dilutive effect on the interests of holders of the Company’s Common Shares. The Offering may result in substantial dilution on a per Common Share basis to the Company’s net income and certain other financial measures used by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 return on your investment is not guaranteed.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regarding the amount of income to be generated by the Company. Common Shares are equity securities of the Company and are not fixed income securities. Unlike fixed income securities, there is no obligation of the Company to distribute to shareholders a fixed amount or any amount at all, or to return the initial purchase price of the Common Shares on any date in the future. The market value of the Common Shares may deteriorate if the Company is unable to generate sufficient positive returns, and that deterioration may be significant.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Shares may be volatile and your investment could suffer or decline in value.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many of which the Company cannot control and many of which have not necessarily been related to the operating performance, underlying asset values or prospects of the Company. In particular, the trading price of the Common Shares is in many cases directly tied to the price of Bitcoin. Other factors that may impact the trading price of the Common Shares include:</w:t>
      </w:r>
    </w:p>
    <w:p>
      <w:pPr>
        <w:spacing w:after="0" w:line="18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 and elsewhere in this prospectus supplement and the documents incorporated by reference herein.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been brought against that company. The Company may become the target of in this type of litigation in the future. Litigation of this type may be expensive to defend and may divert management’s attention and resources from the operation of the Company’s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could result in decreased or unfavorable security analyst and news media coverage. These factors could contribute to lower prices and larger spreads in the bid and ask prices for the Common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Investors who are U.S. persons may face potential adverse United States federal income tax consequences.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our Common Shares, such person may be treated as a “United States shareholder” with respect to each “controlled foreign corporation” in our group. A United States shareholder of a controlled foreign corporation may be required to report annually and include in its U.S. taxable income its pro rata share of “Subpart F income,” “global intangible low-taxed income,” and investments in United States property by controlled foreign corporations, regardless of whether we make any distributions. An individual who is a United States shareholder with respect to a controlled foreign corporation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toll the statute of limitations with respect to such shareholder's U.S. federal income tax return for the year for which reporting was due. We cannot provide any assurances that we will assist investors in determining whether any of our non-U.S. subsidiaries are treated as a controlled foreign corporation or whether any investor is treated as a United States shareholder with respect to any such controlled foreign corporation or furnish to any United States shareholders information that may be necessary to comply with the aforementioned reporting and tax paying obligations. A United States investor should consult its advisors regarding the potential application of these rules to an investment in our Common Shares.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cross-border transactions among the entities within our company group in relation to various aspects of our business. Canadian and U.S. transfer pricing regulations, as well as regulations applicable in other countries in which we operate, require that any international transaction involving associated enterprises be on arm’s-length terms and conditions. We view the transactions entered into among the Company and our subsidiaries to be priced on arm’s length terms and conditions and to be in accordance with the relevant transfer pricing regulations. If, however, a tax authority in any jurisdiction successfully challenges our position and asserts that the terms and conditions of such transactions are not on arm’s length terms and conditions, or that other income of our subsidiaries should be taxed in that jurisdiction, we may incur increased tax liability, including accrued interest and penalties, which would cause our tax expense to increase, possibly materially, thereby reducing our profitability and cash flows, which in turn could have a material adverse effect on our future cash flows, future earnings and financial condition.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a “passive foreign investment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if for any taxable year, 75% or more of our gross income is passive income, or at least 50% of the average quarterly value of our assets are held for the production of, or produce, passive income, we would be characterized as a passive foreign investment company (“PFIC”) for U.S. federal income tax purposes. Although not free from doubt, the Company does not believe it was a PFIC for 2023 and does not expect to be a PFIC for 2024. However, the determination as to whether a non-U.S. corporation is a PFIC is a factual determination made on an annual basis after the close of each taxable year. This determination is based on the application of complex U.S. federal income tax rules, which are subject to differing interpretations, and the determination will depend on, among other things, the composition of the non-U.S. corporation’s income, expenses and assets, as well as the relative value of its assets (which may fluctuate with the non-U.S. corporation’s market capitalization), from time to time and the nature of its activities. Moreover, the application of the PFIC rules to cryptocurrency such as bitcoin and transactions related thereto is subject to uncertainty. Accordingly, there can be no assurance that the Company will not be classified as a PFIC for any future taxable year.</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United States person holds our Common Shares, we would continue to be treated as a PFIC with respect to that United States person for such taxable year and, unless the United States person makes certain elections, for future years even if we cease to be a PFIC. If we are characterized as a PFIC, United States holders of our Common Shares may suffer adverse tax consequences, including the treatment of gains realized on the sale of our Common Shares as ordinary income, rather than as capital gain, the loss of the preferential income tax rate applicable to dividends received on our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election, or, to a lesser extent, a mark-to-market election. However, we do not intend to provide the information necessary for U.S. Holders to make a QEF Election if we are classified as a PFIC.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proceeds from the Offering, if any, are not determinable in light of the nature of the distribution. The net proceeds of any given distribution of Offered Shares pursuant to the Sales Agreement will represent the gross proceeds after deducting the applicable compensation payable to the Agent under the Sales Agreement and the expenses of the distribution. The proceeds actually received by the Company will depend on the number of Offered Shares actually sold and the offering price of such Offered Shares.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proceeds from the Offering, if any, are expected to be used by the Company primarily on capital expenditures to support the growth and development of the Company’s existing Mining operations as well as for working capital and general corporate purposes.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intends to apply the net proceeds to the objectives set forth above, there may be circumstances where a reallocation of funds may be deemed prudent or necessary, and the ultimate use of proceeds from the Offering may vary materially from that set forth above. For example, the operations of the Company may continue to be adversely impacted by international supply chain disruptions, which have already reduced the availability of and affected the timing of delivery of Mining equipment. Further, when Mining equipment does become available, the Company anticipates that it may be subject to increased equipment costs and increased shipping costs. Accordingly, a variety of factors may result in management of the Company exercising discretion in applying the net proceeds from the Offering. See “</w:t>
      </w:r>
      <w:r>
        <w:rPr>
          <w:rFonts w:ascii="Times New Roman" w:cs="Times New Roman" w:eastAsia="Times New Roman" w:hAnsi="Times New Roman"/>
          <w:sz w:val="18"/>
          <w:szCs w:val="18"/>
          <w:i w:val="1"/>
          <w:iCs w:val="1"/>
          <w:color w:val="auto"/>
        </w:rPr>
        <w:t>RISK FACTORS – Risks Related to the Offering of Securities – The Company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will have broad discretion in the use of proceeds from the Offering.</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Company’s consolidated capitalization since the date of the 2023 Annual Financial Statements which have not been disclosed in this prospectus supplement, the accompanying base shelf prospectus, or the documents incorporated by reference. As a result of the Offering, the shareholder’s equity of the Company will increase by the amount of the net proceeds, less expenses, of the Offering and the number of Common Shares issued and outstanding at the time of the Offering will increase by the number of Offered Shares issued under the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out details of the Common Shares issued by the Company during the 12 months prior to the date of this prospectus supplement. Unless otherwise indicated, such shares were issued as part of the at-the-market offering of common shares between the Company and the Agent, pursuant to the prospectus supplement dated August 16, 2021 to the short form base shelf prospectus of the Company dated August 12, 2021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16"/>
        </w:trPr>
        <w:tc>
          <w:tcPr>
            <w:tcW w:w="3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8, 2023</w:t>
            </w:r>
          </w:p>
        </w:tc>
        <w:tc>
          <w:tcPr>
            <w:tcW w:w="5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258,717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0.83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9,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2,138</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10,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13,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1,363,721</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0.81</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14,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15,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548,677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March 23,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29,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406,482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0.95</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March 31, 2023</w:t>
            </w:r>
            <w:r>
              <w:rPr>
                <w:rFonts w:ascii="Times New Roman" w:cs="Times New Roman" w:eastAsia="Times New Roman" w:hAnsi="Times New Roman"/>
                <w:sz w:val="29"/>
                <w:szCs w:val="29"/>
                <w:color w:val="auto"/>
                <w:vertAlign w:val="superscript"/>
              </w:rPr>
              <w:t>(3)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77,500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7"/>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3, 2023</w:t>
            </w:r>
            <w:r>
              <w:rPr>
                <w:rFonts w:ascii="Times New Roman" w:cs="Times New Roman" w:eastAsia="Times New Roman" w:hAnsi="Times New Roman"/>
                <w:sz w:val="29"/>
                <w:szCs w:val="29"/>
                <w:color w:val="auto"/>
                <w:vertAlign w:val="superscript"/>
              </w:rPr>
              <w:t>(3)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April 4, 2023</w:t>
            </w:r>
            <w:r>
              <w:rPr>
                <w:rFonts w:ascii="Times New Roman" w:cs="Times New Roman" w:eastAsia="Times New Roman" w:hAnsi="Times New Roman"/>
                <w:sz w:val="29"/>
                <w:szCs w:val="29"/>
                <w:color w:val="auto"/>
                <w:vertAlign w:val="superscript"/>
              </w:rPr>
              <w:t>(3)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0.36</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April 4, 2023</w:t>
            </w:r>
            <w:r>
              <w:rPr>
                <w:rFonts w:ascii="Times New Roman" w:cs="Times New Roman" w:eastAsia="Times New Roman" w:hAnsi="Times New Roman"/>
                <w:sz w:val="29"/>
                <w:szCs w:val="29"/>
                <w:color w:val="auto"/>
                <w:vertAlign w:val="superscript"/>
              </w:rPr>
              <w:t>(3)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42,650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April 10,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765,554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0.96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11,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457,842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April 12,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363,079</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13,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April 14,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136,026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17,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81,613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April 18,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360,752</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26,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1.18</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May 1, 2023</w:t>
            </w:r>
            <w:r>
              <w:rPr>
                <w:rFonts w:ascii="Times New Roman" w:cs="Times New Roman" w:eastAsia="Times New Roman" w:hAnsi="Times New Roman"/>
                <w:sz w:val="29"/>
                <w:szCs w:val="29"/>
                <w:color w:val="auto"/>
                <w:vertAlign w:val="superscript"/>
              </w:rPr>
              <w:t>(3)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23,400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296,900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May 3,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226,186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4,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192,092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May 5,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510,552</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16,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51,927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May 17,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542,550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18,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125,626</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May 22,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116,894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23,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75,910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May 24,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102,500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1.12</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May 25, 2023</w:t>
            </w:r>
            <w:r>
              <w:rPr>
                <w:rFonts w:ascii="Times New Roman" w:cs="Times New Roman" w:eastAsia="Times New Roman" w:hAnsi="Times New Roman"/>
                <w:sz w:val="29"/>
                <w:szCs w:val="29"/>
                <w:color w:val="auto"/>
                <w:vertAlign w:val="superscript"/>
              </w:rPr>
              <w:t>(3)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May 29, 2023</w:t>
            </w:r>
            <w:r>
              <w:rPr>
                <w:rFonts w:ascii="Times New Roman" w:cs="Times New Roman" w:eastAsia="Times New Roman" w:hAnsi="Times New Roman"/>
                <w:sz w:val="29"/>
                <w:szCs w:val="29"/>
                <w:color w:val="auto"/>
                <w:vertAlign w:val="superscript"/>
              </w:rPr>
              <w:t>(3)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30,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433,731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May 31,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426,965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1.21</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1, 2023</w:t>
            </w:r>
            <w:r>
              <w:rPr>
                <w:rFonts w:ascii="Times New Roman" w:cs="Times New Roman" w:eastAsia="Times New Roman" w:hAnsi="Times New Roman"/>
                <w:sz w:val="29"/>
                <w:szCs w:val="29"/>
                <w:color w:val="auto"/>
                <w:vertAlign w:val="superscript"/>
              </w:rPr>
              <w:t>(3)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 2,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338,945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1.20</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6, 2023</w:t>
            </w:r>
            <w:r>
              <w:rPr>
                <w:rFonts w:ascii="Times New Roman" w:cs="Times New Roman" w:eastAsia="Times New Roman" w:hAnsi="Times New Roman"/>
                <w:sz w:val="29"/>
                <w:szCs w:val="29"/>
                <w:color w:val="auto"/>
                <w:vertAlign w:val="superscript"/>
              </w:rPr>
              <w:t>(3)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23,475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0.36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 6,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382,616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7,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620,797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 8,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264,423</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1.13</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13, 2023</w:t>
            </w:r>
            <w:r>
              <w:rPr>
                <w:rFonts w:ascii="Times New Roman" w:cs="Times New Roman" w:eastAsia="Times New Roman" w:hAnsi="Times New Roman"/>
                <w:sz w:val="29"/>
                <w:szCs w:val="29"/>
                <w:color w:val="auto"/>
                <w:vertAlign w:val="superscript"/>
              </w:rPr>
              <w:t>(2)</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79,626</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June 14, 2023</w:t>
            </w:r>
            <w:r>
              <w:rPr>
                <w:rFonts w:ascii="Times New Roman" w:cs="Times New Roman" w:eastAsia="Times New Roman" w:hAnsi="Times New Roman"/>
                <w:sz w:val="29"/>
                <w:szCs w:val="29"/>
                <w:color w:val="auto"/>
                <w:vertAlign w:val="superscript"/>
              </w:rPr>
              <w:t>(2)</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28,708</w:t>
            </w:r>
          </w:p>
        </w:tc>
        <w:tc>
          <w:tcPr>
            <w:tcW w:w="300" w:type="dxa"/>
            <w:vAlign w:val="bottom"/>
          </w:tcPr>
          <w:p>
            <w:pPr>
              <w:spacing w:after="0"/>
              <w:rPr>
                <w:sz w:val="22"/>
                <w:szCs w:val="22"/>
                <w:color w:val="auto"/>
              </w:rPr>
            </w:pP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16,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1,321,722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 20,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2,839,940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21,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1,090,865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 22,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974,855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23,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1,515,233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1.53</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June 26, 2023</w:t>
            </w:r>
            <w:r>
              <w:rPr>
                <w:rFonts w:ascii="Times New Roman" w:cs="Times New Roman" w:eastAsia="Times New Roman" w:hAnsi="Times New Roman"/>
                <w:sz w:val="29"/>
                <w:szCs w:val="29"/>
                <w:color w:val="auto"/>
                <w:vertAlign w:val="superscript"/>
              </w:rPr>
              <w:t>(3)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26,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376,331</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 27,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912,207</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28,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656,724</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1.45</w:t>
            </w:r>
          </w:p>
        </w:tc>
      </w:tr>
      <w:tr>
        <w:trPr>
          <w:trHeight w:val="256"/>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June 29, 2023</w:t>
            </w:r>
            <w:r>
              <w:rPr>
                <w:rFonts w:ascii="Times New Roman" w:cs="Times New Roman" w:eastAsia="Times New Roman" w:hAnsi="Times New Roman"/>
                <w:sz w:val="29"/>
                <w:szCs w:val="29"/>
                <w:color w:val="auto"/>
                <w:vertAlign w:val="superscript"/>
              </w:rPr>
              <w:t>(3)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42,500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29, 2023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514,739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1.46</w:t>
            </w:r>
          </w:p>
        </w:tc>
      </w:tr>
      <w:tr>
        <w:trPr>
          <w:trHeight w:val="257"/>
        </w:trPr>
        <w:tc>
          <w:tcPr>
            <w:tcW w:w="34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June 30, 2023</w:t>
            </w:r>
            <w:r>
              <w:rPr>
                <w:rFonts w:ascii="Times New Roman" w:cs="Times New Roman" w:eastAsia="Times New Roman" w:hAnsi="Times New Roman"/>
                <w:sz w:val="29"/>
                <w:szCs w:val="29"/>
                <w:color w:val="auto"/>
                <w:vertAlign w:val="superscript"/>
              </w:rPr>
              <w:t>(3)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0.99</w:t>
            </w:r>
          </w:p>
        </w:tc>
      </w:tr>
      <w:tr>
        <w:trPr>
          <w:trHeight w:val="256"/>
        </w:trPr>
        <w:tc>
          <w:tcPr>
            <w:tcW w:w="34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June 30, 2023</w:t>
            </w:r>
            <w:r>
              <w:rPr>
                <w:rFonts w:ascii="Times New Roman" w:cs="Times New Roman" w:eastAsia="Times New Roman" w:hAnsi="Times New Roman"/>
                <w:sz w:val="29"/>
                <w:szCs w:val="29"/>
                <w:color w:val="auto"/>
                <w:vertAlign w:val="superscript"/>
              </w:rPr>
              <w:t>(3)</w:t>
            </w:r>
          </w:p>
        </w:tc>
        <w:tc>
          <w:tcPr>
            <w:tcW w:w="65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65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1,003,860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1.48</w:t>
            </w:r>
          </w:p>
        </w:tc>
      </w:tr>
      <w:tr>
        <w:trPr>
          <w:trHeight w:val="421"/>
        </w:trPr>
        <w:tc>
          <w:tcPr>
            <w:tcW w:w="34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4"/>
          </w:tcPr>
          <w:p>
            <w:pPr>
              <w:jc w:val="right"/>
              <w:ind w:right="4120"/>
              <w:spacing w:after="0"/>
              <w:rPr>
                <w:sz w:val="20"/>
                <w:szCs w:val="20"/>
                <w:color w:val="auto"/>
              </w:rPr>
            </w:pPr>
            <w:r>
              <w:rPr>
                <w:rFonts w:ascii="Times New Roman" w:cs="Times New Roman" w:eastAsia="Times New Roman" w:hAnsi="Times New Roman"/>
                <w:sz w:val="18"/>
                <w:szCs w:val="18"/>
                <w:color w:val="auto"/>
              </w:rPr>
              <w:t>S-16</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231"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3, 2023</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1,067,538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5,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1,043,228</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1.65</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July 5, 2023</w:t>
            </w:r>
            <w:r>
              <w:rPr>
                <w:rFonts w:ascii="Times New Roman" w:cs="Times New Roman" w:eastAsia="Times New Roman" w:hAnsi="Times New Roman"/>
                <w:sz w:val="29"/>
                <w:szCs w:val="29"/>
                <w:color w:val="auto"/>
                <w:vertAlign w:val="superscript"/>
              </w:rPr>
              <w:t>(1)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820,837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6,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193,236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7,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1,624,467</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10,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2,209,535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1,213,775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12,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1,782,009</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13,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2,437,509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17,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224,900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19,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180,449</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200,802</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248,778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26,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282,809</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28,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437,700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60,843</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9,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10,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179,590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194,124</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14,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15,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16,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487,985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17,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175,540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23,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29,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1,043,050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31,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329,197</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1.42</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August 31, 2023</w:t>
            </w:r>
            <w:r>
              <w:rPr>
                <w:rFonts w:ascii="Times New Roman" w:cs="Times New Roman" w:eastAsia="Times New Roman" w:hAnsi="Times New Roman"/>
                <w:sz w:val="29"/>
                <w:szCs w:val="29"/>
                <w:color w:val="auto"/>
                <w:vertAlign w:val="superscript"/>
              </w:rPr>
              <w:t>(2)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33,334</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1,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23,576</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5,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439,004</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6, 2023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155,094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1.27</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November 28, 2023</w:t>
            </w:r>
            <w:r>
              <w:rPr>
                <w:rFonts w:ascii="Times New Roman" w:cs="Times New Roman" w:eastAsia="Times New Roman" w:hAnsi="Times New Roman"/>
                <w:sz w:val="29"/>
                <w:szCs w:val="29"/>
                <w:color w:val="auto"/>
                <w:vertAlign w:val="superscript"/>
              </w:rPr>
              <w:t>(4)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44,444,446</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1.35</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1, 2023</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6, 2023</w:t>
            </w:r>
            <w:r>
              <w:rPr>
                <w:rFonts w:ascii="Times New Roman" w:cs="Times New Roman" w:eastAsia="Times New Roman" w:hAnsi="Times New Roman"/>
                <w:sz w:val="29"/>
                <w:szCs w:val="29"/>
                <w:color w:val="auto"/>
                <w:vertAlign w:val="superscript"/>
              </w:rPr>
              <w:t>(2)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108,334</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12, 2023</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301,250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1.18</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14, 2023</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163,783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1.22</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15, 2023</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18, 2023</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0.60</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18, 2023</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4,962,963</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7"/>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19, 2023</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243,562</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0.73</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20, 2023</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1,166,667</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1.23</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21, 2023</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60,640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1.44</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22, 2023</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341,235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0.83</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22, 2023</w:t>
            </w:r>
            <w:r>
              <w:rPr>
                <w:rFonts w:ascii="Times New Roman" w:cs="Times New Roman" w:eastAsia="Times New Roman" w:hAnsi="Times New Roman"/>
                <w:sz w:val="29"/>
                <w:szCs w:val="29"/>
                <w:color w:val="auto"/>
                <w:vertAlign w:val="superscript"/>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1.23</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27, 2023</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December 27, 2023</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218,438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1.11</w:t>
            </w:r>
          </w:p>
        </w:tc>
      </w:tr>
      <w:tr>
        <w:trPr>
          <w:trHeight w:val="257"/>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December 28, 2023</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898,188</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0.85</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January 2, 2024</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189,375</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0.76</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January 3, 2024</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January 5, 2024</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13, 2024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111,111</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1.23</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February 23, 2024</w:t>
            </w:r>
            <w:r>
              <w:rPr>
                <w:rFonts w:ascii="Times New Roman" w:cs="Times New Roman" w:eastAsia="Times New Roman" w:hAnsi="Times New Roman"/>
                <w:sz w:val="29"/>
                <w:szCs w:val="29"/>
                <w:color w:val="auto"/>
                <w:vertAlign w:val="superscript"/>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86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February 27, 2024</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86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February 28, 2024</w:t>
            </w:r>
            <w:r>
              <w:rPr>
                <w:rFonts w:ascii="Times New Roman" w:cs="Times New Roman" w:eastAsia="Times New Roman" w:hAnsi="Times New Roman"/>
                <w:sz w:val="29"/>
                <w:szCs w:val="29"/>
                <w:color w:val="auto"/>
                <w:vertAlign w:val="superscript"/>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1.17</w:t>
            </w:r>
          </w:p>
        </w:tc>
      </w:tr>
      <w:tr>
        <w:trPr>
          <w:trHeight w:val="39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r>
              <w:rPr>
                <w:rFonts w:ascii="Times New Roman" w:cs="Times New Roman" w:eastAsia="Times New Roman" w:hAnsi="Times New Roman"/>
                <w:sz w:val="29"/>
                <w:szCs w:val="29"/>
                <w:color w:val="auto"/>
                <w:vertAlign w:val="superscript"/>
              </w:rPr>
              <w:t>(5)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820,837 Common Shares issued in relation to the Baie-Comeau Expansion.</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conversion of RSUs.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exercise of stock options.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in connection with private placements.</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pursuant to the exercise of warrants.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1" w:right="339" w:bottom="42"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details of the stock options to purchase Common Shares issued by the Company during the 12-month period prior to the date of this prospectus supplement: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2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16"/>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C$</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1.89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4"/>
              </w:rPr>
              <w:t>C$</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4,685,000</w:t>
            </w:r>
          </w:p>
        </w:tc>
      </w:tr>
      <w:tr>
        <w:trPr>
          <w:trHeight w:val="41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following table summarizes details of the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issued by the Company during the 12-month period prior to the date of this prospectus supplement: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28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Restricted</w:t>
            </w:r>
          </w:p>
        </w:tc>
      </w:tr>
      <w:tr>
        <w:trPr>
          <w:trHeight w:val="216"/>
        </w:trPr>
        <w:tc>
          <w:tcPr>
            <w:tcW w:w="284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45"/>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7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Units</w:t>
            </w:r>
          </w:p>
        </w:tc>
      </w:tr>
      <w:tr>
        <w:trPr>
          <w:trHeight w:val="216"/>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22, 2023</w:t>
            </w:r>
          </w:p>
        </w:tc>
        <w:tc>
          <w:tcPr>
            <w:tcW w:w="7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840" w:type="dxa"/>
            <w:vAlign w:val="bottom"/>
          </w:tcPr>
          <w:p>
            <w:pPr>
              <w:spacing w:after="0"/>
              <w:rPr>
                <w:sz w:val="24"/>
                <w:szCs w:val="24"/>
                <w:color w:val="auto"/>
              </w:rPr>
            </w:pPr>
          </w:p>
        </w:tc>
        <w:tc>
          <w:tcPr>
            <w:tcW w:w="8400" w:type="dxa"/>
            <w:vAlign w:val="bottom"/>
            <w:gridSpan w:val="4"/>
          </w:tcPr>
          <w:p>
            <w:pPr>
              <w:ind w:left="1440"/>
              <w:spacing w:after="0"/>
              <w:rPr>
                <w:sz w:val="20"/>
                <w:szCs w:val="20"/>
                <w:color w:val="auto"/>
              </w:rPr>
            </w:pPr>
            <w:r>
              <w:rPr>
                <w:rFonts w:ascii="Times New Roman" w:cs="Times New Roman" w:eastAsia="Times New Roman" w:hAnsi="Times New Roman"/>
                <w:sz w:val="18"/>
                <w:szCs w:val="18"/>
                <w:b w:val="1"/>
                <w:bCs w:val="1"/>
                <w:color w:val="auto"/>
              </w:rPr>
              <w:t>TRADING PRICE AND VOLUME</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Shares are listed and posted for trading on the TSX and Nasdaq under the symbol “BITF”. The following table sets forth the reported intraday high and low prices and trading volumes of the Common Shares on the TSX and Nasdaq on a monthly basis for the 12-month period prior to the date of this prospectus supplement: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Price and Volume – TSX</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High (CAD)</w:t>
            </w: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Low (CAD)</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3.20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26,706,700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137,207,000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2.58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94,076,600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1.96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147,494,900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50,363,700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28,614,700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21,720,300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33,094,600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51,038,700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37,822,600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25,410,300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29,015,800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34,534,600</w:t>
            </w: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Price and Volume – Nasdaq</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3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High (US$)</w:t>
            </w:r>
          </w:p>
        </w:tc>
        <w:tc>
          <w:tcPr>
            <w:tcW w:w="12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Low (US$)</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r>
      <w:tr>
        <w:trPr>
          <w:trHeight w:val="216"/>
        </w:trPr>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2024</w:t>
            </w:r>
          </w:p>
        </w:tc>
        <w:tc>
          <w:tcPr>
            <w:tcW w:w="3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2.37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137,353,800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4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603,354,700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4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519,958,700</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4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878,618,400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4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302,926,800</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4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151,281,100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4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117,176,200</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August 2023</w:t>
            </w:r>
          </w:p>
        </w:tc>
        <w:tc>
          <w:tcPr>
            <w:tcW w:w="4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183,225,800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2023</w:t>
            </w:r>
          </w:p>
        </w:tc>
        <w:tc>
          <w:tcPr>
            <w:tcW w:w="4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297,347,800</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June 2023</w:t>
            </w:r>
          </w:p>
        </w:tc>
        <w:tc>
          <w:tcPr>
            <w:tcW w:w="4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159,595,300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2023</w:t>
            </w:r>
          </w:p>
        </w:tc>
        <w:tc>
          <w:tcPr>
            <w:tcW w:w="4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87,520,300</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April 2023</w:t>
            </w:r>
          </w:p>
        </w:tc>
        <w:tc>
          <w:tcPr>
            <w:tcW w:w="4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0.82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105,090,700</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2023</w:t>
            </w:r>
          </w:p>
        </w:tc>
        <w:tc>
          <w:tcPr>
            <w:tcW w:w="4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77,453,200</w:t>
            </w:r>
          </w:p>
        </w:tc>
      </w:tr>
      <w:tr>
        <w:trPr>
          <w:trHeight w:val="655"/>
        </w:trPr>
        <w:tc>
          <w:tcPr>
            <w:tcW w:w="33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3"/>
          </w:tcPr>
          <w:p>
            <w:pPr>
              <w:jc w:val="right"/>
              <w:ind w:right="1550"/>
              <w:spacing w:after="0"/>
              <w:rPr>
                <w:sz w:val="20"/>
                <w:szCs w:val="20"/>
                <w:color w:val="auto"/>
              </w:rPr>
            </w:pPr>
            <w:r>
              <w:rPr>
                <w:rFonts w:ascii="Times New Roman" w:cs="Times New Roman" w:eastAsia="Times New Roman" w:hAnsi="Times New Roman"/>
                <w:sz w:val="18"/>
                <w:szCs w:val="18"/>
                <w:color w:val="auto"/>
              </w:rPr>
              <w:t>S-18</w:t>
            </w: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COMMON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 without par value. As of the date hereof, there are 339,274,441 Common Shares and no preferred shares issued and outstanding. For a summary of certain material attributes and characteristics of the Common Shares, see “</w:t>
      </w:r>
      <w:r>
        <w:rPr>
          <w:rFonts w:ascii="Times New Roman" w:cs="Times New Roman" w:eastAsia="Times New Roman" w:hAnsi="Times New Roman"/>
          <w:sz w:val="18"/>
          <w:szCs w:val="18"/>
          <w:i w:val="1"/>
          <w:iCs w:val="1"/>
          <w:color w:val="auto"/>
        </w:rPr>
        <w:t>DESCRIPTION OF SHARE CAPITAL – Common Shares</w:t>
      </w:r>
      <w:r>
        <w:rPr>
          <w:rFonts w:ascii="Times New Roman" w:cs="Times New Roman" w:eastAsia="Times New Roman" w:hAnsi="Times New Roman"/>
          <w:sz w:val="18"/>
          <w:szCs w:val="18"/>
          <w:color w:val="auto"/>
        </w:rPr>
        <w:t>” in the accompanying base shelf prospectus.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Distribution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entered into the Sales Agreement with the Agent pursuant to which the Company may offer and sell the Offered Shares having an aggregate sales price of up to US$375,000,000 from the date hereof, from time to time through the Agent. The Agent is not required to sell any specific number or dollar amount of Common Shares but will use its commercially reasonable efforts, consistent with its normal sales and trading practices, to sell the Offered Shares under the terms and conditions of the Sales Agreement. Sales of Offered Shares, if any, will be made by any method that is deemed to be an “at-the-market distribution” or an “at-the-market” offering under applicable securities laws, including, without limitation, sales made directly on Nasdaq or other existing trading markets for the Common Shares in the United States. The sales, if any, of Offered Shares made under the Sales Agreement will be made by means of ordinary brokers’ transactions on Nasdaq or another existing trading market in the United States at market prices, or as otherwise agreed upon by the Company and the Agent. No Offered Shares will be offered or sold in Canada, on the TSX or on any other trading market in Canada. Neither the Company nor the Agent will undertake any act, advertisement, solicitation, conduct or negotiation directly or indirectly in furtherance of the sale of the Offered Shares in Canada. Under the terms of the Offering, prices may vary as between purchasers and during the period of distribution. The Agent will not engage in any transactions that stabilize the price of the Common Shares.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designate the maximum number or amount of Offered Shares to be sold through the Agent on a daily basis or otherwise as the Company and the Agent agree and the minimum price per Offered Share at which such Offered Shares may be sold. Subject to the terms and conditions of the Sales Agreement, the Agent will use reasonable efforts to sell on the Company’s behalf the maximum number or amount of Offered Shares so designated. The Company may instruct the Agent not to sell any Offered Shares if the sales cannot be effected at or above the minimum price designated by the Company in any such instruction. The Company or the Agent, may suspend the offering of the Offered Shares at any time and from time to time by notifying the other parties.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the right to terminate the provisions of the Sales Agreement relating to solicitations of offers to purchase Offered Shares in its sole discretion upon written notice to the Agent as specified in the Sales Agreement, and the Agent has the right to terminate the provisions of the Sales Agreement relating to solicitations of offers to purchase Offered Shares, by giving written notice as specified in the Sales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The Agent has agreed in the Sales Agreement to provide to the Company written confirmation following the close of trading on Nasdaq on each day in which Offered Shares are sold under the Sales Agreement. Each confirmation will include the number of Offered Shares sold on that day, the gross sales proceeds and the net proceeds to the Company. The Company will report at least quarterly the number of Offered Shares sold through the Agent under the Sales Agreement, the net proceeds to the Company and the Broker Fee payable to the Agent in connection with the sales of the Offered Shares.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pay the Agent a Broker Fee of 3.0% of the gross sales price per Offered Share sold through the Agent as the Company’s agent under the Sales Agreement. Because there is no minimum offering amount required as a condition of the Offering, the actual total public offering amount, Broker Fees and proceeds to the Company, if any, are not determinable at this time. The Company has agreed to reimburse the Agent for the fees and expenses of its legal counsel, in an amount not to exceed US$100,000. Additionally, pursuant to the terms of the Sales Agreement, the Company agreed to reimburse the Agent for the fees of its legal counsel incurred in connection with the Agent’s ongoing due diligence requirements arising from the transactions contemplated by the Sales Agreement in an amount not to exceed US$2,500 in the aggregate per calendar quarter. All expenses relating to the Offering and any compensation paid to the Agent will be paid out of the proceeds from the sale of Offered Shares, unless otherwise stated in the applicable prospectus supplement.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Settlement for sales of Offered Shares will occur, unless the parties agree otherwise, on the second trading day, or such shorter settlement cycle as may be in effect under Exchange Act Rule 15c6-1 from time to time, following the date on which any sales were made in return for payment of the net proceeds to the Company. There is no arrangement for funds to be received in an escrow, trust or similar arrangement. Sales of Offered Shares will be settled through the facilities of The Depository Trust Company or by such other means as the Company and the Agent may agree upon.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Agent is not registered as a dealer in any Canadian jurisdiction and, accordingly, is not permitted to and will not, directly or indirectly, advertise or solicit offers to purchase any of the Offered Shares in Canada.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of Offered Shares pursuant to the Sales Agreement will terminate upon the earliest of (i) the sale of all Offered Shares subject to the Sales Agreement; and (ii) the termination of the Sales Agreement as provided therein.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Offered Shares on the Company’s behalf, the Agent may be deemed to be an “underwriter” within the meaning of the U.S. Securities Act, and the compensation paid to such Agent may be deemed to be underwriting commissions or discounts. The Company has agreed to provide indemnification and contribution to the Agent against certain liabilities, including liabilities under the U.S. Securities Act. The Agent will not engage in any transactions that stabilize the price of the Common Shares. No underwriter or dealer involved in the distribution, no affiliate of such an underwriter or dealer and no person or company acting jointly or in concert with such an underwriter or dealer has over-allotted, or will over-allot, Common Shares in connection with the distribution or effect any other transactions that are intended to stabilize or maintain the market price of the Common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applied to list the Offered Shares on the TSX. Listing is subject to the approval of the TSX in accordance with its applicable listing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 Outside of the United States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the Company that would permit a public offering of the Offered Shares in any jurisdiction outside the United States where action for that purpose is required. The Offered Shares may not be offered or sold, directly or indirectly, nor may this prospectus supplement or any other offering material or advertisements in connection with the offer and sale of any such Offered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Offered Shares in any jurisdiction in which such an offer or a solicitation is unlawful.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summary describes, as of the date hereof, the principal Canadian federal income tax considerations under the Tax Act, generally applicable to a holder who acquires, as beneficial owner, Common Shares pursuant to the Offering, and who, for the purposes of the Tax Act and at all relevant times, holds Common Shares as capital property and deals at arm’s length and is not affiliated with the Company, the Agent and any subsequent purchaser of such securities. A holder who meets all of the foregoing requirements is referred to as a “Holder” herein, and this summary only addresses such Holders. Generally, Common Shares will be considered to be capital property to a Holder, provided the Holder does not hold Common Shares in the course of carrying on a business of trading or dealing in securities and has not acquired them in one or more transactions considered to be an adventure or concern in the nature of trade.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is not applicable to a holder (i) that is a “financial institution”, as defined in the Tax Act for the purposes of the mark-to-market rules in the Tax Act, (ii) that is a “specified financial institution”, as defined in the Tax Act, (iii) of an interest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with respect to the Common Shares, or (vi) that receives dividends on Common Shares under or as part of a “dividend rental arrangement”, as defined in the Tax Act. Any such holder should consult its own tax advisor with respect to an investment in Common Shares.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considerations, not discussed herein, may be applicable to a Holder that is a corporation resident in Canada and is (or does not deal at arm’s length with a corporation resident in Canada for purposes of the Tax Act that is), or becomes, controlled by a non-resident corporation for purposes of the “foreign affiliate dumping” rules in section 212.3 of the Tax Act. Such Holders should consult their tax advisors with respect to the consequences of acquiring Common Shares.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summary is based upon the provisions of the Tax Act and the regulations thereunder in force as of the date hereof, all specific proposals to amend the Tax Act and the regulations thereunder that have been publicly and officially announced by or on behalf of the Minister of Finance (Canada) prior to the date hereof (the “Proposed Amendments”) and counsel’s understanding of the current administrative policies and assessing practices of the Canada Revenue Agency (the “CRA”), published in writing by it prior to the date hereof. This summary assumes the Proposed Amendments will be enacted in the form proposed. However, no assurance can be given that the Proposed Amendments will be enacted in their current form, or at all.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is not exhaustive of all possible Canadian federal income tax considerations and, except for the Proposed Amendments, does not take into account or anticipate any changes in the law or any changes in the CRA’s administrative policies and assessing practices, whether by legislative, governmental or judicial action or decision, nor does it take into account or anticipate any other federal or any provincial, territorial or foreign tax considerations, which may differ significantly from those discussed herein. This summary is not intended to be, nor should it be construed to be, legal or tax advice to any particular Holder, and no representations with respect to the income tax consequences to any Holder are made. Consequently, Holders should consult their own tax advisors with respect to the tax consequences applicable to them, having regard to their own particular circumstances.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the Tax Act, all amounts relating to the acquisition, holding or disposition of the Common Shares (including dividends, adjusted cost base and proceeds of disposition) must generally be expressed in Canadian dollars. Amounts denominated in any other currency must be converted into Canadian dollars generally based on the exchange rate quoted by the Bank of Canada for the date such amounts arise and in accordance with the detailed rules in the Tax Act. As a result, the amount of dividends required to be included in the income of, and capital gains or capital losses realized by, a Holder may be affected by fluctuations in the Canadian dollar/United States dollar exchange rate.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Taxation of Resident 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portion of this summary applies to Holders (as defined above) who, for the purposes of the Tax Act, are or are deemed to be resident in Canada at all relevant times (herein, “</w:t>
      </w:r>
      <w:r>
        <w:rPr>
          <w:rFonts w:ascii="Times New Roman" w:cs="Times New Roman" w:eastAsia="Times New Roman" w:hAnsi="Times New Roman"/>
          <w:sz w:val="18"/>
          <w:szCs w:val="18"/>
          <w:b w:val="1"/>
          <w:bCs w:val="1"/>
          <w:color w:val="auto"/>
        </w:rPr>
        <w:t>Resident Holders</w:t>
      </w:r>
      <w:r>
        <w:rPr>
          <w:rFonts w:ascii="Times New Roman" w:cs="Times New Roman" w:eastAsia="Times New Roman" w:hAnsi="Times New Roman"/>
          <w:sz w:val="18"/>
          <w:szCs w:val="18"/>
          <w:color w:val="auto"/>
        </w:rPr>
        <w:t>”) and this portion of the summary only addresses such Resident Holders. Certain Resident Holders who might not be considered to hold their Common Shares as capital property may, in certain circumstances, be entitled to have them and any other “Canadian security” (as defined in the Tax Act) be treated as capital property by making the irrevocable election permitted by subsection 39(4) of the Tax Act. Resident Holders contemplating such election should consult their own tax advisors for advice as to whether it is available and, if available, whether it is advisable in their particular circumstances.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under the Tax Act to taxable dividends received from taxable Canadian corporations, including the enhanced gross-up and dividend tax credit provisions where the Company designates the dividend as an “eligible dividend” in accordance with the provisions of the Tax Act. There may be restrictions on the ability of the Company to designate any particular dividend as an “eligible dividend”.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dividend received or deemed to be received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A corporation that is a “private corporation” or a “subject corporation” (each as defined in the Tax Act), generally will be liable to pay an additional tax (refundable under certain circumstances) under Part IV of the Tax Act on dividends received or deemed to be received on the Common Shares in a year to the extent such dividends are deductible in computing taxable income for the year.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Disposition of Common Shares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Resident Holder who disposes, or is deemed to dispose, of a Common Share generally will realize a capital gain (or capital loss) equal to the amount, if any, by which the proceeds of disposition, net of any reasonable costs of disposition, exceed (or are exceeded by) the adjusted cost base to the Resident Holder of such Common Shares, as the case may be, immediately before the disposition or deemed disposition. The taxation of capital gains and losses is generally described below under the heading “</w:t>
      </w:r>
      <w:r>
        <w:rPr>
          <w:rFonts w:ascii="Times New Roman" w:cs="Times New Roman" w:eastAsia="Times New Roman" w:hAnsi="Times New Roman"/>
          <w:sz w:val="18"/>
          <w:szCs w:val="18"/>
          <w:i w:val="1"/>
          <w:iCs w:val="1"/>
          <w:color w:val="auto"/>
        </w:rPr>
        <w:t>Capital Gains and Capital Losses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Capital Gains and Capital Losses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a Resident Holder is required to include in computing income for a taxation year one-half of the amount of any capital gain (a “taxable capital gain”) realized by the Resident Holder in such taxation year. Subject to and in accordance with the rules contained in the Tax Act, a Resident Holder is required to deduct one-half of the amount of any capital loss (an “allowable capital loss”) realized in a particular taxation year against taxable capital gains realized by the Resident Holder in the year. 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any capital loss realized by a Resident Holder that is a corporation on the disposition or deemed disposition of a Common Share may be reduced by the amount of any dividends received or deemed to have been received by such Resident Holder on such Common Shares, to the extent and under the circumstances described in the Tax Act. Similar rules may apply where a Resident Holder that is a corporation is a member of a partnership or a beneficiary of a trust that owns Common Shares, directly or indirectly, through a partnership or trust. Resident Holders to whom these rules may be relevant should consult their own tax advisors.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Resident Holder that is throughout the relevant taxation year a “Canadian-controlled private corporation” (as defined in the Tax Act) may be liable to pay an additional tax (refundable in certain circumstances) on certain investment income, including amounts in respect of net taxable capital gains. Such Resident Holders should consult their own tax advisors. If certain Proposed Amendments are enacted, this refundable tax will also apply to a “substantive CCPC” (within the meaning of the Proposed Amendments and for the purposes of the Tax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i w:val="1"/>
          <w:iCs w:val="1"/>
          <w:color w:val="auto"/>
        </w:rPr>
        <w:t>Alternative Minimum Tax</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gains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Non-Resident 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portion of this summary is generally applicable to Holders who, for the purposes of the Tax Act and at all relevant times: (i) are neither resident nor deemed to be resident in Canada, and (ii) do not use or hold Common Shares in the course of business carried on or deemed to be carried on in Canada. Holders who meet all of the foregoing requirements are referred to herein as “Non-Resident Holders”, and this portion of the summary only addresses such Non-Resident Holders. Special rules, which are not discussed in this summary, may apply to a Non-Resident Holder that is an insurer carrying on business in Canada and elsewhere. Such Non-Resident Holders should consult their own tax advisors.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Receipt of Dividends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Dividends paid or credited or deemed to be paid or credited to a Non-Resident Holder by the Company are subject to Canadian withholding tax at the rate of 25% of the gross amount of the dividend unless reduced by the terms of an applicable tax treaty or convention between Canada and the country in which the Non-Resident Holder is resident. For example, under the Canada-United States Tax Convention (1980), as amended (the “Treaty”), the rate of withholding tax on dividends paid or credited to a Non-Resident Holder who is resident in the United States for purposes of the Treaty and entitled to full benefits under the Treaty (a “U.S. Holder”) is generally reduced to 15% of the gross amount of the dividend (or 5% in the case of a U.S. Holder that is a company beneficially owning at least 10% of the Common Shares). Non-Resident Holders should consult their own tax advisors in this regard.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Disposition of Common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Non-Resident Holder generally will not be subject to tax under the Tax Act in respect of a capital gain realized on the disposition or deemed disposition of a Common Share unless such Common Share constitutes “taxable Canadian property” (as defined in the Tax Act) of the Non-Resident Holder at the time of disposition and the gain is not exempt from tax pursuant to the terms of an applicable tax treaty or convention.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Provided the Common Shares are listed on a “designated stock exchange”, as defined in the Tax Act (which currently includes the TSX) at the time of disposition, the Common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Company; and (ii) more than 50% of the fair market value of the Common Shares 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Notwithstanding the foregoing, in certain circumstances set out in the Tax Act, the Common Shares may be deemed to be taxable Canadian property.</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the Common Shares are taxable Canadian property of a Non-Resident Holder, such Non-Resident Holder may be exempt from tax under the Tax Act on the disposition of such Common Shares by virtue of an applicable income tax treaty or convention. In cases where a Non-Resident Holder disposes, or is deemed to dispose, of a Common Share that is taxable Canadian property of that Non-Resident Holder, and the Non-Resident Holder is not entitled to an exemption from tax under the Tax Act or pursuant to the terms of an applicable income tax treaty or convention, the consequences under the heading “</w:t>
      </w:r>
      <w:r>
        <w:rPr>
          <w:rFonts w:ascii="Times New Roman" w:cs="Times New Roman" w:eastAsia="Times New Roman" w:hAnsi="Times New Roman"/>
          <w:sz w:val="18"/>
          <w:szCs w:val="18"/>
          <w:i w:val="1"/>
          <w:iCs w:val="1"/>
          <w:color w:val="auto"/>
        </w:rPr>
        <w:t>CERTAIN CANADIAN FEDERAL INCOME TAX CONSIDERATIONS – Taxation of Resident Holders – Capital Gains and Capital Losses</w:t>
      </w:r>
      <w:r>
        <w:rPr>
          <w:rFonts w:ascii="Times New Roman" w:cs="Times New Roman" w:eastAsia="Times New Roman" w:hAnsi="Times New Roman"/>
          <w:sz w:val="18"/>
          <w:szCs w:val="18"/>
          <w:color w:val="auto"/>
        </w:rPr>
        <w:t>” will generally be applicable to such disposition. Non-Resident Holders who may hold Common Shares as taxable Canadian property should consult their own tax advisors.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generally applicable to a U.S. Holder (as defined below) of the ownership and disposition of the Common Shares. This discussion addresses only holders who acquire the Common Shares pursuant to this Offering and hold such Common Shares as “capital assets” (generally, assets held for investment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U.S. Treasury regulations, administrative pronouncements and rulings of the United States Internal Revenue Service (the “IRS”), and the Convention, all as in effect on the date hereof, and all of which may be repealed, revoked or modified (possibly with retroactive effect) so as to result in U.S. federal income tax consequences different from those discussed below. This summary does not describe any state, local or foreign tax law considerations, or any aspect of U.S. federal tax law other than income taxation (e.g., alternative minimum tax, the 3.8% Medicare tax on certain net investment income, or estate or gift tax). Except as specifically set forth below, this summary does not discuss applicable income tax reporting requirements. U.S. Holders should consult their own tax advisers regarding such matters.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ruling from the IRS has been requested, or will be obtained, regarding the U.S. federal income tax consequences of the ownership or disposition of the Common Shares. This summary is not binding on the IRS, and the IRS is not precluded from taking a position that is different from, and contrary to, the discussion set forth in this summary. In addition, because the authorities on which this summary is based are subject to various interpretations, the IRS and U.S. courts could disagree with one or more of the positions taken in this summary.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summary does not purport to address all U.S. federal income tax consequences that may be relevant to a U.S. Holder as a result of the ownership and disposition of the Common Shares, nor does it take into account the specific circumstances of any particular holder, some of which may be subject to special tax rules, including, but not limited to, tax exempt organizations, partnerships and other pass-through entities and their owners, banks or other financial institutions, insurance companies, regulated investment companies, real estate investment trusts, qualified retirement plans, individual retirement accounts or other tax-deferred accounts, persons that hold the Common Shares as part of a straddle, hedging transaction, conversion transaction, constructive sale or other similar arrangements, persons that acquired the Common Shares in connection with the exercise of employee share options or otherwise as compensation for services, persons that are resident or ordinarily resident in or have permanent establishment in a jurisdiction outside the United States, brokers, dealers or traders in securities or foreign currencies, traders in securities electing to mark to market, U.S. persons whose functional currency (as defined in the Code) is not the U.S. dollar, U.S. expatriates, or persons that own directly, indirectly or by application of the constructive ownership rules of the Code 10% or more of the Company’s shares by voting power or by value.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used herein, a “U.S. Holder” is a beneficial owner of the Common Shares who, for U.S. federal income tax purposes, is: (1) an individual who is a citizen or resident of the United States; (2) a corporation (or other entity treated as a corporation for U.S. federal income tax purposes) that is created or organized in or under the laws of the United States, any state thereof, or the District of Columbia, (3) an estate whose income is subject to U.S. federal income tax regardless of its source, or (4) a trust (A) if a U.S. court is able to exercise primary supervision over the administration of the trust and one or more U.S. persons have the authority to control all substantial decisions of the trust, or (B) that has validly elected to be treated as a U.S. person for U.S. federal income tax purposes.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the Common Shares, the tax treatment of a partner in or owner of the partnership or other entity or arrangement will generally depend upon the status of the partner or owner and the activities of the entity. Prospective investors who are partners in partnerships (or other entities or arrangements treated as partnerships for U.S. federal income tax purposes) that are beneficial owners of the Common Shares are urged to consult their own tax advisors regarding the tax consequences of the ownership and disposition of the Common Shares.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summary is of a general nature only and is not intended to be tax advice to any prospective investor, and no representation with respect to the tax consequences to any particular investor is made. </w:t>
      </w:r>
      <w:r>
        <w:rPr>
          <w:rFonts w:ascii="Times New Roman" w:cs="Times New Roman" w:eastAsia="Times New Roman" w:hAnsi="Times New Roman"/>
          <w:sz w:val="18"/>
          <w:szCs w:val="18"/>
          <w:b w:val="1"/>
          <w:bCs w:val="1"/>
          <w:color w:val="auto"/>
        </w:rPr>
        <w:t>Prospective investors are urged to consult their own tax advisors regarding the application of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federal income tax laws to their particular circumstances, as well as any state, provincial, local, non-U.S. and other tax consequences of investing in the Common Shares and acquiring, holding or disposing of the Common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foreign corporation will generally be considered a PFIC for any taxable year in which (1) 75% or more of its gross income is “passive income” under the PFIC rules or (2) 50% or more of the average quarterly value of its assets produce, (or are held for the production of) “passive income.” For this purpose, “passive income” generally includes dividends, interest, certain rents and royalties and certain gains, including the excess of gains over losses from certain commodities transactions. Net gains from commodities transactions are generally treated as passive income unless such gains are active business gains from the sale of commodities and “substantially all” of the corporation’s commodities are stock in trade or inventory, depreciable property used in a trade or business, or supplies regularly used or consumed in a trade or business. Moreover, for purposes of determining if the foreign corporation is a PFIC, if the foreign corporation owns, directly or indirectly, at least 25%, by value, of the shares of another corporation, it will be treated as if it directly holds its proportionate share of the assets and receives directly its proportionate share of the income of such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not free from doubt, the Company does not believe it was a PFIC for 2023 and does not expect to be a PFIC for 2024. The Company’s status as a PFIC in any taxable year, however, requires a factual determination that can only be made annually after the close of each taxable year. Moreover, the application of the PFIC rules to cryptocurrency such as bitcoin and transactions related thereto is subject to uncertainty. Accordingly, there can be no assurance that the Company will not be classified as a PFIC for any future taxable year. Prospective U.S. Holders contemplating an investment in the Common Shares are urged to consult their tax advisors regarding the Company’s status as a PFIC and the U.S. federal income tax consequences that may apply if the Company is determined to be a PFIC in any taxable year.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is classified as a PFIC, a U.S. Holder that does not make any of the elections described below would be required to report any gain on the disposition of the Common Shares as ordinary income, rather than as capital gain, and to compute the tax liability on the gain and any “Excess Distribution” (as defined below) received in respect of Common Shares as if such items had been earned ratably over each day in the U.S. Holder’s holding period (or a portion thereof) for Common Shares. The amounts allocated to the taxable year during which the gain is realized or distribution is made, and to any taxable years in such U.S. Holder’s holding period that are before the first taxable year in which the Company is treated as a PFIC with respect to the U.S. Holder, would be included in the U.S. Holder’s gross income as ordinary income for the taxable year of the gain or distribution. The amount allocated to each other taxable year would be taxed as ordinary income in the taxable year during which the gain is realized or distribution is made at the highest tax rate in effect for the U.S. Holder in that other taxable year and would be subject to an interest charge as if the income tax liabilities had been due with respect to each such prior year. For purposes of these rules, gifts, exchanges pursuant to corporate reorganizations and use of Common Shares as security for a loan may be treated as a taxable disposition of Common Shares. An “Excess Distribution” is the amount by which distributions during a taxable year in respect of a common share exceed 125% of the average amount of distributions in respect thereof during the three preceding taxable years (or, if shorter, the U.S. Holder’s holding period for Common Shares).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additional adverse tax rules will apply to a U.S. Holder for any taxable year in which the Company is treated as a PFIC with respect to such U.S. Holder and any of the Company’s subsidiaries is also treated as a PFIC (a “Subsidiary PFIC”). In such a case, the U.S. Holder will generally be deemed to own its proportionate interest (by value) in any Subsidiary PFIC and be subject to the PFIC rules described above with respect to the Subsidiary PFIC regardless of such U.S. Holder’s percentage ownership in 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adverse tax consequences described above may be mitigated if a U.S. Holder makes a timely QEF Election with respect to its interest in the PFIC. Consequently, if the Company is classified as a PFIC, it may be advantageous for a U.S. Holder to elect to treat us as a “qualified electing fund” with respect to such U.S. Holder in the first year in which it holds Common Shares. If a U.S. Holder makes a timely QEF Election with respect to the Company, provided that the necessary information is provided by the Company, the electing U.S. Holder would be required in each taxable year that the Company is considered a PFIC to include in gross income (i) as ordinary income, the U.S. Holder’s pro rata share of the ordinary earnings of the Company and (ii) as capital gain, the U.S. Holder’s pro rata share of the net capital gain (if any) of the Company, whether or not the ordinary earnings or net capital gain are distributed. An electing U.S. Holder’s basis in Common Shares will be increased to reflect the amount of any taxed but undistributed income. Distributions of income that had previously been taxed will result in a corresponding reduction of basis in Common Shares and will not be taxed again as distributions to the U.S. Holder.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A QEF Election made with respect to the Company will not apply to any Subsidiary PFIC; a QEF Election must be made separately for each Subsidiary PFIC (in which case the treatment described above would apply to such Subsidiary PFIC). If a U.S. Holder makes a timely QEF Election with respect to a Subsidiary PFIC, it would be required in each taxable year to include in gross income its pro rata share of the ordinary earnings and net capital gain of such Subsidiary PFIC, but may not receive a distribution of such income. Such a U.S. Holder may, subject to certain limitations, elect to defer payment of current U.S. federal income tax on such amounts, subject to an interest charge (which would not be deductible for U.S. federal income tax purposes if the U.S. Holder were an individual).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federal income tax on any gain from the disposition of Common Shares or from the receipt of Excess Distributions may be greater than the tax if a timely QEF Election is made. U.S. Holders should be aware that the Company does not intend to provide the information necessary for U.S. Holders to make a QEF Election if the Company is classified as a PFIC for any year. U.S. Holders are urged to consult their own tax advisors about the U.S. federal income tax consequences to them if they are unable to make a timely and valid QEF Election for any taxable year in which the Company is treated as PFIC.</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Alternatively, if the Company were to be classified as a PFIC, a U.S. Holder could also avoid certain of the rules described above by making a mark-to-market election (a “Mark-to-Market Election”), instead of a QEF Election, provided the Common Shares are treated as regularly traded on a qualified exchange or other market within the meaning of the applicable U.S. Treasury Regulations. However, a U.S. Holder will not be permitted to make a Mark-to-Market Election with respect to a Subsidiary PFIC. U.S. Holders should consult their own tax advisers regarding the potential availability and consequences of a Mark-to-Market Election, as well as the advisability of making a protective QEF Election in case the Company is classified as a PFIC in any taxable year.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any taxable year in which the Company or any Subsidiary PFIC is classified as a PFIC with respect to a U.S. Holder, that U.S. Holder generally must file IRS Form 8621. U.S. Holders should consult their own tax advisers concerning annual filing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subject to the PFIC rules discussed above, the gross amount of any distribution received by a U.S. Holder with respect to the Common Shares (including amounts withheld to pay Canadian withholding taxes) will be included in the gross income of the U.S. Holder as dividend income to the extent attributable to the Company’s current or accumulated earnings and profits, as determined under U.S. federal income tax principles. Because the Company does not expect to maintain calculations of the Company’s earnings and profits in accordance with U.S. federal income tax principles, U.S. Holders should expect that a distribution will generally be treated as a dividend for U.S. federal income tax purposes.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amount of any distributions paid in Canadian dollars will equal the U.S. dollar value of such distributions determined by reference to the exchange rate on the day they are received by the U.S. Holder (with the value of such distributions computed before any reduction for any Canadian withholding tax), regardless of whether the payment is in fact converted into U.S. dollars at that time. A U.S. Holder will have a tax basis in Canadian dollars equal to their U.S. dollar value on the date of receipt. If the Canadian dollars received are converted into U.S. dollars on the date of receipt, the U.S. Holder should generally not be required to recognize foreign currency gain or loss in respect of the distribution. If the Canadian dollars received are not converted into U.S. dollars on the date of receipt, a U.S. Holder may recognize foreign currency gain or loss on a subsequent conversion or other disposition of the Canadian dollars. Such gain or loss generally will be treated as U.S. source ordinary income or loss.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8"/>
          <w:szCs w:val="18"/>
          <w:color w:val="auto"/>
        </w:rPr>
        <w:t>Subject to applicable limitations and provided the Company is eligible for the benefits of the Canada-U.S. Tax Convention or the Common Shares are readily tradable on a United States securities market, dividends paid by the Company to non-corporate US Holders, including individuals, generally will be eligible for the preferential tax rates applicable to long-term capital gains for dividends, provided certain holding period and other conditions are satisfied, including that the Company is not classified as a PFIC in the tax year of distribution or in the preceding tax year. Any amount of distributions treated as dividends generally will not be eligible for the dividends received deduction available to certain corporate U.S. Holders in respect of dividends received from U.S. corporations.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Distributions to a U.S. Holder with respect to the Common Shares may be subject to Canadian non-resident withholding tax. See “</w:t>
      </w:r>
      <w:r>
        <w:rPr>
          <w:rFonts w:ascii="Times New Roman" w:cs="Times New Roman" w:eastAsia="Times New Roman" w:hAnsi="Times New Roman"/>
          <w:sz w:val="18"/>
          <w:szCs w:val="18"/>
          <w:i w:val="1"/>
          <w:iCs w:val="1"/>
          <w:color w:val="auto"/>
        </w:rPr>
        <w:t>Certain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w:t>
      </w:r>
      <w:r>
        <w:rPr>
          <w:rFonts w:ascii="Times New Roman" w:cs="Times New Roman" w:eastAsia="Times New Roman" w:hAnsi="Times New Roman"/>
          <w:sz w:val="18"/>
          <w:szCs w:val="18"/>
          <w:color w:val="auto"/>
        </w:rPr>
        <w:t>” above. Any Canadian withholding tax paid will not reduce the amount treated as received by the U.S. Holder for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tax purposes. However, subject to limitations imposed by U.S. law, a U.S. Holder may be eligible to receive a foreign tax credit for the Canadian withholding tax. For purposes of calculating a U.S. Holder’s foreign tax credit, dividends received by such U.S. Holder with respect to the shares of a foreign corporation, including the Common Shares, generally constitute foreign source income. However, and subject to certain exceptions, a portion of the dividends paid by a foreign corporation will be treated as U.S. source income for U.S. foreign tax credit purposes, in proportion to its U.S. source earnings and profits, if U.S. persons collectively own, directly, or indirectly, 50% or more of the voting power or value of the foreign corporation’s shares. If a portion of any dividends paid with respect to the Common Shares are treated as U.S. source income under these rules, it may limit the ability of a U.S. Holder to claim a foreign tax credit for any Canadian withholding taxes imposed in respect of such dividend, although certain elections under the Code and the Convention may be available to mitigate these effects. Dividends received by a U.S. Holder with respect to the Common Shares will generally constitute “passive category income” for purposes of the foreign tax credit. The rules governing the foreign tax credit are complex. U.S. Holders are urged to consult their own tax advisors regarding the availability of the foreign tax credit under their particular circumstances, including the impact of, and any exception available to, the special income sourcing rule described in this paragraph. U.S. Holders who do not elect to claim a foreign tax credit may be able to claim an ordinary income tax deduction for Canadian income tax withheld, but only for a taxable year in which the U.S. Holder elects to do so with respect to all non-U.S. income taxes paid or accrued in such taxable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Exchange or Other Disposition of Common Shares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 PFIC rules discussed above, upon a sale, exchange or other taxable disposition of the Common Shares, a U.S. Holder will generally recognize a capital gain or loss equal to the difference between the amount realized on such sale, exchange or other taxable disposition (or, if the amount realized is denominated in Canadian dollars, its U.S. dollar equivalent, determined by reference to the spot rate of exchange on the date of disposition) and the adjusted tax basis of such Common Shares. If any foreign tax is imposed on the sale, exchange or other disposition of the Common Shares, a U.S. Holder’s amount realized will include the gross amount of the proceeds of the disposition before deduction of the tax. A U.S. Holder’s initial tax basis in the Common Shares generally will equal the cost of such Common Shares. Such gain or loss will be a long-term capital gain or loss if the Common Shares have been held for more than one year and will be a short-term gain or loss if the holding period is equal to or less than one year. Such gain or loss generally will be considered U.S. source gain or loss for U.S. foreign tax credit purposes. Long-term capital gains of certain non-corporate U.S. Holders are eligible for reduced rates of taxation. For both corporate and non-corporate U.S. Holders, limitations apply to the deductibility of capital losses. If a U.S. Holder receives any foreign currency on the sale of the Common Shares, the U.S. Holder may recognize ordinary income or loss as a result of currency fluctuations between the date of the sale of the Common Shares and the date the sale proceeds are converted into U.S. dollars.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Disclosure with Respect to Foreign Financial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U.S. Holders are required to report information relating to an interest in the Common Shares, subject to certain exceptions (including an exception for Common Shares held in accounts maintained by certain financial institutions), by attaching a completed IRS Form 8938 with their tax return for each year in which they hold an interest in the Common Shares. U.S. Holders are urged to consult their own tax advisors regarding information reporting requirements relating to their ownership of the Common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EACH PROSPECTIVE UNITED STATES INVESTOR IS URGED TO CONSULT ITS OWN TAX ADVISORS ABOUT THE U. S. TAX CONSEQUENCES TO IT OF AN INVESTMENT IN OUR COMMON SHARES IN LIGHT OF THE INVESTOR’S OWN CIRCUMSTANCES.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on behalf of the Company by Peterson McVicar LLP, with respect to Canadian legal matters, and Skadden, Arps, Slate, Meagher &amp; Flom LLP, with respect to United States legal matters. H.C. Wainwright &amp; Co., LLC is being represented in connection with this offering by Ellenoff Grossman &amp; Schole LLP.</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hereof, Peterson McVicar LLP, and its partners and associates beneficially own, directly or indirectly, less than 1% of any class of outstanding securities of the Company.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AUDITORS, TRANSFER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the Company is PricewaterhouseCoopers LLP at its offices located at PwC Tower, 18 York Street, Suite 2500, Toronto, Ontario, Canada M5J 0B2.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of the Company is TSX Trust Company at its offices located at 100 Adelaide St W #301, Toronto, ON M5H 1S3.</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AGENT FOR SERVICE OF PROCESS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Prospective investors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directors and officers of the Company reside outside of Canada. Emiliano Joel Grodzki, Nicolas Bonta, Andres Finkielsztain, Edith M. Hofmeister, Benjamin Gagnon, and Jeffrey Lucas have appointed the following agent for service of process: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Person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and Address of Agent</w:t>
            </w: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Nicolas Bonta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Bitfarms Ltd.</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Andres Finkielsztain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110 Yonge Street, Suite 1601,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Toronto, ON M5C 1T4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has filed with the SEC, concurrently with the Registration Statement, an appointment of agent for service of process on Form F-X. Under the Form F-X, the Company appointed Cogency Global Inc., with an address at 122 E. 42nd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EXEMPTIONS UNDER SECURITIES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decision of the Autorité des Marchés Financiers, the securities regulatory authority in the Province of Québec, dated June 22, 2023, the Company was granted relief from the requirement that the base shelf prospectus and all documents incorporated by reference therein, as well as any prospectus supplement thereto that relates to any future “at-the- market” distribution, must be in both the French and English languages. The Company is not required to file French versions of the base shelf prospectus, the documents incorporated by reference therein or any prospectus supplement relating to an “at-the-market” distribution. This exemption was granted on the condition that the base shelf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SHORT FORM BASE SHELF PROSPECTUS</w:t>
      </w:r>
    </w:p>
    <w:p>
      <w:pPr>
        <w:spacing w:after="0" w:line="229"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u w:val="single" w:color="auto"/>
          <w:color w:val="auto"/>
        </w:rPr>
        <w:t>New Issue and/or Secondary Offering</w:t>
      </w:r>
      <w:r>
        <w:rPr>
          <w:sz w:val="20"/>
          <w:szCs w:val="20"/>
          <w:color w:val="auto"/>
        </w:rPr>
        <w:tab/>
      </w:r>
      <w:r>
        <w:rPr>
          <w:rFonts w:ascii="Times New Roman" w:cs="Times New Roman" w:eastAsia="Times New Roman" w:hAnsi="Times New Roman"/>
          <w:sz w:val="18"/>
          <w:szCs w:val="18"/>
          <w:color w:val="auto"/>
        </w:rPr>
        <w:t>November 10,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156845</wp:posOffset>
            </wp:positionV>
            <wp:extent cx="2520315" cy="531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25203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US$375,000,000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Shares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Subscription Receipts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 Purchase Contracts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short form base shelf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relates to the offering for sale from time to time, during the 25-month period, that this prospectus, including any amendments hereto, remains effective, of the securities of Bitfarms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xml:space="preserve">”) listed above in one or more series or issuances, with a total offering price of such securities, in the aggregate, of up to </w:t>
      </w:r>
      <w:r>
        <w:rPr>
          <w:rFonts w:ascii="Times New Roman" w:cs="Times New Roman" w:eastAsia="Times New Roman" w:hAnsi="Times New Roman"/>
          <w:sz w:val="18"/>
          <w:szCs w:val="18"/>
          <w:b w:val="1"/>
          <w:bCs w:val="1"/>
          <w:color w:val="auto"/>
        </w:rPr>
        <w:t>US$375,000,000</w:t>
      </w:r>
      <w:r>
        <w:rPr>
          <w:rFonts w:ascii="Times New Roman" w:cs="Times New Roman" w:eastAsia="Times New Roman" w:hAnsi="Times New Roman"/>
          <w:sz w:val="18"/>
          <w:szCs w:val="18"/>
          <w:color w:val="auto"/>
        </w:rPr>
        <w:t xml:space="preserve"> (or the equivalent thereof in Canadian dollars or one or more foreign currencies or composite currencies). The securities may be offered separately or together, in amounts, at prices and on terms to be determined based on market conditions at the time of the sale and set forth in an accompanying prospectus supplement.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common shares of the Company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are listed for trading on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trading symbol “BITF” and on the Toronto Stock Exchange (the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under the trading symbol “BITF”. On November 9, 2023, being the last complete trading day prior to the date hereof, the closing price of the Common Shares on the TSX and Nasdaq was C$1.66 and US$1.20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Times New Roman" w:cs="Times New Roman" w:eastAsia="Times New Roman" w:hAnsi="Times New Roman"/>
          <w:sz w:val="18"/>
          <w:szCs w:val="18"/>
          <w:b w:val="1"/>
          <w:bCs w:val="1"/>
          <w:color w:val="auto"/>
        </w:rPr>
        <w:t>There is currently no market through which the</w:t>
      </w: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Company’s securities, other than the Common Shares, may be sold and purchasers may not be able to resell such securities purchased under this short form prospectus. This may affect the pricing of the Company’s securities, other than the Common Shares, in the secondary market, the transparency and availability of trading prices, the liquidity of the Company’s securities and the extent of issuer regulation. See “</w:t>
      </w:r>
      <w:r>
        <w:rPr>
          <w:rFonts w:ascii="Times New Roman" w:cs="Times New Roman" w:eastAsia="Times New Roman" w:hAnsi="Times New Roman"/>
          <w:sz w:val="18"/>
          <w:szCs w:val="18"/>
          <w:b w:val="1"/>
          <w:bCs w:val="1"/>
          <w:i w:val="1"/>
          <w:iCs w:val="1"/>
          <w:color w:val="auto"/>
        </w:rPr>
        <w:t>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FACTORS</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Prospective investors should be aware that the acquisition of the Company’s securities described herein may have tax consequences in Canada and/or the United States. This prospectus or any applicable prospectus supplement may not describe these tax consequences fully. Such consequences for investors who are resident in, or citizens of, the United States may not be described fully herein or in the applicable prospectus supplement. You should read the tax discussion in any applicable prospectus supplement with respect to any particular offering and consult your own tax advisor with respect to your own particular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underwriter has been involved in the preparation of this prospectus or performed any review of the contents of this prospectus.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subsections 4.1(1) and 5.5(7) of NI 44-102, the Company will file, with this Prospectus, an undertaking with the securities regulatory authorities in each of the provinces and territories of Canada that the Company will not distribute Securities that, at the time of distribution, are novel specified derivatives or novel asset-backed securities, without first pre-clearing with the applicable regulator the disclosure to be contained in any Prospectus Supplement pertaining to the distribution of the novel specified derivatives or asset-backed securities. 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Times New Roman" w:cs="Times New Roman" w:eastAsia="Times New Roman" w:hAnsi="Times New Roman"/>
          <w:sz w:val="18"/>
          <w:szCs w:val="18"/>
          <w:b w:val="1"/>
          <w:bCs w:val="1"/>
          <w:color w:val="auto"/>
        </w:rPr>
        <w:t>NI 44-102</w:t>
      </w:r>
      <w:r>
        <w:rPr>
          <w:rFonts w:ascii="Times New Roman" w:cs="Times New Roman" w:eastAsia="Times New Roman" w:hAnsi="Times New Roman"/>
          <w:sz w:val="18"/>
          <w:szCs w:val="18"/>
          <w:color w:val="auto"/>
        </w:rPr>
        <w:t>”),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 or any “Selling Securityholders” (as defined herein below), may offer and sell the Securities (as defined hereinbelow) to or through underwriters purchasing as principal and may also sell the Securities to one or more purchasers directly, through applicable statutory exemptions, or through agents designated by the Company from time to time. This Prospectus may qualify an “at-the-market distribution” as defined in NI 44-102.</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 the Nasdaq, or other existing trading markets for the Securities, and as set forth in a prospectus supplement for such purpose.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such risks and information in connection with an investment in the securities. See “</w:t>
      </w:r>
      <w:r>
        <w:rPr>
          <w:rFonts w:ascii="Times New Roman" w:cs="Times New Roman" w:eastAsia="Times New Roman" w:hAnsi="Times New Roman"/>
          <w:sz w:val="18"/>
          <w:szCs w:val="18"/>
          <w:b w:val="1"/>
          <w:bCs w:val="1"/>
          <w:i w:val="1"/>
          <w:iCs w:val="1"/>
          <w:color w:val="auto"/>
        </w:rPr>
        <w:t>SECONDARY OFFERING BY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SECURITYHOLDERS”</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w:t>
      </w:r>
    </w:p>
    <w:p>
      <w:pPr>
        <w:spacing w:after="0" w:line="5" w:lineRule="exact"/>
        <w:rPr>
          <w:sz w:val="20"/>
          <w:szCs w:val="20"/>
          <w:color w:val="auto"/>
        </w:rPr>
      </w:pPr>
    </w:p>
    <w:p>
      <w:pPr>
        <w:jc w:val="both"/>
        <w:ind w:firstLine="8"/>
        <w:spacing w:after="0" w:line="251" w:lineRule="auto"/>
        <w:tabs>
          <w:tab w:leader="none" w:pos="31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 One or more securityholders of the Company may also offer and sell Securities (as defined hereinbelow) under this prospectus (the “</w:t>
      </w:r>
      <w:r>
        <w:rPr>
          <w:rFonts w:ascii="Times New Roman" w:cs="Times New Roman" w:eastAsia="Times New Roman" w:hAnsi="Times New Roman"/>
          <w:sz w:val="18"/>
          <w:szCs w:val="18"/>
          <w:b w:val="1"/>
          <w:bCs w:val="1"/>
          <w:color w:val="auto"/>
        </w:rPr>
        <w:t>Selling Securityholders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Selling Securityholder</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SECONDARY OFFERING BY 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SECURITYHOLDERS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(State of Washington, U.S.A.), Backbone Hosting Solutions SAU (Argentina), D&amp;N Ingenieria SA (Paraguay) and Backbone Hosting Solutions Paraguay SA (Paraguay). In addition, certain of the Company’s directors and officers reside outside of Canada, namely, Emiliano Joel Grodzki, Nicolas Bonta, Andres Finkielsztain, Edith M. Hofmeister, Jeffrey Lucas, and Benjamin Gagnon, and they have appointed the Company at its registered office set forth below as their agent for service of process in Canada.</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(the “Registration Statement”) may be residents of a foreign country, and that all or a substantial portion of the assets of the Company and said persons may be located outside the United States.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THESE SECURITIES HAVE NOT BEEN APPROVED OR DISAPPROVED BY THE UNITED STATES SECURITIES AND EXCHANGE COMMISSION (THE “SEC”) OR ANY STATE SECURITIES COMMISSION OR REGULATORY AUTHORITY NOR HAS THE SEC OR ANY STATE SECURITIES COMMISSION OR REGULATORY AUTHORITY PASSED UPON THE ACCURACY OR ADEQUACY OF THIS PROSPECTUS. ANY REPRESENTATION TO THE CONTRARY IS A CRIMINAL OFFENSE.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Any offering made pursuant to this prospectus is made by a Canadian issuer that is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registered office is located at 110 Yonge Street, Suite 1601, Toronto, ON M5C 1T4.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80" w:type="dxa"/>
            <w:vAlign w:val="bottom"/>
            <w:tcBorders>
              <w:bottom w:val="single" w:sz="8" w:color="CCEEFF"/>
            </w:tcBorders>
            <w:gridSpan w:val="1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470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CURRENCY PRESENTATION AND EXCHANGE RATE INFORMATION</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3100" w:type="dxa"/>
            <w:vAlign w:val="bottom"/>
            <w:tcBorders>
              <w:bottom w:val="single" w:sz="8" w:color="CCEEFF"/>
            </w:tcBorders>
            <w:gridSpan w:val="3"/>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2620" w:type="dxa"/>
            <w:vAlign w:val="bottom"/>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COMPANY</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PROMOTERS</w:t>
            </w:r>
          </w:p>
        </w:tc>
        <w:tc>
          <w:tcPr>
            <w:tcW w:w="7340" w:type="dxa"/>
            <w:vAlign w:val="bottom"/>
            <w:tcBorders>
              <w:top w:val="single" w:sz="8" w:color="CCEEFF"/>
            </w:tcBorders>
            <w:gridSpan w:val="23"/>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SECONDARY OFFERING BY 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5"/>
        </w:trPr>
        <w:tc>
          <w:tcPr>
            <w:tcW w:w="486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760" w:type="dxa"/>
            <w:vAlign w:val="bottom"/>
            <w:tcBorders>
              <w:top w:val="single" w:sz="8" w:color="CCEEFF"/>
            </w:tcBorders>
            <w:gridSpan w:val="4"/>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7480" w:type="dxa"/>
            <w:vAlign w:val="bottom"/>
            <w:tcBorders>
              <w:bottom w:val="single" w:sz="8" w:color="CCEEFF"/>
            </w:tcBorders>
            <w:gridSpan w:val="25"/>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EARNINGS COVERAGE</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80" w:type="dxa"/>
            <w:vAlign w:val="bottom"/>
            <w:tcBorders>
              <w:bottom w:val="single" w:sz="8" w:color="CCEEFF"/>
            </w:tcBorders>
            <w:gridSpan w:val="11"/>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SUBSCRIPTION RECEIPTS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PURCHASE CONTRACTS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418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4440" w:type="dxa"/>
            <w:vAlign w:val="bottom"/>
            <w:tcBorders>
              <w:top w:val="single" w:sz="8" w:color="CCEEFF"/>
            </w:tcBorders>
            <w:gridSpan w:val="5"/>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INCOME TAX CONSIDERATIONS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350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120" w:type="dxa"/>
            <w:vAlign w:val="bottom"/>
            <w:tcBorders>
              <w:top w:val="single" w:sz="8" w:color="CCEEFF"/>
            </w:tcBorders>
            <w:gridSpan w:val="9"/>
          </w:tcPr>
          <w:p>
            <w:pPr>
              <w:spacing w:after="0"/>
              <w:rPr>
                <w:sz w:val="15"/>
                <w:szCs w:val="15"/>
                <w:color w:val="auto"/>
              </w:rPr>
            </w:pPr>
          </w:p>
        </w:tc>
        <w:tc>
          <w:tcPr>
            <w:tcW w:w="2620" w:type="dxa"/>
            <w:vAlign w:val="bottom"/>
            <w:tcBorders>
              <w:top w:val="single" w:sz="8" w:color="CCEEFF"/>
            </w:tcBorders>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406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4560" w:type="dxa"/>
            <w:vAlign w:val="bottom"/>
            <w:tcBorders>
              <w:bottom w:val="single" w:sz="8" w:color="CCEEFF"/>
            </w:tcBorders>
            <w:gridSpan w:val="6"/>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8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AGENTS FOR SERVICE OF PROCESS</w:t>
            </w:r>
          </w:p>
        </w:tc>
        <w:tc>
          <w:tcPr>
            <w:tcW w:w="2620" w:type="dxa"/>
            <w:vAlign w:val="bottom"/>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5"/>
        </w:trPr>
        <w:tc>
          <w:tcPr>
            <w:tcW w:w="8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EXEMPTIONS UNDER SECURITIES LAWS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“Currency Presentation and Exchange Rate Information”.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spacing w:after="0" w:line="176" w:lineRule="exact"/>
        <w:rPr>
          <w:sz w:val="20"/>
          <w:szCs w:val="20"/>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 of cryptocurrencies, such as Bitcoin and the other types of digital assets which Bitfarms and its subsidiaries may earn, hold and trade;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intended use of net proceeds from the sale of its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the Company intends to issue;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pricing for services and solutions in the businesses of the Company and its subsidiaries;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and market price of the Common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expectations regarding the sufficiency of its capital resources and requirements for additional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decrease of the market price of the Common Shares if the Company’s shareholders sell substantial amounts of Common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future sales or issuances of equity securities diluting voting power and reducing future earnings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market through which the Company’s securities, other than Common Shares, may be sold;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governmental laws and regulations, including tax regulations; and</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novel coronavirus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outbreak or other future global pandemics.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www.sedarplus.ca) or in the United States through EDGAR at the website of the SEC at www.sec.gov. Other material factors or assumptions that were applied in formulating the forward-looking statements contained herein include or relate to the following:</w:t>
      </w:r>
    </w:p>
    <w:p>
      <w:pPr>
        <w:spacing w:after="0" w:line="180" w:lineRule="exact"/>
        <w:rPr>
          <w:sz w:val="20"/>
          <w:szCs w:val="20"/>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economic conditions affecting the Company’s operations in their current state, including, general levels of economic activity, regulations, taxes and interest rates;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profitably produce the computational power sold to Mining Pools to solve block regards, which may be paid in Bitcoin, U.S. dollars, or other currency;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acquire and maintain required regulatory licenses and qualifications;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prices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cryptocurrency and blockchain markets and sectors;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good business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and integrate acquisitions;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identify, hire and retain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sufficient debt or equity financing to support the Company’s continued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suffer a material impact or disruption from a cybersecurity incident, cyber-attack or theft of digital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maintenance and development of cryptocurrency mining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usage and in the blockchain for various applications;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development of a stable public infrastructure, with the necessary speed, data capacity and security required to operate blockchain networks;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adverse regulation or law;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changes in the legislative, regulatory or operating framework for the Company’s existing and anticipated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 and expansion.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Halving Event.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and Price Volatility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Fluctuations.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Uncertainty of Additional Financing and Dilution.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Bitcoin Mining Algorithms Transitioning to Proof of Stake Validation.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Covenants.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and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History of De-centralized Financial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Cryptocurrency Network Difficulty and Impact of Increased Global Computing Power.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Profits/Losses and Production Revenues/Expenses.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Failure of Cryptocurrency Exchanges, Custodians and Other Trading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Bankruptcy, or Cessation of Operations of Mining Pool Operator.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Mining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Mining Pool.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Foreign Mining Pool Operator.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Mining Pool Agreements Governed by Foreign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Manufacturing in Foreign Countries and the Importation of Equipment to the Jurisdictions in Which the Company Operates.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447" w:gutter="0" w:footer="0" w:header="0"/>
        </w:sectPr>
      </w:pPr>
    </w:p>
    <w:bookmarkStart w:id="40" w:name="page41"/>
    <w:bookmarkEnd w:id="40"/>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and/or Widespread Use of Cryptocurrency is Uncertain.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Associated with High-voltage Electricity Transmission and Industrial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Corruption.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Foreign Corrupt Practices Act and Similar Legislation.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of Bitfarms Being Classified as a Passive Foreign Investment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and Infectious Disease Risk (including COVID-19).</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Risks.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Volatility and other Challenges in Argentina and/or Paraguay.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of Argentina and Paraguay Economies to External Shocks.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Corruption and Anti-Corruption Laws in Operating Locations.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of Tax Rates, Capital Controls and Foreign Exchange Restrictions in Argentina.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 Over Use of Proceeds.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Public Market for Certain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Debt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Changes in Interest Rates on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Fluctuations in Foreign Currency Markets on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Price of Common Shares and Volatility.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Additional information on these and other factors is discussed under the heading “</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 in this prospectus and in the documents incorporated by reference herein including in the 2022 MD&amp;A (as defined herein) under the headings “Financial Instruments and Risks” and “Other Risks” and in the 2022 AIF (as defined herein) under the heading “Risk Factors”, as may be modified or superseded by other subsequently filed documents that are also incorporated or deemed to be incorporated by reference in this prospectus.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expressly qualified by this cautionary statement. Except as required by law, the Company does not undertake any obligation to publicly update or revise any forward- looking statements, whether as a result of new information, future events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has been incorporated by reference in this short form base shelf prospectus from documents filed with the securities commissions or similar authorities in Canada and filed with, or furnished to, the SEC.</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Copies of the documents incorporated herein by reference may be obtained on request without charge from the Chief Financial Officer of Bitfarms at 110 Yonge Street, Suite 1601, Toronto, ON M5C 1T4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at www.sedarplus.ca or in the United States through EDGAR at the website of the SEC at www.sec.gov. The filings of the Company available on the Company’s website, SEDAR and EDGAR are not incorporated by reference in this prospectus except as specifically set out herein.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the securities commissions or similar regulatory authorities in each of the provinces and territories of Canada, are specifically incorporated by reference into, and form an integral part of, this short form base shelf prospectus:</w:t>
      </w:r>
    </w:p>
    <w:p>
      <w:pPr>
        <w:spacing w:after="0" w:line="162" w:lineRule="exact"/>
        <w:rPr>
          <w:sz w:val="20"/>
          <w:szCs w:val="20"/>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information form for the year ended December 31, 2022, dated as at March 20, 2023 and filed on March 21, 2023 (the “</w:t>
      </w:r>
      <w:r>
        <w:rPr>
          <w:rFonts w:ascii="Times New Roman" w:cs="Times New Roman" w:eastAsia="Times New Roman" w:hAnsi="Times New Roman"/>
          <w:sz w:val="18"/>
          <w:szCs w:val="18"/>
          <w:b w:val="1"/>
          <w:bCs w:val="1"/>
          <w:color w:val="auto"/>
        </w:rPr>
        <w:t>2022 AIF</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audited consolidated financial statements as at and for the years ended December 31, 2022 and 2021 the notes thereto and the Report of Independent Registered Public Accounting Firm thereon, filed on March 21, 2023 (the “</w:t>
      </w:r>
      <w:r>
        <w:rPr>
          <w:rFonts w:ascii="Times New Roman" w:cs="Times New Roman" w:eastAsia="Times New Roman" w:hAnsi="Times New Roman"/>
          <w:sz w:val="18"/>
          <w:szCs w:val="18"/>
          <w:b w:val="1"/>
          <w:bCs w:val="1"/>
          <w:color w:val="auto"/>
        </w:rPr>
        <w:t>2022 Annual Financial Statements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management’s discussion and analysis for the year ended December 31, 2022, dated as at March 20, 2023 and filed on March 21, 2023 (the “</w:t>
      </w:r>
      <w:r>
        <w:rPr>
          <w:rFonts w:ascii="Times New Roman" w:cs="Times New Roman" w:eastAsia="Times New Roman" w:hAnsi="Times New Roman"/>
          <w:sz w:val="18"/>
          <w:szCs w:val="18"/>
          <w:b w:val="1"/>
          <w:bCs w:val="1"/>
          <w:color w:val="auto"/>
        </w:rPr>
        <w:t>2022 MD&amp;A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unaudited interim condensed interim consolidated financial statements as at September 30, 2023 and for the three and nine months ended September 30, 2023 and 2022 and filed on November 7, 2023;</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management’s discussion and analysis for the three and nine months ended September 30, 2023 and 2022 and filed on November 7, 2023 (the “</w:t>
      </w:r>
      <w:r>
        <w:rPr>
          <w:rFonts w:ascii="Times New Roman" w:cs="Times New Roman" w:eastAsia="Times New Roman" w:hAnsi="Times New Roman"/>
          <w:sz w:val="18"/>
          <w:szCs w:val="18"/>
          <w:b w:val="1"/>
          <w:bCs w:val="1"/>
          <w:color w:val="auto"/>
        </w:rPr>
        <w:t>Interim MD&amp;A</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circular dated April 4, 2023 with respect to an annual general and special meeting of shareholders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held on May 24, 2023, filed on April 24, 2023;</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January 3, 2023 relating to relating to an update to the Company’s Bitcoin earned in the 2022 financial year;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January 13, 2023 relating to the Company’s initiative to modify its equipment loan facility;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February 1, 2023 relating to an update to the Company’s Bitcoin earned for the month of January 2023;</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February 9, 2023 relating to the modification of the loan agreement with BlockFi Lending LLC;</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March 1, 2023 relating to relating to an update to the Company’s Bitcoin earned for the month of February 2023;</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March 21, 2023 relating to the reporting of its financial performance for the year ended December 31, 2022. In this material change report, the Company stated that in 2022 it ranked “among the cost-effective publicly trade BTC mining companies”. In support of this statement, the Company relied upon data provided by www.theminermag.com, namely the “Estimated Gross Margin of Proprietary Bitcoin Hashrate Activities.” With data starting in 2023, www.theminermag.com also reports the “Implied Cost of Bitcoin Production from Proprietary Hashrate”, being the absolute cost of producing Bitcoin, denominated in United States dollars. This data is not presented for the 2022 calendar year, and consequently the Company’s statement in its March 21, 2023 material change report is supported on only a gross margin basis and not on an absolute cost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April 3, 2023 relating to relating to an update to the Company’s Bitcoin earned for the month of March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April 11, 2023 relating to the entering into of an agreement to acquire 22 MW of power capacity in Baie-Comeau, Quebec;</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April 24, 2023 relating to the receipt of a permit to expand its power capacity up to 100 MW at its Rio Cuarto, Argentina facility;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April 28, 2023 relating to the Company’s achievement of obtaining an aggregate hashrate of 5.0 EH/s;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May 1, 2023 relating to the Company regaining compliance with Nasdaq continued listing requirements;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May 1, 2023 relating to an update to the Company’s Bitcoin earned for the month of April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May 8, 2023 relating to the Company’s achievement of mining 21,000 Bitcoin over its six years of operations;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May 15, 2023 relating to the reporting of the Company’s financial statements for the first quarter of the 2023 financial year;</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June 1, 2023 relating to an update to the Company’s Bitcoin earned for the month of May 2023;</w:t>
      </w:r>
    </w:p>
    <w:p>
      <w:pPr>
        <w:spacing w:after="0" w:line="25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June 7, 2023 relating to the purchase of 4,660 high performance miners;</w:t>
      </w:r>
    </w:p>
    <w:p>
      <w:pPr>
        <w:spacing w:after="0" w:line="25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June 12, 2023 relating to the increase in the Company’s operational hashrate;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July 4, 2023 relating to an update to the Company’s Bitcoin earned for the month of June 2023;</w:t>
      </w:r>
    </w:p>
    <w:p>
      <w:pPr>
        <w:spacing w:after="0" w:line="252"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July 6, 2023 relating to the commencement of operations at its Baie-Comeau facility and the increase of its hashrate target to 6.3 EH/s by the end of the third financial quarter of 2023;</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July 19, 2023 relating to entering into of power purchase agreements in Paraguay for up to 150 MW of hydropower;</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August 1, 2023 relating to an update to the Company’s Bitcoin earned for the month of July 2023;</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August 7, 2023 relating to the deployment plan of a 50 MW of hydropower substation located in Paraguay;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August 8, 2023 relating to the announcement of the Company’s second quarter 2023 financial results;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September 1, 2023 relating to an update to the Company’s Bitcoin earned for the month of August 2023;</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October 2, 2023 relating to an update to the Company’s Bitcoin earned for the month of September 2023;</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October 23, 2023 relating to the increase of operating capacity at the Company’s facility located in Baie-Comeau to 240 MW;</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November 1, 2023 relating to an update to the Company’s Bitcoin earned for the month of October 2023;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change report dated November 7, 2023 relating to the announcement of the Company’s third quarter 2023 financial results.</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Any documents of the type described in Section 11.1 of Form 44-101F1 Short Form Prospectuses filed by the Company with a securities commission or similar authority in any province or territory of Canada subsequent to the date of this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such document or information shall also be deemed to be incorporated by reference as an exhibit to the Registration Statement (in the case of a report on Form 6-K, if and to the extent expressly provided in such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form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the Company’s website in any documents that are incorporated by reference into this prospectus do not incorporate by reference the information on such website into this prospectus, and we disclaim any such incorporation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CURRENCY PRESENTATION AND EXCHANGE RATE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high, low, average and closing rates for the U.S. dollar in terms of Canadian dollars for each of the financial periods indicated below, as quoted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Canada,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5980" w:type="dxa"/>
            <w:vAlign w:val="bottom"/>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(expressed in Canadian dollars)</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1.3674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1.3726</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1.3856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Low</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1.3128</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1.2753</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1.2451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1.3414</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1.3056</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1.3013</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1.2535</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1.3520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1.3707</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1.3544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1.2678</w:t>
            </w:r>
          </w:p>
        </w:tc>
      </w:tr>
    </w:tbl>
    <w:p>
      <w:pPr>
        <w:spacing w:after="0" w:line="17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On November 9, 2023, the daily exchange rate for the U.S. dollar in terms of Canadian dollars, as quoted by the Bank of Canada, was $1.00 = C$1.3781.</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FILED AS PART OF THE REGISTRATION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documents have been, or will be, filed with the SEC as part of the Registration Statement, of which this prospectus forms a part: (1) the documents listed under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(2) the consent of PricewaterhouseCoopers LLP; (3) powers of attorney from certain of the Company’s directors and officers; and (4) the forms of senior and subordinated indenture relating to the debt securities.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filed with the SEC the Registration Statement with respect to the Securities. This prospectus, including the documents incorporated by reference herein, which forms a part of the Registration Statement, does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241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as well as the documents incorporated by reference into this prospectus and the applicable prospectus supplement, before making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decision.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Address and Incorporation</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was incorporated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on October 11, 2018, and continued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on August 27, 2021. The Company has its registered and head office located at 110 Yonge Street, Suite 1601, Toronto, ON M5C 1T4. The Company’s Common Shares are listed for trading on the Nasdaq and on the TSX under the trading symbol “BITF”.</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Subsidiaries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principal material subsidiaries of the Company as of the date hereof.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c>
          <w:tcPr>
            <w:tcW w:w="100" w:type="dxa"/>
            <w:vAlign w:val="bottom"/>
          </w:tcPr>
          <w:p>
            <w:pPr>
              <w:spacing w:after="0"/>
              <w:rPr>
                <w:sz w:val="21"/>
                <w:szCs w:val="21"/>
                <w:color w:val="auto"/>
              </w:rPr>
            </w:pPr>
          </w:p>
        </w:tc>
        <w:tc>
          <w:tcPr>
            <w:tcW w:w="42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Assets Held</w:t>
            </w:r>
          </w:p>
        </w:tc>
      </w:tr>
      <w:tr>
        <w:trPr>
          <w:trHeight w:val="216"/>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 (Israel)</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1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Inc.</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 cryptocurrency</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SAU</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Argentina</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Backbone Hosting Solutions Paraguay SA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Paraguay</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Mining Solutions LLC</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194"/>
        </w:trPr>
        <w:tc>
          <w:tcPr>
            <w:tcW w:w="5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9159-9290 Québec Inc. (operating under the name “Volta Électrique</w:t>
            </w:r>
          </w:p>
        </w:tc>
        <w:tc>
          <w:tcPr>
            <w:tcW w:w="16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Quebec</w:t>
            </w:r>
          </w:p>
        </w:tc>
        <w:tc>
          <w:tcPr>
            <w:tcW w:w="430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8"/>
                <w:szCs w:val="18"/>
                <w:color w:val="auto"/>
              </w:rPr>
              <w:t>Provides professional electrical services to Backbone</w:t>
            </w:r>
          </w:p>
        </w:tc>
      </w:tr>
      <w:tr>
        <w:trPr>
          <w:trHeight w:val="238"/>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w:t>
            </w:r>
            <w:r>
              <w:rPr>
                <w:rFonts w:ascii="Times New Roman" w:cs="Times New Roman" w:eastAsia="Times New Roman" w:hAnsi="Times New Roman"/>
                <w:sz w:val="18"/>
                <w:szCs w:val="18"/>
                <w:b w:val="1"/>
                <w:bCs w:val="1"/>
                <w:color w:val="auto"/>
              </w:rPr>
              <w:t>Volta</w:t>
            </w: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Hosting Solutions Inc. and outside customers</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Orion Constellation Technologies Inc.</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Quebec</w:t>
            </w:r>
          </w:p>
        </w:tc>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D&amp;N Ingenieria SA</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Paraguay</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Computer equipment</w:t>
            </w:r>
          </w:p>
        </w:tc>
      </w:tr>
      <w:tr>
        <w:trPr>
          <w:trHeight w:val="41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Description of the Business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primary business is the mining of cryptocurrency. Through its subsidiaries, the Company owns and operates server farms, composed of computers (referred to as “</w:t>
      </w:r>
      <w:r>
        <w:rPr>
          <w:rFonts w:ascii="Times New Roman" w:cs="Times New Roman" w:eastAsia="Times New Roman" w:hAnsi="Times New Roman"/>
          <w:sz w:val="18"/>
          <w:szCs w:val="18"/>
          <w:b w:val="1"/>
          <w:bCs w:val="1"/>
          <w:color w:val="auto"/>
        </w:rPr>
        <w:t>Miners</w:t>
      </w:r>
      <w:r>
        <w:rPr>
          <w:rFonts w:ascii="Times New Roman" w:cs="Times New Roman" w:eastAsia="Times New Roman" w:hAnsi="Times New Roman"/>
          <w:sz w:val="18"/>
          <w:szCs w:val="18"/>
          <w:color w:val="auto"/>
        </w:rPr>
        <w:t>”) designed for the purpose of validating transactions on the Bitcoin Blockchain (referred to as “</w:t>
      </w:r>
      <w:r>
        <w:rPr>
          <w:rFonts w:ascii="Times New Roman" w:cs="Times New Roman" w:eastAsia="Times New Roman" w:hAnsi="Times New Roman"/>
          <w:sz w:val="18"/>
          <w:szCs w:val="18"/>
          <w:b w:val="1"/>
          <w:bCs w:val="1"/>
          <w:color w:val="auto"/>
        </w:rPr>
        <w:t>Mining</w:t>
      </w:r>
      <w:r>
        <w:rPr>
          <w:rFonts w:ascii="Times New Roman" w:cs="Times New Roman" w:eastAsia="Times New Roman" w:hAnsi="Times New Roman"/>
          <w:sz w:val="18"/>
          <w:szCs w:val="18"/>
          <w:color w:val="auto"/>
        </w:rPr>
        <w:t>”). Bitfarms generally operates Miners 24 hours a day producing computational power (measured by hashrate) which it sells to Mining Pools (as defined herein), for a formula-driven rate commonly known in the industry as Full Pay Per Share (“</w:t>
      </w:r>
      <w:r>
        <w:rPr>
          <w:rFonts w:ascii="Times New Roman" w:cs="Times New Roman" w:eastAsia="Times New Roman" w:hAnsi="Times New Roman"/>
          <w:sz w:val="18"/>
          <w:szCs w:val="18"/>
          <w:b w:val="1"/>
          <w:bCs w:val="1"/>
          <w:color w:val="auto"/>
        </w:rPr>
        <w:t>FPPS</w:t>
      </w:r>
      <w:r>
        <w:rPr>
          <w:rFonts w:ascii="Times New Roman" w:cs="Times New Roman" w:eastAsia="Times New Roman" w:hAnsi="Times New Roman"/>
          <w:sz w:val="18"/>
          <w:szCs w:val="18"/>
          <w:color w:val="auto"/>
        </w:rPr>
        <w:t>”). For more information regarding the Company’s Mining Pool arrangements, see “</w:t>
      </w:r>
      <w:r>
        <w:rPr>
          <w:rFonts w:ascii="Times New Roman" w:cs="Times New Roman" w:eastAsia="Times New Roman" w:hAnsi="Times New Roman"/>
          <w:sz w:val="18"/>
          <w:szCs w:val="18"/>
          <w:i w:val="1"/>
          <w:iCs w:val="1"/>
          <w:color w:val="auto"/>
        </w:rPr>
        <w:t>THE COMPANY – Summary Description of the Business –</w:t>
      </w:r>
      <w:r>
        <w:rPr>
          <w:rFonts w:ascii="Times New Roman" w:cs="Times New Roman" w:eastAsia="Times New Roman" w:hAnsi="Times New Roman"/>
          <w:sz w:val="18"/>
          <w:szCs w:val="18"/>
          <w:color w:val="auto"/>
        </w:rPr>
        <w:t xml:space="preserve"> Mining Pool Participation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For more information regarding the business of the Company, see the 2022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350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27875" cy="4350385"/>
                    </a:xfrm>
                    <a:prstGeom prst="rect">
                      <a:avLst/>
                    </a:prstGeom>
                    <a:noFill/>
                  </pic:spPr>
                </pic:pic>
              </a:graphicData>
            </a:graphic>
          </wp:anchor>
        </w:drawing>
        <w:t>In the description of the business of the Company in this short form base shelf prospectus:</w:t>
      </w:r>
    </w:p>
    <w:p>
      <w:pPr>
        <w:spacing w:after="0" w:line="22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Bitcoin</w:t>
      </w:r>
      <w:r>
        <w:rPr>
          <w:rFonts w:ascii="Times New Roman" w:cs="Times New Roman" w:eastAsia="Times New Roman" w:hAnsi="Times New Roman"/>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76" w:lineRule="exact"/>
        <w:rPr>
          <w:sz w:val="20"/>
          <w:szCs w:val="20"/>
          <w:color w:val="auto"/>
        </w:rPr>
      </w:pPr>
    </w:p>
    <w:p>
      <w:pPr>
        <w:jc w:val="both"/>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“Block Reward” </w:t>
      </w:r>
      <w:r>
        <w:rPr>
          <w:rFonts w:ascii="Times New Roman" w:cs="Times New Roman" w:eastAsia="Times New Roman" w:hAnsi="Times New Roman"/>
          <w:sz w:val="18"/>
          <w:szCs w:val="18"/>
          <w:color w:val="auto"/>
        </w:rPr>
        <w:t>shall refer to the new bitcoins that are awarded by the Blockchain network to eligible cryptocurrency Miners for each block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they successfully mine. The current block reward is 6.25 Bitcoin per block;</w:t>
      </w:r>
    </w:p>
    <w:p>
      <w:pPr>
        <w:spacing w:after="0" w:line="15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“Blockchain” </w:t>
      </w:r>
      <w:r>
        <w:rPr>
          <w:rFonts w:ascii="Times New Roman" w:cs="Times New Roman" w:eastAsia="Times New Roman" w:hAnsi="Times New Roman"/>
          <w:sz w:val="18"/>
          <w:szCs w:val="18"/>
          <w:color w:val="auto"/>
        </w:rPr>
        <w:t>shall refer to a cloud-based public ledger that exists on computers that participate on the network globally. The Blockchain grows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82" w:lineRule="exact"/>
        <w:rPr>
          <w:sz w:val="20"/>
          <w:szCs w:val="20"/>
          <w:color w:val="auto"/>
        </w:rPr>
      </w:pPr>
    </w:p>
    <w:p>
      <w:pPr>
        <w:jc w:val="both"/>
        <w:ind w:left="66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“Hash” </w:t>
      </w:r>
      <w:r>
        <w:rPr>
          <w:rFonts w:ascii="Times New Roman" w:cs="Times New Roman" w:eastAsia="Times New Roman" w:hAnsi="Times New Roman"/>
          <w:sz w:val="18"/>
          <w:szCs w:val="18"/>
          <w:color w:val="auto"/>
        </w:rPr>
        <w:t>shall refer to a function that converts or maps an input of letters and numbers into an encrypted output of a fixed length, which outputs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often referred to as Hashes. A Hash is created using an algorithm. The algorithm used in the validation of Bitcoin transactions is the SHA-256 algorithm.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“Hashrate” </w:t>
      </w:r>
      <w:r>
        <w:rPr>
          <w:rFonts w:ascii="Times New Roman" w:cs="Times New Roman" w:eastAsia="Times New Roman" w:hAnsi="Times New Roman"/>
          <w:sz w:val="18"/>
          <w:szCs w:val="18"/>
          <w:color w:val="auto"/>
        </w:rPr>
        <w:t>shall refer to the number of Hash operations performed per second and is a measure of computing power in Mining cryptocurrency;</w:t>
      </w:r>
    </w:p>
    <w:p>
      <w:pPr>
        <w:spacing w:after="0" w:line="22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Pool</w:t>
      </w:r>
      <w:r>
        <w:rPr>
          <w:rFonts w:ascii="Times New Roman" w:cs="Times New Roman" w:eastAsia="Times New Roman" w:hAnsi="Times New Roman"/>
          <w:sz w:val="18"/>
          <w:szCs w:val="18"/>
          <w:color w:val="auto"/>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spacing w:after="0" w:line="17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shall refer to a megawatt, which is 1,000 kilowatts of electricity and, in the industry of cryptocurrency mining, is typically a reference to the number of megawatts of electricity that is available for use.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0935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27875" cy="7093585"/>
                    </a:xfrm>
                    <a:prstGeom prst="rect">
                      <a:avLst/>
                    </a:prstGeom>
                    <a:noFill/>
                  </pic:spPr>
                </pic:pic>
              </a:graphicData>
            </a:graphic>
          </wp:anchor>
        </w:drawing>
        <w:t>Prior to January 2021, the Company routinely exchanged cryptocurrencies earned into U.S. dollars through reputable cryptocurrency trading platforms. At the beginning of Fiscal 2021, the Company implemented the Digital Asset Management Program under which the Company decided how many earned Bitcoin would be held by the Company through its custodians. See the 2022 AIF under the heading “</w:t>
      </w:r>
      <w:r>
        <w:rPr>
          <w:rFonts w:ascii="Times New Roman" w:cs="Times New Roman" w:eastAsia="Times New Roman" w:hAnsi="Times New Roman"/>
          <w:sz w:val="18"/>
          <w:szCs w:val="18"/>
          <w:i w:val="1"/>
          <w:iCs w:val="1"/>
          <w:color w:val="auto"/>
        </w:rPr>
        <w:t>DESCRIPTION OF BUSINESS -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Overview – Digital Asset Management Program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October 31, 2023, Bitfarms operates eleven total server farms around the world. Eight server farm facilities are located in Québec, Canada, with electrical infrastructure capacity of 158 MW for Mining Bitcoin and expansion opportunities up to 179 MW; one server farm facility is located in Washington State, United States, with operational electrical infrastructure capacity of 18 MW and expansion opportunities up to 24 MW; one server farm facility is located in Villarrica, Paraguay, with electrical infrastructure capacity of 10 MW and expansion opportunities up to 160 MW in Paraguay; and one server farm facility is located in Argentina, with current operational electrical infrastructure capacity of 55 MW, of which 54 MW are currently operating. The Company has contracts securing an aggregate of 179 MW, 160 MW and 24 MW of hydro-electric green energy in Quebec, Paraguay, and Washington, respectively, and up to 210 MW of natural gas energy in Argentina. The Company currently has a permit in place to draw up to 100 MW of the 210 MW from a private energy supplier; however, the Company may draw all 210 MW from the Argentina public energy grid at any time, without additional permits.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2022 and is continually being updated to enhance its features and improve its functionality. The revised system is referred to as MGMT-2.</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Volta provides electrician services to both commercial and residential customers in Québec, while assisting Bitfarms in building and maintaining its server farms in Quebec.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working capital of the Company at September 30, 2023 is approximately $54.0 million. In 2021, 2022 and the first nine months of 2023, the Company raised capital through the issuance of common shares through its at-the-market equity offering program which commenced on August 16, 2021. The decrease in the Company’s working capital through 2022 is attributable primarily to a decrease in the price of Bitcoin relative to prior years, the Company holding fewer Bitcoins, and the spending of capital on property, plant and equipment acquisitions for the Company’s several expansions, which increased the Company’s Hashrate to 6.3 EH/s in October 2023. As at November 9, 2023, the Company holds approximately 774 Bitcoins.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cash operating expenditures are estimated to approximate $148.8 million for the next 12 months, or about $12.4 million per month based on approximately $8.4 million per month for energy costs of the Company’s infrastructure that is estimated to reach 158 MW in Quebec, 18 MW in Washington State, 30 MW in Paraguay and 55 MW in Argentina at the blended contractual energy price of approximately $0.045 USD/KwH or less, facilities expense of approximately $0.5 million per month, cash compensation expense of approximately $1.7 million per month and the balance for recurring professional fees and other ongoing general and administrative expenses of approximately $1.8 million per month. Offsetting the impact to the Company’s working capital of the cash operating expenditures are the generation of Bitcoin from operations. In the most recently completed month, October 2023, the Company earned 398 Bitcoin with a value of approximately $11.8 million based on an average price of $29,600 during the month. The Company’s existing operations are contributing positively to the Company’s working capital position and will allow it to continue operations for the foreseeable future under current Bitcoin price and difficulty conditions. As described under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xml:space="preserve">, the Company’s planned capital expenditures, including acquisitions, over the next 18 months are anticipated to be approximately $100 million to $300 million, which exceed the Company’s current working capital position and expected contributions to working capital from the Company’s existing operations. In the absence of additional financing, the Company will be unable to pursue certain growth targets, milestones and business objectives, as described under </w:t>
      </w:r>
      <w:r>
        <w:rPr>
          <w:rFonts w:ascii="Times New Roman" w:cs="Times New Roman" w:eastAsia="Times New Roman" w:hAnsi="Times New Roman"/>
          <w:sz w:val="18"/>
          <w:szCs w:val="18"/>
          <w:i w:val="1"/>
          <w:iCs w:val="1"/>
          <w:color w:val="auto"/>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PROCEEDS – Business Objectives and Milestones”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prospectus, the Company has raised net proceeds of approximately $54.1 million and $68.5 million in the 2022 financial year and in the first nine months of 2023, respectively, through the issuance of common shares through its at-the-market equity offering program. The Company may be able to raise an additional approximately $80.5 million from the exercise of outstanding warrants to purchase Common Shares. In addition to the foregoing and the proceeds of any financing pursuant to this prospectus, the Company may utilize debt facilities from existing and new lenders to the Company as well as borrowing against, or if necessary, liquidating, its Bitcoin inventory. Liquidating or borrowing against the Company’s Bitcoin inventory is not anticipated to impact the Company’s operating activities and its revenue stream from ongoing Mining operations.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053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27875" cy="8053705"/>
                    </a:xfrm>
                    <a:prstGeom prst="rect">
                      <a:avLst/>
                    </a:prstGeom>
                    <a:noFill/>
                  </pic:spPr>
                </pic:pic>
              </a:graphicData>
            </a:graphic>
          </wp:anchor>
        </w:drawing>
        <w:t>More detailed information regarding the business of the Company as well as its mining operations can be found in the 2022 AIF under the heading “</w:t>
      </w:r>
      <w:r>
        <w:rPr>
          <w:rFonts w:ascii="Times New Roman" w:cs="Times New Roman" w:eastAsia="Times New Roman" w:hAnsi="Times New Roman"/>
          <w:sz w:val="18"/>
          <w:szCs w:val="18"/>
          <w:i w:val="1"/>
          <w:iCs w:val="1"/>
          <w:color w:val="auto"/>
        </w:rPr>
        <w:t>DESCRIPTION OF THE BUSINESS – Description of the Busines</w:t>
      </w:r>
      <w:r>
        <w:rPr>
          <w:rFonts w:ascii="Times New Roman" w:cs="Times New Roman" w:eastAsia="Times New Roman" w:hAnsi="Times New Roman"/>
          <w:sz w:val="18"/>
          <w:szCs w:val="18"/>
          <w:color w:val="auto"/>
        </w:rPr>
        <w:t>s”, the 2022 MD&amp;A and the Interim MD&amp;A, all of which are incorporated by reference 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Mining Profitability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possible to determine with certainty the price of Bitcoin at which the Company’s costs would exceed its revenues. This is because the price of Bitcoin and network difficulty are interdependent factors and must be analyzed together to determine whether the economics warrant pausing of mining activities. The Company would consider pausing mining activity if the network difficulty and Bitcoin price resulted in revenue per teraHash decreasing below 4 cents – a level at which the variable cost of mining (i.e. the incremental cost of mining Bitcoin) exceeds the revenue per teraHash. In such a circumstance, the Company would consider the long-term impact of pausing its operations, in addition to the direct economic impact.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difficulty levels as at the end of September 2023, the Company’s average direct cost per Bitcoin was approximately US$16,300; however, the Company would likely be in a position to continue mining Bitcoin profitably if the price per Bitcoin decreased to this level. In the event that the price per Bitcoin decreased below approximately US$16,300, the Company would expect that many other miners in the industry would earn revenue below their break-even cost of production and suspend operations. Consequently, the Company would expect that the network difficulty would decrease (causing the Company’s cost per Bitcoin to also decrease). In the event that the price of Bitcoin decreases below US$16,300 and network difficulty does not change, the Company may temporarily pause mining until the price surpasses the Company’s average direct cost per Bitcoin.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in the event the network difficulty rises or the Bitcoin price decreases such that the direct cost exceeds the Hashrate per teraHash, the Company may consider reducing the clock rate of its miners, resulting in greater electrical efficiency and a lower direct cost per Bitcoin.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 Cryptocurrency Network Difficulty and Impact of Increased Global Computing Power”.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2023, network difficulty increased to over 57 trillion Hashes. As of the date hereof, network difficulty remains over 62 trillion Hashes. The increase in network difficulty has had the effect of reducing the Company’s quantity of Bitcoin the Company earns on an ongoing basis, as the Company’s Hashrate did not increase in proportion to the increase in network difficulty. Bitcoin mining difficulty increased by approximately 5 trillion Hashes, or about 9%, from the end of September to the end of October. Assuming no change in the Company’s Hashrate, the Company would receive approximately 8% less Bitcoin due to the increase in Bitcoin mining difficulty. The reduction in the quantity of Bitcoin earned resulted in an increase of the Company’s average direct cost per Bitcoin (as the costs incurred are allocated over fewer earned Bitcoins). However, the Company’s revenues increased in October 2023 compared to September 2023 as the price of Bitcoin and the Company’s average hashrate increased to minimize the impact of the Company earning fewer Bitcoins as a result of the increased mining difficulty.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Mining Pool Participation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generally operates Miners 24 hours a day producing computational power (measured by hashrate) which it sells to Mining Pools (as defined herein), and is compensated on a FPPS basis. Bitfarms currently participates in only one Mining Pool, being Foundry USA Pool (“</w:t>
      </w:r>
      <w:r>
        <w:rPr>
          <w:rFonts w:ascii="Times New Roman" w:cs="Times New Roman" w:eastAsia="Times New Roman" w:hAnsi="Times New Roman"/>
          <w:sz w:val="18"/>
          <w:szCs w:val="18"/>
          <w:b w:val="1"/>
          <w:bCs w:val="1"/>
          <w:color w:val="auto"/>
        </w:rPr>
        <w:t>Foundry Pool</w:t>
      </w:r>
      <w:r>
        <w:rPr>
          <w:rFonts w:ascii="Times New Roman" w:cs="Times New Roman" w:eastAsia="Times New Roman" w:hAnsi="Times New Roman"/>
          <w:sz w:val="18"/>
          <w:szCs w:val="18"/>
          <w:color w:val="auto"/>
        </w:rPr>
        <w:t>”).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The Company provides its Mining Pool with computing power (Hashrate) over a 24-hour period and continues to record the recognition of revenue upon delivery of the service which generally coincides with the receipt of crypto assets in exchange for mining activities. Mining Pools generate revenue by Mining with purchased Hashrate through the accumulation of block rewards and transaction fees issued by the Bitcoin network. Mining Pools are purchasing Hashrate and take on risk with the aim to mine more blocks than they should in a given time period.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miners’ Hashrate is directed to Foundry Pool’s cloud-based network with a specific URL address. Bitfarms uses at least one unique URL address per location. Mining Pools (including Foundry Pool) generally have software to compute distribution proportions among participating Miners, verify Miner’s contributions, and distribute rewards to each Miner. Other members of the Mining Pool also direct </w:t>
      </w:r>
      <w:r>
        <w:rPr>
          <w:rFonts w:ascii="Times New Roman" w:cs="Times New Roman" w:eastAsia="Times New Roman" w:hAnsi="Times New Roman"/>
          <w:sz w:val="18"/>
          <w:szCs w:val="18"/>
          <w:i w:val="1"/>
          <w:iCs w:val="1"/>
          <w:color w:val="auto"/>
        </w:rPr>
        <w:t>their</w:t>
      </w:r>
      <w:r>
        <w:rPr>
          <w:rFonts w:ascii="Times New Roman" w:cs="Times New Roman" w:eastAsia="Times New Roman" w:hAnsi="Times New Roman"/>
          <w:sz w:val="18"/>
          <w:szCs w:val="18"/>
          <w:color w:val="auto"/>
        </w:rPr>
        <w:t xml:space="preserve"> Miners Hashrate to Foundry Pool with URL address(es) that are unique to </w:t>
      </w:r>
      <w:r>
        <w:rPr>
          <w:rFonts w:ascii="Times New Roman" w:cs="Times New Roman" w:eastAsia="Times New Roman" w:hAnsi="Times New Roman"/>
          <w:sz w:val="18"/>
          <w:szCs w:val="18"/>
          <w:i w:val="1"/>
          <w:iCs w:val="1"/>
          <w:color w:val="auto"/>
        </w:rPr>
        <w:t>those</w:t>
      </w:r>
      <w:r>
        <w:rPr>
          <w:rFonts w:ascii="Times New Roman" w:cs="Times New Roman" w:eastAsia="Times New Roman" w:hAnsi="Times New Roman"/>
          <w:sz w:val="18"/>
          <w:szCs w:val="18"/>
          <w:color w:val="auto"/>
        </w:rPr>
        <w:t xml:space="preserve"> members.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expects that it could earn marginally more revenues over a specific time period by not participating in a Mining Pool (as a result of not being charged any fee by the Mining Pool), it elects to do so primarily to make its earning more predictable and to generate revenues on a daily basis, i.e. based on what it would be expected to mine. Indeed, prior to the commencement of a particular day, the Company is able to formulate a reasonably accurate estimate of the revenues it will earn that day, based on its expected Hashrate contributed to the Pool. In practice, the Hashrate contributed to the Mining Pool by the Company will vary somewhat for any number of reasons, (e.g. an individual miner malfunctions, requiring repairs).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684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27875" cy="7684770"/>
                    </a:xfrm>
                    <a:prstGeom prst="rect">
                      <a:avLst/>
                    </a:prstGeom>
                    <a:noFill/>
                  </pic:spPr>
                </pic:pic>
              </a:graphicData>
            </a:graphic>
          </wp:anchor>
        </w:drawing>
        <w:t>The short-term impact of not using a Mining Pool cannot be estimated. It is possible that the Company experiences a period of good fortune and solves a greater number of blocks than it would be expected to based solely on its Hashrate, in which case its revenues would be greater than the FPPS payout methodology, for that specific time period. On the other hand, over a specific time period, Bitfarms could solve fewer blocks and earn less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payout formula that Foundry Pool pays to Bitfarms (not including transaction fees)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where Subaccount FPPS Payout Amount is the amount of payment (in Bitcoin) that the Company actual receives; Daily PPS Base per Subaccount is the amount of Bitcoin earned by the Company </w:t>
      </w:r>
      <w:r>
        <w:rPr>
          <w:rFonts w:ascii="Times New Roman" w:cs="Times New Roman" w:eastAsia="Times New Roman" w:hAnsi="Times New Roman"/>
          <w:sz w:val="18"/>
          <w:szCs w:val="18"/>
          <w:i w:val="1"/>
          <w:iCs w:val="1"/>
          <w:color w:val="auto"/>
        </w:rPr>
        <w:t>based on the block subsidy</w:t>
      </w:r>
      <w:r>
        <w:rPr>
          <w:rFonts w:ascii="Times New Roman" w:cs="Times New Roman" w:eastAsia="Times New Roman" w:hAnsi="Times New Roman"/>
          <w:sz w:val="18"/>
          <w:szCs w:val="18"/>
          <w:color w:val="auto"/>
        </w:rPr>
        <w:t xml:space="preserve"> that is paid to Bitcoin Miners for solving a block (the “</w:t>
      </w:r>
      <w:r>
        <w:rPr>
          <w:rFonts w:ascii="Times New Roman" w:cs="Times New Roman" w:eastAsia="Times New Roman" w:hAnsi="Times New Roman"/>
          <w:sz w:val="18"/>
          <w:szCs w:val="18"/>
          <w:b w:val="1"/>
          <w:bCs w:val="1"/>
          <w:color w:val="auto"/>
        </w:rPr>
        <w:t>Reward Component</w:t>
      </w:r>
      <w:r>
        <w:rPr>
          <w:rFonts w:ascii="Times New Roman" w:cs="Times New Roman" w:eastAsia="Times New Roman" w:hAnsi="Times New Roman"/>
          <w:sz w:val="18"/>
          <w:szCs w:val="18"/>
          <w:color w:val="auto"/>
        </w:rPr>
        <w:t>”); FPPS Rate is a factor that increases the Reward Component to account for transaction fees paid by users of the Bitcoin network who wish to record a transaction to the Bitcoin blockchain and which fees are paid to Bitcoin Miners for solving a block that includes that transaction; and Pool Fee % is the fee withheld by Foundry Pool, i.e. the fees paid by the Company for its participation in the pool.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Daily PPS Base per Subaccount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where worker is the number of Miners (or groups of Miners),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equals a number equal to the aggregate Hashrate of a worker divided by sets equal to the size of the </w:t>
      </w:r>
      <w:r>
        <w:rPr>
          <w:rFonts w:ascii="Times New Roman" w:cs="Times New Roman" w:eastAsia="Times New Roman" w:hAnsi="Times New Roman"/>
          <w:sz w:val="18"/>
          <w:szCs w:val="18"/>
          <w:i w:val="1"/>
          <w:iCs w:val="1"/>
          <w:color w:val="auto"/>
        </w:rPr>
        <w:t>share difficulty</w:t>
      </w:r>
      <w:r>
        <w:rPr>
          <w:rFonts w:ascii="Times New Roman" w:cs="Times New Roman" w:eastAsia="Times New Roman" w:hAnsi="Times New Roman"/>
          <w:sz w:val="18"/>
          <w:szCs w:val="18"/>
          <w:color w:val="auto"/>
        </w:rPr>
        <w:t xml:space="preserve"> (such that the sum of all such shares is equal to the aggregate Hashpower of a particular worker; block subsidy is the amount of Bitcoin rewarded for solving a block (currently 6.25 Bitcoin, until the next Halving event, scheduled to occur in April or May 2024 (the “</w:t>
      </w: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Halving</w:t>
      </w:r>
      <w:r>
        <w:rPr>
          <w:rFonts w:ascii="Times New Roman" w:cs="Times New Roman" w:eastAsia="Times New Roman" w:hAnsi="Times New Roman"/>
          <w:sz w:val="18"/>
          <w:szCs w:val="18"/>
          <w:color w:val="auto"/>
        </w:rPr>
        <w:t>”)), and network difficulty is the Bitcoin network difficulty.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FPPS Rate is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where the sum of the contract period block subsidies is the aggregate amount of block subsidies awarded to all Miners on the Bitcoin blockchain over a particular period of time (e.g. 24 hours) and the sum of the contract period transaction fees are the actual transaction fees paid by all Bitcoin network users for the transaction they log to the blockchain on the blocks over the same period of time (i.e. 24 hours). This whole reward payment (i.e. the sum of the block subsidy and the transaction fee) can be publicly inspected on the Bitcoin blockchain, and the transaction fee is determined by subtracting the block subsidy, i.e. 6.25 Bitcoins until the 2024 Halving. As a control measure, on a monthly basis, the Company re-calculates the reward payment it should earn based on its theoretical Hashrate and compares it to the reward payments received from Foundry. The Issuer has not identified any material differences with Foundry Pool’s reward payments.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Emerging Market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deemed to be “emerging markets” generally and for Canadian securities law disclosure purposes. These operations are ran through the Company’s subsidiaries, which are locally incorporated or established for the purposes of compliance with local laws; in the case of Argentina, through Backbone Hosting Solutions S.A.U., and in the case of Paraguay, through Backbone Hosting Solutions Paraguay S.A. Operating in Argentina and Paraguay, or any other emerging markets which the Company may choose to operate in at a future date, exposes the Company to risks and uncertainties that do not exist or are significantly less likely to exist in other jurisdictions where the Company operates, such as the United States or Canada. In order to mitigate these risks, the Company has implemented and observes corporate governance practices for itself and all of its operating subsidiaries, which include internal controls over financial reporting and disclosure controls. These systems are coordinated by the Company’s senior management and the Board.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5970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27875" cy="5970270"/>
                    </a:xfrm>
                    <a:prstGeom prst="rect">
                      <a:avLst/>
                    </a:prstGeom>
                    <a:noFill/>
                  </pic:spPr>
                </pic:pic>
              </a:graphicData>
            </a:graphic>
          </wp:anchor>
        </w:drawing>
        <w:t>See “</w:t>
      </w:r>
      <w:r>
        <w:rPr>
          <w:rFonts w:ascii="Times New Roman" w:cs="Times New Roman" w:eastAsia="Times New Roman" w:hAnsi="Times New Roman"/>
          <w:sz w:val="18"/>
          <w:szCs w:val="18"/>
          <w:i w:val="1"/>
          <w:iCs w:val="1"/>
          <w:color w:val="auto"/>
        </w:rPr>
        <w:t>RISK FACTORS - Risks Related to Emerging Markets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98% of the first 55 MW warehouse in the Rio Cuarto Facility (as that term is defined in the 2022 AIF) was fully commissioned during the first nine months of 2023. The Company is currently assessing the timing and extent of the remaining buildout planned in Argentina, including the completion of additional warehouses. In 2022, due to importation restrictions and the Company’s limited operating history in Argentina, the Company used external importation brokers to bring in Mining and IT equipment into the country. In 2023, the Company became a self-importer in Argentina which resulted in a reduction of the costs of importation and facilitate the delivery of Mining and IT equipment into the country. As of the date hereof, the private power supplier in Argentina has received a permit to provide 100 MW of energy to the Company; however, the Company has the option to operate with the energy provided directly from Argentina’s energy grid. Should the Company elect to construct additional warehouses at the Rio Cuarto Facility, it is expected that the Company would request the power supplier to obtain a permit for the additional power requirements.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reached an agreement and sold the older generation Miners to a third party for approximately $0.2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eco-friendly hydro power: up to 50 MW in Villarrica, in close proximity to the Company’s existing operations in Paraguay, and up to 100 MW in Iguazu, a new location close to the Itaipu dam, the third largest hydro-electric dam in the world.</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August 2023, the Company placed orders using vendor credits for eight 2.4 MW hydro containers and approximately 1,900 Miners capable of producing approximately 675 PH/s once installed.</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Villarrica, construction commenced in the third quarter of 2023 beginning with an 80 MW sub-station followed by building out a second mining facility consisting of a 30 MW air-cooled warehouse and 20 MW of containers, expected to be completed during the first quarter of 2024. In August 2023, the Company placed orders using vendor credits for eight 2.4 MW hydro containers and approximately 1,900 Miners capable of producing approximately 675 PH/s once installed. The new facility will be referred to as the Paso Pe farm.</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Iguazu, the Company has the opportunity to develop a new farm with up to 100 MW of mining capacity, the timeline for which is being determined. Hydro power at both locations will be provided at a contracted cost of approximately $0.039 per kWh, before VAT, until December 31, 2027 and is not subject to annual inflationary adjustments.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Non-IFRS Measures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a number of non-IFRS financial measures and ratios in assessing operating performance. These non-IFRS measures do not have any standardized meaning and therefore are unlikely to be comparable to similar measures presented by other issuers and should not be considered in isolation or as a substitute for measures of performance prepared in accordance with IFRS. Management uses these non-IFRS measures to supplement the analysis and evaluation of operating performance. For a reconciliation of the Company’s non-IFRS financial measures, including direct cost per Bitcoin and cash cost of production per Bitcoin, see the Interim MD&amp;A. ’</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1118"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6023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27875" cy="8602345"/>
                    </a:xfrm>
                    <a:prstGeom prst="rect">
                      <a:avLst/>
                    </a:prstGeom>
                    <a:noFill/>
                  </pic:spPr>
                </pic:pic>
              </a:graphicData>
            </a:graphic>
          </wp:anchor>
        </w:drawing>
        <w:t>Regulatory Compliance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President and Chief Executive Officer. The following is a discussion of regulatory compliance considerations specific to each such jurisdiction.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Québec, Canada</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operates a total of eight server farms with an aggregate power capacity of 158 MW located in the Province of Québec, Canada. See the Interim MD&amp;A under the heading </w:t>
      </w:r>
      <w:r>
        <w:rPr>
          <w:rFonts w:ascii="Times New Roman" w:cs="Times New Roman" w:eastAsia="Times New Roman" w:hAnsi="Times New Roman"/>
          <w:sz w:val="18"/>
          <w:szCs w:val="18"/>
          <w:i w:val="1"/>
          <w:iCs w:val="1"/>
          <w:color w:val="auto"/>
        </w:rPr>
        <w:t>EXPANSION PROJECTS – Baie-Comeau (Canada) Expansion and</w:t>
      </w:r>
      <w:r>
        <w:rPr>
          <w:rFonts w:ascii="Times New Roman" w:cs="Times New Roman" w:eastAsia="Times New Roman" w:hAnsi="Times New Roman"/>
          <w:sz w:val="18"/>
          <w:szCs w:val="18"/>
          <w:color w:val="auto"/>
        </w:rPr>
        <w:t xml:space="preserve"> the 2022 AIF under the heading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BUSINESS – Recently Completed Development and Future Growth Plans – Sherbrooke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Québec or Canada on the business of operating a server farm or conducting the business of the Company as described herein and in the 2022 AIF, and as of the date hereof,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Washington, United Status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one 18 MW server farm located in the State of Washington in the United States. See the Interim MD&amp;A under the heading “</w:t>
      </w:r>
      <w:r>
        <w:rPr>
          <w:rFonts w:ascii="Times New Roman" w:cs="Times New Roman" w:eastAsia="Times New Roman" w:hAnsi="Times New Roman"/>
          <w:sz w:val="18"/>
          <w:szCs w:val="18"/>
          <w:i w:val="1"/>
          <w:iCs w:val="1"/>
          <w:color w:val="auto"/>
        </w:rPr>
        <w:t>EXPANSION PROJECTS – Washington Expansion</w:t>
      </w:r>
      <w:r>
        <w:rPr>
          <w:rFonts w:ascii="Times New Roman" w:cs="Times New Roman" w:eastAsia="Times New Roman" w:hAnsi="Times New Roman"/>
          <w:sz w:val="18"/>
          <w:szCs w:val="18"/>
          <w:color w:val="auto"/>
        </w:rPr>
        <w:t>” and the 2022 AIF under the heading “</w:t>
      </w:r>
      <w:r>
        <w:rPr>
          <w:rFonts w:ascii="Times New Roman" w:cs="Times New Roman" w:eastAsia="Times New Roman" w:hAnsi="Times New Roman"/>
          <w:sz w:val="18"/>
          <w:szCs w:val="18"/>
          <w:i w:val="1"/>
          <w:iCs w:val="1"/>
          <w:color w:val="auto"/>
        </w:rPr>
        <w:t>DESCRIPTION OF BUSINESS – Recently Completed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Future Growth Plans – The State of Washington in the United States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Washington on the business of operating a server farm or conducting the business of the Company as described herein and in the 2022 AIF, and as of the date hereof,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operates one 54 MW server farm located in Córdoba, Argentina (with an electrical infrastructure capacity of 55 MW). See the Interim MD&amp;A under the heading “</w:t>
      </w:r>
      <w:r>
        <w:rPr>
          <w:rFonts w:ascii="Times New Roman" w:cs="Times New Roman" w:eastAsia="Times New Roman" w:hAnsi="Times New Roman"/>
          <w:sz w:val="18"/>
          <w:szCs w:val="18"/>
          <w:i w:val="1"/>
          <w:iCs w:val="1"/>
          <w:color w:val="auto"/>
        </w:rPr>
        <w:t>EXPANSION PROJECTS – Argentina Expansion</w:t>
      </w:r>
      <w:r>
        <w:rPr>
          <w:rFonts w:ascii="Times New Roman" w:cs="Times New Roman" w:eastAsia="Times New Roman" w:hAnsi="Times New Roman"/>
          <w:sz w:val="18"/>
          <w:szCs w:val="18"/>
          <w:color w:val="auto"/>
        </w:rPr>
        <w:t>” and see the 2022 AIF under the heading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Recently Completed Development and Future Growth Plans – Argentina Expansion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Argentina on the business of operating a server farm or conducting the business of the Company as described herein and in the 2022 AIF, and as of the date hereof,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Paraguay</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operates one 10 MW server farm located in Villarrica, Paraguay. See the Interim MD&amp;A under the heading “</w:t>
      </w:r>
      <w:r>
        <w:rPr>
          <w:rFonts w:ascii="Times New Roman" w:cs="Times New Roman" w:eastAsia="Times New Roman" w:hAnsi="Times New Roman"/>
          <w:sz w:val="18"/>
          <w:szCs w:val="18"/>
          <w:i w:val="1"/>
          <w:iCs w:val="1"/>
          <w:color w:val="auto"/>
        </w:rPr>
        <w:t>EXPANSION PROJECTS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Paraguay Expansion</w:t>
      </w:r>
      <w:r>
        <w:rPr>
          <w:rFonts w:ascii="Times New Roman" w:cs="Times New Roman" w:eastAsia="Times New Roman" w:hAnsi="Times New Roman"/>
          <w:sz w:val="18"/>
          <w:szCs w:val="18"/>
          <w:color w:val="auto"/>
        </w:rPr>
        <w:t>” and see the 2022 AIF under the heading “</w:t>
      </w:r>
      <w:r>
        <w:rPr>
          <w:rFonts w:ascii="Times New Roman" w:cs="Times New Roman" w:eastAsia="Times New Roman" w:hAnsi="Times New Roman"/>
          <w:sz w:val="18"/>
          <w:szCs w:val="18"/>
          <w:i w:val="1"/>
          <w:iCs w:val="1"/>
          <w:color w:val="auto"/>
        </w:rPr>
        <w:t>DESCRIPTION OF BUSINESS – Recently Completed Development and Future Growth Plans – Paraguay Expansion</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material restrictions in Paraguay on the business of operating a server farm or conducting the business of the Company as described herein and in the 2022 AIF, and as of the date hereof,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Custody of Cryptocurrency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cryptocurrency assets, currently Bitcoin, are earned to multi-signature wallets that the Company controls or directs to external third-party ’custodians. On a regular basis, the Company transfers Bitcoin from its multi-signature wallets to external third-party custodians, Coinbase Custody Trust Company, LLC (“</w:t>
      </w:r>
      <w:r>
        <w:rPr>
          <w:rFonts w:ascii="Times New Roman" w:cs="Times New Roman" w:eastAsia="Times New Roman" w:hAnsi="Times New Roman"/>
          <w:sz w:val="18"/>
          <w:szCs w:val="18"/>
          <w:b w:val="1"/>
          <w:bCs w:val="1"/>
          <w:color w:val="auto"/>
        </w:rPr>
        <w:t>Coinbase Custody</w:t>
      </w:r>
      <w:r>
        <w:rPr>
          <w:rFonts w:ascii="Times New Roman" w:cs="Times New Roman" w:eastAsia="Times New Roman" w:hAnsi="Times New Roman"/>
          <w:sz w:val="18"/>
          <w:szCs w:val="18"/>
          <w:color w:val="auto"/>
        </w:rPr>
        <w:t>”) and Anchorage Digital Bank National Association (“</w:t>
      </w:r>
      <w:r>
        <w:rPr>
          <w:rFonts w:ascii="Times New Roman" w:cs="Times New Roman" w:eastAsia="Times New Roman" w:hAnsi="Times New Roman"/>
          <w:sz w:val="18"/>
          <w:szCs w:val="18"/>
          <w:b w:val="1"/>
          <w:bCs w:val="1"/>
          <w:color w:val="auto"/>
        </w:rPr>
        <w:t>Anchorage Digital</w:t>
      </w:r>
      <w:r>
        <w:rPr>
          <w:rFonts w:ascii="Times New Roman" w:cs="Times New Roman" w:eastAsia="Times New Roman" w:hAnsi="Times New Roman"/>
          <w:sz w:val="18"/>
          <w:szCs w:val="18"/>
          <w:color w:val="auto"/>
        </w:rPr>
        <w:t>”). As of the date hereof, the Company holds approximately 356 Bitcoins with Coinbase Custody and 400 Bitcoins with Anchorage Digital. Coinbase Custody provides custody and related services for clients’ digital assets as a fiduciary pursuant to the New York State Department of Financial Services under Section 100 of the New York Banking Law. Anchorage Digital is the only federally chartered crypto bank in the U.S., serves as a custodian for digital assets, and is licensed and regulated by the Office of the Comptroller of the Currency. Currently, Coinbase Custody and Anchorage Digital provide only custodial services to the Company and do not use a sub-custodian. Coinbase Custody and Anchorage Digital are not related parties to the Company.”</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9564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27875" cy="6956425"/>
                    </a:xfrm>
                    <a:prstGeom prst="rect">
                      <a:avLst/>
                    </a:prstGeom>
                    <a:noFill/>
                  </pic:spPr>
                </pic:pic>
              </a:graphicData>
            </a:graphic>
          </wp:anchor>
        </w:drawing>
        <w:t>The Company is not aware of anything with regards to its custodial arrangements that would adversely affect its ability to obtain an unqualified audit opinion with respect to its audited financial statements. The Company reviews the custodians’ SOC reports on a quarterly basis and shares them with its auditors. The Company’s Bitcoins are held within segregated wallets on the blockchain and can always be monitored. The Company exclusively uses recognized custodians that have efficient internal controls in place. As a contingency plan that would have minimal impact on the Company’s operations, the Company has its own multi-signature wallets and has onboarded with other well respected recognized custodians.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November 9, 2023, the Company has 774 Bitcoin, valued at $29.0 million on its balance sheet. As of the date of this Prospectus, 97% of the Company’s Bitcoin are held in custody with Coinbase Custody and Anchorage Digital or held as collateral within Coinbase Custody on behalf of NYDIG, the counterparty to the Company’s equipment financing, which is classified as long-term debt in the statements of financial position. In addition, 2% of the Company’s Bitcoin are held by third parties to collateralize the Company’s hedging contracts, which will be classified as derivative liabilities in the statements of financial position.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and Anchorage Digital maintains an insurance policy of $50 million for its cold and hot storage; however, the Company cannot ensure that the full limits of those policies would be available to the Company or, if available, would be sufficient to make the Company whole for any Bitcoin that are lost or stolen. The Company does not hold any of its Bitcoin in hot storage. The Company is unaware of: (i) any security breaches involving Coinbase Custody or Anchorage Digital which have resulted in the Company’s crypto assets being lost or stolen, and (ii) anything with regards to Coinbase Custody’s or Anchorage Digital’s operations that would adversely affect the Company’s ability to obtain an unqualified audit opinion on its audited financial statements. The Company’s crypto assets held in custody with Coinbase or Anchorage Digital may not be recoverable in the event of bankruptcy by Coinbase, Anchorage Digital, or their affiliates. In Coinbase’s quarterly report, on Form 10-Q, filed with the U.S. Securities Exchange Commission on November 2, 2023,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Regardless of efforts made by the Company to securely store and safeguard assets, there can be no assurance that cryptocurrency assets will not be defalcated through hacking or other forms of theft.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At-the-Market Offering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previously entered into an at-the-market offering agreement dated August 16, 2021 (the “</w:t>
      </w:r>
      <w:r>
        <w:rPr>
          <w:rFonts w:ascii="Times New Roman" w:cs="Times New Roman" w:eastAsia="Times New Roman" w:hAnsi="Times New Roman"/>
          <w:sz w:val="18"/>
          <w:szCs w:val="18"/>
          <w:b w:val="1"/>
          <w:bCs w:val="1"/>
          <w:color w:val="auto"/>
        </w:rPr>
        <w:t>ATM Agreement</w:t>
      </w:r>
      <w:r>
        <w:rPr>
          <w:rFonts w:ascii="Times New Roman" w:cs="Times New Roman" w:eastAsia="Times New Roman" w:hAnsi="Times New Roman"/>
          <w:sz w:val="18"/>
          <w:szCs w:val="18"/>
          <w:color w:val="auto"/>
        </w:rPr>
        <w:t>”) with H.C. Wainwright &amp; Co., LLC (“</w:t>
      </w:r>
      <w:r>
        <w:rPr>
          <w:rFonts w:ascii="Times New Roman" w:cs="Times New Roman" w:eastAsia="Times New Roman" w:hAnsi="Times New Roman"/>
          <w:sz w:val="18"/>
          <w:szCs w:val="18"/>
          <w:b w:val="1"/>
          <w:bCs w:val="1"/>
          <w:color w:val="auto"/>
        </w:rPr>
        <w:t>HCW</w:t>
      </w:r>
      <w:r>
        <w:rPr>
          <w:rFonts w:ascii="Times New Roman" w:cs="Times New Roman" w:eastAsia="Times New Roman" w:hAnsi="Times New Roman"/>
          <w:sz w:val="18"/>
          <w:szCs w:val="18"/>
          <w:color w:val="auto"/>
        </w:rPr>
        <w:t>”) as agent, pursuant to which the Company established an at-the-market equity program (the “</w:t>
      </w:r>
      <w:r>
        <w:rPr>
          <w:rFonts w:ascii="Times New Roman" w:cs="Times New Roman" w:eastAsia="Times New Roman" w:hAnsi="Times New Roman"/>
          <w:sz w:val="18"/>
          <w:szCs w:val="18"/>
          <w:b w:val="1"/>
          <w:bCs w:val="1"/>
          <w:color w:val="auto"/>
        </w:rPr>
        <w:t>ATM Program</w:t>
      </w:r>
      <w:r>
        <w:rPr>
          <w:rFonts w:ascii="Times New Roman" w:cs="Times New Roman" w:eastAsia="Times New Roman" w:hAnsi="Times New Roman"/>
          <w:sz w:val="18"/>
          <w:szCs w:val="18"/>
          <w:color w:val="auto"/>
        </w:rPr>
        <w:t>”). Pursuant to the ATM Program, the Company was able to, at its discretion and from time-to time during the term of the ATM Agreement, sell, through HCW, Common Shares in accordance with the ATM Agreement. Provided that the Company files a final short form base shelf prospectus to which this Prospectus relates and an accompanying prospectus supplement relating to the ATM Agreement, the sales of Common Shares in the future, if any, through HCW will be made through “at-the-market” issuances, including, without limitation, sales made directly on the Nasdaq Stock Market or another trading market for the shares in the United States at the market price prevailing at the time of each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Management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Digital Asset Management Program commenced in early January 2021 following the implementation of internal controls, counter-party risk assessments and custody arrangement reviews. The Company holds Bitcoin for its intrinsic value and as a source of liquidity. Rather than selling all Bitcoin earned at then-prevailing market rates, the Company decided to retain Bitcoin through its custodial arrangements.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Retaining Bitcoin allowed the Company flexibility in deciding when or whether to sell the assets based on prevailing market conditions. With the decrease in Bitcoin prices during late 2021 and 2022, coupled with the high price of mining hardware, the Company converted a portion of its cash position into Bitcoin with a purchase of 1,000 Bitcoin during the first week of 2022. In June 2022, attending to market conditions, the Board approved the sale of the Company’s daily Bitcoin earned to reduce indebtedness and increase financial flexibility.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53" w:name="page54"/>
    <w:bookmarkEnd w:id="53"/>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721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27875" cy="5721985"/>
                    </a:xfrm>
                    <a:prstGeom prst="rect">
                      <a:avLst/>
                    </a:prstGeom>
                    <a:noFill/>
                  </pic:spPr>
                </pic:pic>
              </a:graphicData>
            </a:graphic>
          </wp:anchor>
        </w:drawing>
        <w:t>The Company has implemented internal controls and custody arrangements to minimize the risk of loss or theft of the retained Bitcoin. Within the Company, there is a segregation of duties to ensure no individual has the ability to unilaterally perform a Bitcoin transaction. Every Bitcoin transfer requires the approval of two different authorized individuals. All Bitcoin transfers are monitored and monthly reconciliations are performed by individuals that are external from the transaction process. The Company retains Coinbase Trust Company LLC as its third-party custodian. Coinbase Trust Company LLC is a US-based fiduciary and qualified custodian under New York Banking Law and is licensed by the State of New York to custody digital assets.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Every Bitcoin earned is kept or sold based on the Company’s liquidity and operational needs. The Company has no specific target or intention with the Bitcoins it produces from Mining operations. Rather, the Company assesses on an on-going basis whether retention on one hand or sales on the other hand support its stated business objectives, considering factors both internal and external to the Company itself. Some Bitcoins are used as collateral as described in the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many controls within the Company itself and within Coinbase, its Bitcoin custodian. Within the Company, there is a segregation of duties to ensure no individual has the ability to perform a Bitcoin transaction alone. Every Bitcoin movement requires the approval of two different individuals. The Bitcoin movement is monitored and monthly reconciliations are performed by individuals who are external from the transaction process. Within Coinbase Custody and Anchorage Digital, every Bitcoin is held in a cold wallet. One initiator and two approvers (CEO, CFO, VP finance) are needed to complete a transaction and video calls are needed for a transfer to a third-party.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2022 AIF under the heading “</w:t>
      </w:r>
      <w:r>
        <w:rPr>
          <w:rFonts w:ascii="Times New Roman" w:cs="Times New Roman" w:eastAsia="Times New Roman" w:hAnsi="Times New Roman"/>
          <w:sz w:val="18"/>
          <w:szCs w:val="18"/>
          <w:i w:val="1"/>
          <w:iCs w:val="1"/>
          <w:color w:val="auto"/>
        </w:rPr>
        <w:t>DESCRIPTION OF BUSINESS - Business and Strategy - Digital Asset Management Program</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Baie-Comeau Expansion</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April 11, 2023, the Company announced that it had entered into an agreement to acquire 22 MW of hydro power capacity from the City of Baie-Comeau and to lease a site in Baie-Comeau, Quebec to build the infrastructure necessary to conduct mining operations (the “</w:t>
      </w:r>
      <w:r>
        <w:rPr>
          <w:rFonts w:ascii="Times New Roman" w:cs="Times New Roman" w:eastAsia="Times New Roman" w:hAnsi="Times New Roman"/>
          <w:sz w:val="18"/>
          <w:szCs w:val="18"/>
          <w:b w:val="1"/>
          <w:bCs w:val="1"/>
          <w:color w:val="auto"/>
        </w:rPr>
        <w:t>Baie-Comeau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Expansion</w:t>
      </w:r>
      <w:r>
        <w:rPr>
          <w:rFonts w:ascii="Times New Roman" w:cs="Times New Roman" w:eastAsia="Times New Roman" w:hAnsi="Times New Roman"/>
          <w:sz w:val="18"/>
          <w:szCs w:val="18"/>
          <w:color w:val="auto"/>
        </w:rPr>
        <w:t>”). In connection with the Baie-Comeau Expansion, on July 5, 2023, the Company issued an aggregate of 820,837 Common Shares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12790963 Canada Inc. See “RISK FACTORS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General Risk Factors </w:t>
      </w:r>
      <w:r>
        <w:rPr>
          <w:rFonts w:ascii="Times New Roman" w:cs="Times New Roman" w:eastAsia="Times New Roman" w:hAnsi="Times New Roman"/>
          <w:sz w:val="18"/>
          <w:szCs w:val="18"/>
          <w:i w:val="1"/>
          <w:iCs w:val="1"/>
          <w:color w:val="auto"/>
        </w:rPr>
        <w:t>– Economic Dependence on Regulated Terms of Service and Electricity Rates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May 24, 2023, the shareholders of the Company approved a consolidation (the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of the Common shares on the basis of one (1) post-Consolidation Common Share for up to ten (10) pre-Consolidation Common Shares, as may determined by the board of directors of the Company, in its sole discretion. As of the date hereof, the Company does not intend to proceed with the Consolidation.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resignation of Pierre Seccareccia, the Company appointed Edie Hofmeister to the audit committee and Brian Howlett has been appointed as the audit committee chairman. As of the date hereof, the audit committee is composed of Brian Howlett (chair), Edie Hofmeister, and Andres Finkielsztain. All members of the newly composed audit committee are independent and financially literate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5" w:right="4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PROMOTERS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the promoters (“</w:t>
            </w:r>
            <w:r>
              <w:rPr>
                <w:rFonts w:ascii="Times New Roman" w:cs="Times New Roman" w:eastAsia="Times New Roman" w:hAnsi="Times New Roman"/>
                <w:sz w:val="18"/>
                <w:szCs w:val="18"/>
                <w:b w:val="1"/>
                <w:bCs w:val="1"/>
                <w:color w:val="auto"/>
              </w:rPr>
              <w:t>Promoters</w:t>
            </w:r>
            <w:r>
              <w:rPr>
                <w:rFonts w:ascii="Times New Roman" w:cs="Times New Roman" w:eastAsia="Times New Roman" w:hAnsi="Times New Roman"/>
                <w:sz w:val="18"/>
                <w:szCs w:val="18"/>
                <w:color w:val="auto"/>
              </w:rPr>
              <w:t>”) of the Company: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Quantity of</w:t>
            </w:r>
          </w:p>
        </w:tc>
        <w:tc>
          <w:tcPr>
            <w:tcW w:w="126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4"/>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38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Class of Securities Owned</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170"/>
              <w:spacing w:after="0" w:line="270" w:lineRule="exact"/>
              <w:rPr>
                <w:sz w:val="20"/>
                <w:szCs w:val="20"/>
                <w:color w:val="auto"/>
              </w:rPr>
            </w:pP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29"/>
                <w:szCs w:val="29"/>
                <w:b w:val="1"/>
                <w:bCs w:val="1"/>
                <w:color w:val="auto"/>
                <w:vertAlign w:val="superscript"/>
              </w:rPr>
              <w:t>(3)</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Emiliano Joel Grodzki</w:t>
            </w:r>
            <w:r>
              <w:rPr>
                <w:rFonts w:ascii="Times New Roman" w:cs="Times New Roman" w:eastAsia="Times New Roman" w:hAnsi="Times New Roman"/>
                <w:sz w:val="29"/>
                <w:szCs w:val="29"/>
                <w:color w:val="auto"/>
                <w:vertAlign w:val="superscript"/>
              </w:rPr>
              <w:t>(1)</w:t>
            </w:r>
          </w:p>
        </w:tc>
        <w:tc>
          <w:tcPr>
            <w:tcW w:w="41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Shares</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6,698,443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4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Nicolas Bonta</w:t>
            </w:r>
            <w:r>
              <w:rPr>
                <w:rFonts w:ascii="Times New Roman" w:cs="Times New Roman" w:eastAsia="Times New Roman" w:hAnsi="Times New Roman"/>
                <w:sz w:val="28"/>
                <w:szCs w:val="28"/>
                <w:color w:val="auto"/>
                <w:vertAlign w:val="superscript"/>
              </w:rPr>
              <w:t>(2)</w:t>
            </w:r>
          </w:p>
        </w:tc>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Common Shares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8,542,118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15,240,561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9305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27875" cy="93052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340" w:hanging="331"/>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Bitfarms Canada Shares noted in the table above, Mr. Grodzki holds 2,214,900 options to purchase Bitfarms Canada Shares at an average price of C$2.05 per Bitfarms Canada Share and 100,000RSUs (as defined below).</w:t>
      </w:r>
    </w:p>
    <w:p>
      <w:pPr>
        <w:ind w:left="340" w:hanging="331"/>
        <w:spacing w:after="0" w:line="250"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Bitfarms Canada Shares noted in the table above, Mr. Bonta holds 2,214,900 options to purchase Bitfarms Canada Shares at an average price of C$2.05 per Bitfarms Canada Share and 100,000 RSUs.</w:t>
      </w:r>
    </w:p>
    <w:p>
      <w:pPr>
        <w:ind w:left="340" w:hanging="331"/>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277,684,000 Bitfarms Canada Shares are issued and outstanding as of the date hereof.</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was within 10 years before the date of this prospectus,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Promoter has: (a) been within the 10 years before the date of this prospectus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SECONDARY OFFERING BY SELLING SECURITYHOLDERS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may be sold under this prospectus by way of a secondary offering by or for the account of Selling Securityholders; however, no such sale of securities will compose any at-the-market distribution which may be offered pursuant to a prospectus supplement to this Prospectus. The prospectus supplement for or including any offering of Securities by Selling Securityholders will include the following information, to the extent required by applicable securities laws:</w:t>
      </w:r>
    </w:p>
    <w:p>
      <w:pPr>
        <w:spacing w:after="0" w:line="180" w:lineRule="exact"/>
        <w:rPr>
          <w:sz w:val="20"/>
          <w:szCs w:val="20"/>
          <w:color w:val="auto"/>
        </w:rPr>
      </w:pPr>
    </w:p>
    <w:p>
      <w:pPr>
        <w:ind w:left="980" w:hanging="323"/>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Securityholders;</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owned, controlled or directed by each Selling Securityholder;</w:t>
      </w:r>
    </w:p>
    <w:p>
      <w:pPr>
        <w:spacing w:after="0" w:line="225"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being distributed for the account of each Selling Securityholder;</w:t>
      </w:r>
    </w:p>
    <w:p>
      <w:pPr>
        <w:spacing w:after="0" w:line="22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amount of Securities to be owned, controlled or directed by the Selling Securityholders after the distribution and the percentage that number or amount represents of the total number of the Company’s outstanding Securities;</w:t>
      </w:r>
    </w:p>
    <w:p>
      <w:pPr>
        <w:spacing w:after="0" w:line="16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owned by the Selling Securityholders both of record and beneficially, of record only, or beneficially only;</w:t>
      </w:r>
    </w:p>
    <w:p>
      <w:pPr>
        <w:spacing w:after="0" w:line="225" w:lineRule="exact"/>
        <w:rPr>
          <w:rFonts w:ascii="Times New Roman" w:cs="Times New Roman" w:eastAsia="Times New Roman" w:hAnsi="Times New Roman"/>
          <w:sz w:val="18"/>
          <w:szCs w:val="18"/>
          <w:color w:val="auto"/>
        </w:rPr>
      </w:pPr>
    </w:p>
    <w:p>
      <w:pPr>
        <w:ind w:left="980" w:hanging="323"/>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Securityholder purchased any of the Securities in the 24 months preceding the date of the applicable prospectus supplement, the date or dates the Selling Securityholder acquired the Securities;</w:t>
      </w:r>
    </w:p>
    <w:p>
      <w:pPr>
        <w:spacing w:after="0" w:line="161" w:lineRule="exact"/>
        <w:rPr>
          <w:rFonts w:ascii="Times New Roman" w:cs="Times New Roman" w:eastAsia="Times New Roman" w:hAnsi="Times New Roman"/>
          <w:sz w:val="18"/>
          <w:szCs w:val="18"/>
          <w:color w:val="auto"/>
        </w:rPr>
      </w:pPr>
    </w:p>
    <w:p>
      <w:pPr>
        <w:ind w:left="980" w:right="20" w:hanging="323"/>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Selling Securityholder acquired any of the Securities in the 12 months preceding the date of the applicable prospectus supplement, the cost thereof to the Selling Securityholder in aggregate and on an average-cost-per-security basis;</w:t>
      </w:r>
    </w:p>
    <w:p>
      <w:pPr>
        <w:spacing w:after="0" w:line="161" w:lineRule="exact"/>
        <w:rPr>
          <w:rFonts w:ascii="Times New Roman" w:cs="Times New Roman" w:eastAsia="Times New Roman" w:hAnsi="Times New Roman"/>
          <w:sz w:val="18"/>
          <w:szCs w:val="18"/>
          <w:color w:val="auto"/>
        </w:rPr>
      </w:pPr>
    </w:p>
    <w:p>
      <w:pPr>
        <w:ind w:left="980" w:right="20" w:hanging="323"/>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disclosure required by item 1.11 of Form 41-101F1, and if applicable, the Selling Securityholders will file a non-issuer’s submission to jurisdiction form with the corresponding prospectus supplement; and</w:t>
      </w:r>
    </w:p>
    <w:p>
      <w:pPr>
        <w:spacing w:after="0" w:line="16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information that is required to be included in the applicable prospectus supplement.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00" w:top="981" w:right="419" w:bottom="501"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2022 AIF and the 2022 MD&amp;A and annual financial statements, and the related notes. A prospective investor should carefully consider the risk factors set out below along with the other matters set out or incorporated by reference in this prospectus.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 and expansion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experienced, and may continue to experience, rapid growth in the scope of its operations. This growth has resulted in increased responsibilities for the Company’s existing personnel, the hiring of additional personnel and, in general, higher levels of operating expenses. In order to manage its current operations and any future growth effectively, the Company will need to continue to implement and improve its operational, internal controls, financial, and management information systems, as well as hire, manage and retain its employees and maintain its corporate culture including technical and operational service standards. There can be no assurance that the Company will be able to manage such growth effectively or that its management, personnel or systems will be adequate to support the Company’s operations.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exposed to fluctuations in currency exchange rates which could negatively affect our financial condition and results of operations. In particular, exchange rate fluctuations may affect the costs that the Company incurs in its operations. Cryptocurrencies are generally sold in U.S. dollars and the Company’s costs are incurred principally in Canadian dollars. Certain of the Company’s subsidiaries also conduct day-to-day operations using Argentine pesos. The appreciation of non-U.S. dollar currencies against the U.S. dollar could increase the cost of Mining in U.S. dollar terms. In addition, the Company holds cash balances in both U.S. dollars and Canadian dollars, the values of which are impacted by fluctuations in currency exchange rates.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Where considered practical to do so, the Company intends to maintain insurance against risks in the operation of its business and in amounts that it believes to be reasonable. Such insurance, however, will contain exclusions and limitations on coverage. There can be no assurance that such insurance will continue to be available, will be available at economically acceptable premiums or will be adequate to cover any resulting liability. The novelty of the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Bitcoin, which is held in custody by Coinbase Custody and Anchorage Digital, is not insured. Although Coinbase Custody maintains an insurance policy of $320 million for its cold storage and Anchorage Digital maintains an insurance policy of $50 million for its cold and hot storage, the full limits of those policies may not be available to the Company or, if available, sufficient to make the Company whole for any Bitcoin that are lost or stolen from its account. Therefore, a loss may be suffered with respect to the Company’s Bitcoin that is not covered by insurance and for which no person is liable in damages.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losses incurred by the Company for which insurance coverage is not available or has not been obtained could adversely impact the Company, including its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Bitcoin Halving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Bitcoin reward for solving a block is subject to periodic incremental Halving. Halving is a process designed to control the overall supply and reduce the risk of inflation in Bitcoin using a proof of work consensus algorithm. At a predetermined block, the Mining reward is cut in half, hence the term “Halving.” The Bitcoin blockchain has undergone Halvings three times since its inception. Most recently, in May 2020, the Bitcoin block reward decreased from 12.5 to 6.25 Bitcoin per block (a “Bitcoin Halving”), and, consequently, the number of new Bitcoin issued to Miners as a subsidy decreased to approximately 900 per day, excluding transaction fees.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May 2020 Bitcoin Halving had a significant negative impact on the Company’s profitability for several months following the Bitcoin Halving. It took approximately six months for the Company’s revenue per terahash to return to the level experienced prior to the May 2020 Bitcoin Halving.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next Bitcoin Halving to incentivizing profitability levels is unknown.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Bitcoin Halving is scheduled to occur once every 210,000 blocks, or roughly every four years, until the total amount of Bitcoin rewards issued reaches 21 million, which is expected to occur around the year 2140. The next Bitcoin Halving is expected to occur in late April or early May 2024, at which time Bitcoin block rewards will decrease from 6.25 Bitcoin per block to 3.125 Bitcoin per block. Once 21 million Bitcoin are generated, the network will stop producing more. While Bitcoin prices have had a history of price fluctuations around Bitcoin Halving events, there is no guarantee that the price change will be favorable or would compensate for the reduction in Mining reward and the compensation from Mining Pools.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Bitcoin price and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could be unable to continue as a going concern.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Valuation and Price Volatility of Cryptocurrencies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profitability of the Company’s operations has been and will continue to be significantly affected by changes in the spot price of cryptocurrencies, specifically Bitcoin. Cryptocurrency prices (and Bitcoin prices in particular) are highly volatile, fluctuating due to numerous factors beyond the Company’s control, including speculation and incomplete information, rapidly changing investor sentiment, changes in technology, regulatory changes, fraudulent or malicious actors, coverage of cryptocurrency in the media, inflation, and political or economic events as well as market acceptance and demand for cryptocurrency. The market price of one Bitcoin in the Company’s principal market, ranged from approximately $15,600 to $48,100 during the year ended December 31, 2022 and ranged from approximately $28,700 to $68,800 during the year ended December 31, 2021. Because the Company hedges only a small portion of its investment in Bitcoin, the Company is directly exposed to Bitcoin’s price volatility and surrounding risks.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Currently, the Company does not use a formula or specific methodology to determine whether or when it will sell Bitcoin that it holds, or the number of Bitcoin it will sell. Rather, decisions to hold or sell bitcoins are currently determined by management by analyzing forecasts and monitoring the market in real time. Such decisions, however well-informed, may result in untimely sales and even losses, adversely affecting an investment in the Company. Further, some of the business decisions (for example, purchases of Miners and debt financing) the Company has made, and will in future make, were or will be tied to the prices of Bitcoin at the time of those decisions. For example, the Company made purchase commitments in respect of a significant number of new Miners while Bitcoin and Miner prices were much higher, and, although the Company has been able to cancel some of those purchase commitments, that may not always be possible.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value proposition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Specifically, the trading price of the Company’s common shares has already been correlated, and, in the future, is likely to continue to be highly correlated, to the trading prices of Bitcoin. Bitcoin Mining companies’ stock has shown volatility relative to Bitcoin, with many such stocks outperforming Bitcoin in 2020 and 2021 but underperforming relative to Bitcoin in 2022. For example, the closing price of the Company’s common shares on December 31, 2021 was $5.05 and the closing price of Bitcoin was approximately $46,200 and, as of December 30, 2022, the closing price of the Company’s common shares was $0.44 and the closing price of Bitcoin was approximately $16,500. The Company’s operating results and financial condition have been and may continue to be adversely affected by declines in cryptocurrency market prices. In addition, the Company made decisions concerning the execution of its business plan, including the development of its facilities and expansion into new markets, purchases of new Miners and incurrence of indebtedness, when Bitcoin prices were significantly higher than they currently are, resulting in plans and obligations that the Company reassesses and likely will continue to reassess, particularly in light of general declines in cryptocurrency market prices, to determine the practicality, profitability and timeline of such plans and commitments.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Volatility may have an impact on the value of the Company’s inventory of cryptocurrencies and could result in margin calls on the Company’s long-term debt collateral Bitcoin with NYDIG as described in Note 17 - Long-term Debt to the 2022 Annual Financial Statements.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Price Fluctuations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considered development stage companies (such as the Company), have experienced wide fluctuations in price which have not necessarily been related to the operating performance, underlying asset values or prospects of such companies. There can be no assurance that continued fluctuations in price will not occur.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Company’s common shares ranged from US$0.38 to US$5.39 on Nasdaq and CAD $0.52 to CAD $6.83 on the TSXV and Toronto Stock Exchange from January 1, 2022, to December 31, 2022. The market price of the Company’s common shares fluctuates significantly in response to a number of factors, most of which the Company cannot control. In particular, the trading price of the Company’s common shares is in many cases directly tied to the price of Bitcoin. Other factors that may impact the trading price of the Company’s common shares include:</w:t>
      </w:r>
    </w:p>
    <w:p>
      <w:pPr>
        <w:spacing w:after="0" w:line="187"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Company’s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since the Company’s common shares currently trade on the Nasdaq Global Market, the Company must comply with Nasdaq’s continued listing requirements to avoid its common shares being delisted. The standards include, among others, a minimum bid price requirement of $1.00 per share and any of: (i) a minimum stockholders’ equity of $10 million; (ii) a market value of listed securities of $50 million; or (iii) total assets or total revenue from continuing operations of $50 million in the most recently completed fiscal year or in two of the last three fiscal years. The Company’s results of operations and fluctuating share price directly impact its ability to satisfy these listing standards. Nasdaq notified the Company on December 13, 2022 that it did not satisfy the minimum bid price requirement under Nasdaq’s continued listing rules. If the Company is unable to re-establish and maintain compliance with Nasdaq’s listing standards, the Company’s common shares may be subject to delisting. A delisting from Nasdaq would result in the Company’s common shares being eligible for quotation on the over-the-counter (OTC) market, which is generally considered to be a less efficient market than listing on national exchanges such as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Capital Needs, Uncertainty of Additional Financing and Dilution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had cash of $30.9 million compared to $125.6 million as of December 31, 2021. The Company expects to continue to depend upon selling Bitcoin earned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of private financing, strategic relationships or other arrangements. 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or additional financing on terms satisfactory to management. Even if such funding is available, the Company cannot predict the size of future issues of common shares or securities convertible into common shares or the effect, if any, that future issues and sales of the common shares will have on the price of the shares.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capital expenditures, increase the Company’s vulnerability to general adverse economic and industry conditions, place the Company at a competitive disadvantage compared to its competitors that have less debt, limit the Company’s ability to borrow additional funds, otherwise subject the Company to the risks discussed under Indebtedness below and heighten the possible effects of the other risks discussed in these risk factors.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party to various arrangements with short-term and long-term lenders as described in more detail in the 2022 AIF,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any agreements governing the Company’s debt obligations may contain financial covenants and covenants that restrict the Company’s and its subsidiaries’ ability to:</w:t>
      </w:r>
    </w:p>
    <w:p>
      <w:pPr>
        <w:spacing w:after="0" w:line="16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the Company’s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equity distributions;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the Company’s equity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the Company’s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those and any other covenants, the Company could be limited in the manner in which it conducts its business, and it may be unable to engage in favorable business activities or finance future operations or capital needs. Any violation by the Company of any of these covenants or failure by the Company to meet payment obligations (as recently was the case in respect of the Company’s strategic decision to delay the making of principal and interest payments on its previously outstanding loan from BlockFi, a digital asset lender) could provide the lender with the ability to accelerate the maturity of the indebtedness and exercise a variety of remedies, including foreclosing on any collateral securing the debt.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Global Financial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financial conditions over the last few years have been characterized by volatility and the bankruptcy of several financial institutions or the rescue thereof by governmental authorities. These factors may affect the ability of the Company to obtain equity or debt financing in the future on terms favorable to it. Additionally, these factors, as well as other related factors, may cause decreases in asset values that are deemed to be other than temporary, which may result in impairment losses. If such levels of volatility and market turmoil continue, the operations of the Company may suffer adverse impact and the price of the Company’s common shares may be adversely affected.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the Company may enter into certain hedging transactions to mitigate its exposure to aspects of the economy or specific economic conditions that are particularly volatile, including the market price of Bitcoin and interest rates. If the Company engages in hedging transactions, the Company may expose itself to risks associated with such transactions. Hedging against a decline in the values of portfolio investments caused by interest rate risk or volatile Bitcoin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Possibility of Bitcoin Mining Algorithms Transitioning to Proof of Stake Validation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Proof of stake is an alternative method of validating cryptocurrency transactions. If Bitcoin shifts from a proof of work validation method to a proof of stake validation method, Mining would require less energy and may render any company that maintains advantages in the current climate (lower priced electricity, processing, real estate, or hosting) less competitive. Another prominent cryptocurrency, Ether, in September 2022, shifted from proof of work to a proof of stake validation method. The Company, as a result of its efforts to optimize and improve the efficiency of its Bitcoin Mining operations, may be exposed to the risk in the future of losing the benefit of the Company’s capital investments and the competitive advantage the Company hopes to gain from this as a result, and may be negatively impacted if a switch to proof of stake validation were to occur. Such events could have a material adverse effect on the Company’s ability to continue as a going concern or to pursue its strategy at all, which could have a material adverse effect on the Company’s business, prospects or operations and potentially the value of any Bitcoin that the Company earns or otherwise acquires or holds for its own account.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governing the Company’s long-term debt contain restrictive covenants that could limit its discretion with respect to certain business matters.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only a limited operating history upon which an evaluation of the Company and its prospects can be based. The Company is subject to many risks common to venture enterprises, including under-capitalization, potential cash shortages, limitations with respect to personnel, financial and other resources and the lack of revenues. There is no assurance that the Company will be successful in achieving a return on shareholders’ investment or meeting other metrics of success.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and Growth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depends on a number of key employees, including, in particular, the members of the Company’s management team, the departure, death, disability or other extended loss of services of any of whom, particularly with little or no notice, could cause delays on projects, frustrate the Company’s growth prospects and could have an adverse impact on the Company’s industry relationships, the Company’s project exploration and development programs, other aspects of its business and its financial condition, results of operations, cash flow and prospects. The Company does not expect to purchase key person insurance on such individuals, which insurance would provide the Company with insurance proceeds in the event of their death.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growth and development of the business of the Company will also depend on its ability to attract and retain highly qualified management and Mining personnel while maintaining its corporate culture and technical and service standards. The Company will face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Threats and Hacking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computer network operated by the Company or the Mining Pool(s) in which it participates, such as Foundry Pool, may be vulnerable to intrusions by hackers who could interfere with and introduce defects to the Mining operations. Private keys which enable holders to transfer funds may also be lost or stolen, resulting in irreversible losses of cryptocurrencies.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Limited History of De-centralized Financial System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Compared to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those and other factors, traditional banks and banking services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field difficult. To the extent that the Company experiences any such banking challenges, they could have a material adverse effect on the Company’s business, prospects or operations and potentially the value of any Bitcoin or other cryptocurrencies the Company earns or otherwise acquires or holds for its own account.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Risk Related to Technological Obsolescence and Difficulty in Obtaining Hardware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remain competitive, the Company will continue to monitor the state of the technology available and invest in hardware and equipment required for maintaining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Cryptocurrency Network Difficulty and Impact of Increased Global Computing Power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Network difficulty is a measure of how difficult it is to solve the cryptographic hash that is required to validate a block of transactions and earn a cryptocurrency reward from Mining. As Mining companies produce more hashrate and the Bitcoin network hashrate is increased, the Bitcoin network difficulty is adjusted upwards by requiring more hashrate to be deployed to solve a block. Thus, Mining companies are further incentivized to grow their hashrate to maintain their chance of earning new Bitcoin rewards. In theory, these dual processes should continually replicate themselves until the supply of available Bitcoin is exhausted. In response, Mining companies have attempted to achieve greater hashrate by deploying increasingly sophisticated and expensive Miners in ever greater quantities. If the price of Bitcoin is not sufficiently high to allow the Company to fund its desired hashrate growth, including through new Miner acquisitions, and if it is otherwise unable to access additional capital to acquire Miners, its hashrate may stagnate and fall behind its competitors, resulting in a likely decline in its revenues, which would have a material adverse effect on its results of operations and financial condition.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Economic Dependence on Regulated Terms of Service and Electricity Rates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The Company conducts Mining in the Province of Québec, Washington State, Argentina, and Paraguay. The Company’s current and future operations, anticipated growth, and sustainability of hydroelectricity and natural gas at economical prices for the purposes of cryptocurrency Mining in multiple locations poses certain risks. These risks as well as the supply of electrical power, electricity rates, terms of service and regulatory regime are summarized as follows: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the Company sources its energy from Hydro-Québec, Hydro-Sherbrooke, Hydro-Magog, Grant PUD CLYFSA and a private power producer in Rio Cuarto, Argentina. The Province of Québec mandates electrical service providers to supply their customers under an obligation-to-serve power delivery regime. Consequently, the Company believes Hydro-Québec, Hydro-Sherbrooke and Hydro-Magog are reliable. Grant PUD and CLYFSA do not operate under highly regulated regimes, like the Province of Quebec. The facility located in Baie-Comeau, Quebec receives its power from the City of Baie-Comeau, and is subject to the same risks as its other facilities located in the Province of Quebec. Any suspension of power or failure of electrical networks, however, could result in a material adverse effect on the Company.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Quebec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Régie by giving the Government of Quebec the power to determine by regulation, the cases in which Hydro-Quebec or any other electrical service provider may be exempt from their obligation to provide electricity to industrial clients in the Province of Québec.</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price of electricity supplied directly by Hydro-Québec is set by a provincial administrative tribunal, the Régie de L’Énergie (the “Régie”). Hydro-Québec supplies power to certain of the Company’s facilities, and to the Municipal Electrical Networks for the Magog and Sherbrooke facilities,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Modifications to the rates are set out pursuant to the Hydro-Quebec Act by operation of law on April 1st each year, by a rate corresponding to the annual change in the overall average Québec consumer price index, on a tariff class basis such that any adjustment would apply equally to all CB tariff users, M tariff users or LG tariff users regardless of end use. Hydro-Quebec shall apply to the Régie to request it to fix rates or modify the rates set out in the Hydro-Québec Act on April 1, 2025 and subsequently every five years.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90"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Step 1:</w:t>
        <w:tab/>
        <w:t>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left="980" w:hanging="647"/>
        <w:spacing w:after="0" w:line="252" w:lineRule="auto"/>
        <w:tabs>
          <w:tab w:leader="none" w:pos="960" w:val="left"/>
        </w:tabs>
        <w:rPr>
          <w:sz w:val="20"/>
          <w:szCs w:val="20"/>
          <w:color w:val="auto"/>
        </w:rPr>
      </w:pPr>
      <w:r>
        <w:rPr>
          <w:rFonts w:ascii="Times New Roman" w:cs="Times New Roman" w:eastAsia="Times New Roman" w:hAnsi="Times New Roman"/>
          <w:sz w:val="18"/>
          <w:szCs w:val="18"/>
          <w:color w:val="auto"/>
        </w:rPr>
        <w:t>Step 2:</w:t>
        <w:tab/>
        <w:t>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will be required to participate in the call for tenders process which is expected to launch shortly by Hydro-Québec. However, the Régie’s decision also means that the Company’s pre-existing operations at the Current Facilities and Sherbrooke Expansion will remain subject to the M or LG tariff in force, as the case may be, and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the Company’s pre-existing operations at the Current Facilities. A shut-down of 95% of operations for the maximum of 300 hours could result in a revenue decrease of up to approximately 3.3%.</w:t>
      </w:r>
    </w:p>
    <w:p>
      <w:pPr>
        <w:spacing w:after="0" w:line="193" w:lineRule="exact"/>
        <w:rPr>
          <w:sz w:val="20"/>
          <w:szCs w:val="20"/>
          <w:color w:val="auto"/>
        </w:rPr>
      </w:pPr>
    </w:p>
    <w:p>
      <w:pPr>
        <w:jc w:val="both"/>
        <w:ind w:left="980" w:hanging="647"/>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Step 3:</w:t>
        <w:tab/>
        <w:t>On January 28, 2021, the Régie rendered its decision on Step 3 of the request filed by Hydro-Québec. The Régie decided that the existing subscriptions on the Hydro-Québec network will be subject to non-firm service starting in Winter 2021-2022. The non-firm service will apply for a maximum of 300 hours a 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87" w:lineRule="exact"/>
        <w:rPr>
          <w:sz w:val="20"/>
          <w:szCs w:val="20"/>
          <w:color w:val="auto"/>
        </w:rPr>
      </w:pPr>
    </w:p>
    <w:p>
      <w:pPr>
        <w:ind w:left="1300" w:right="20" w:hanging="320"/>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clients, such as the Company, have already executed agreements with municipal electricity networks with non-firm service (without financial compensation) for at least 300 hours per year;</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Step 3 decision, the Company’s operations are on a non-firm service basis for a maximum of 300 hours per year. The Company has undertaken a challenge to the Step 3 decision through an administrative review process. Consequently, the main difference between the CB tariff and the M or LG tariff is the curtailment obligation applicable to the CB tariff.</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6, 2022, the Régie rendered a decision confirming the decision rendered in Step 3, resulting in the application of the non-firm service to the Company’s facilities in Quebec.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On May 30, 2022, the Company filed with the Regie an administrative complaint against Hydro-Quebec requesting information regarding the process for the allocation of the balance of the 300 MW block. The filing of this complaint was justified by the fact that Hydro-Quebec, at the time of filing and more than 6 months after the decision rendered by the Régie in Step 3, has still not put in place the allocation process approved by the Régie.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2022, Hydro-Quebec responded to the Company’s administrative complaint confirming that the allocation process of the 300 MW Block would be opened in September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 2022, Hydro-Québec submitted to the Régie, its Supply Plan for the period 2023 to 2032 and requested the Régie to authorize the suspension of the allocation process for the granting of the 300 MW reserved block and to reassess the amount of MWs to be allocated to crypto Miners for future operations. The Company is participating in the regulatory process on the approval, by the Régie, of the Supply Plan and intends to challenge Hydro-Québec’s request to suspend the allocation of the 300 MW block.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hereof, there are two ongoing files before the Régie regarding the allocation process of additional power to crypto-miners: (1) the supply plan hearing (number R-4210-2022)(the “</w:t>
      </w:r>
      <w:r>
        <w:rPr>
          <w:rFonts w:ascii="Times New Roman" w:cs="Times New Roman" w:eastAsia="Times New Roman" w:hAnsi="Times New Roman"/>
          <w:sz w:val="18"/>
          <w:szCs w:val="18"/>
          <w:b w:val="1"/>
          <w:bCs w:val="1"/>
          <w:color w:val="auto"/>
        </w:rPr>
        <w:t>Supply Plan Hearing</w:t>
      </w:r>
      <w:r>
        <w:rPr>
          <w:rFonts w:ascii="Times New Roman" w:cs="Times New Roman" w:eastAsia="Times New Roman" w:hAnsi="Times New Roman"/>
          <w:sz w:val="18"/>
          <w:szCs w:val="18"/>
          <w:color w:val="auto"/>
        </w:rPr>
        <w:t>”); and (2) the Company’s complaint against Hydro-Quebec (the “</w:t>
      </w:r>
      <w:r>
        <w:rPr>
          <w:rFonts w:ascii="Times New Roman" w:cs="Times New Roman" w:eastAsia="Times New Roman" w:hAnsi="Times New Roman"/>
          <w:sz w:val="18"/>
          <w:szCs w:val="18"/>
          <w:b w:val="1"/>
          <w:bCs w:val="1"/>
          <w:color w:val="auto"/>
        </w:rPr>
        <w:t>Complaint</w:t>
      </w:r>
      <w:r>
        <w:rPr>
          <w:rFonts w:ascii="Times New Roman" w:cs="Times New Roman" w:eastAsia="Times New Roman" w:hAnsi="Times New Roman"/>
          <w:sz w:val="18"/>
          <w:szCs w:val="18"/>
          <w:color w:val="auto"/>
        </w:rPr>
        <w:t>”) regarding the opening of the “guichet unique”.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Regarding the Supply Plan Hearing, the Régie has approved the suspension of the allocation process in decision D-2023-002 rendered on January 10, 2023, while it assesses the Supply Plan submitted by Hydro-Quebec. Bitfarms has not challenged this decision, but has strongly challenged Hydro-Quebec’s request to reduce to the amount of power allocated to zero. On September 9, 2023, the Régie approved the reduction to zero MW for the remaining quantity of the reserved block. On the same decision, the Régie decided to maintain the 32.6 MW of the reserved block that had already being allocated to CB tariff clients. The Régie considers that the potential reallocation of the quantities currently held by these customers in the event of their subscriptions being abandoned or cancelled could enable certain companies to continue their development or a few new CB tariff customers to be served. The Régie requested Hydro-Quebec to amend the </w:t>
      </w:r>
      <w:r>
        <w:rPr>
          <w:rFonts w:ascii="Times New Roman" w:cs="Times New Roman" w:eastAsia="Times New Roman" w:hAnsi="Times New Roman"/>
          <w:sz w:val="18"/>
          <w:szCs w:val="18"/>
          <w:i w:val="1"/>
          <w:iCs w:val="1"/>
          <w:color w:val="auto"/>
        </w:rPr>
        <w:t>Conditions of Service for Cryptographic Use Applied to Blockchains</w:t>
      </w:r>
      <w:r>
        <w:rPr>
          <w:rFonts w:ascii="Times New Roman" w:cs="Times New Roman" w:eastAsia="Times New Roman" w:hAnsi="Times New Roman"/>
          <w:sz w:val="18"/>
          <w:szCs w:val="18"/>
          <w:color w:val="auto"/>
        </w:rPr>
        <w:t xml:space="preserve"> and propose a new process for the eventual reallocation of the MW that could become available from the 32.6 MW reserved block. Hydro-Quebec requested, and the Régie accepted that such new process be presented on, or before, January 31,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Regarding the Complaint, Hydro-Quebec has asked the Régie to reject it at a preliminary stage considering the decision rendered by the Régie in R-4210-2022 to suspend the allocation process. On August 3, 2023, the Régie rejected Hydro-Quebec’s request to dismiss Bitfarms’ Complaint and has asked the parties to set the dates for the hearing in which arguments from both parties will be heard. The hearing is expected to be held on November 9, 10 and 14, 2023.</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facility located in: (i) Cowansville is subject to a preferential rate of 5% on its first 5 MW of power; (ii) Farnham is subject to a preferential rate of 20% on its first 10 MW of power; and (iii) Baie-Comeau is not subject to a preferential rate.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Washington State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cryptocurrency Mining facility in Washington State. The facility is powered by the Grant County Power Utility District (“</w:t>
      </w:r>
      <w:r>
        <w:rPr>
          <w:rFonts w:ascii="Times New Roman" w:cs="Times New Roman" w:eastAsia="Times New Roman" w:hAnsi="Times New Roman"/>
          <w:sz w:val="18"/>
          <w:szCs w:val="18"/>
          <w:b w:val="1"/>
          <w:bCs w:val="1"/>
          <w:color w:val="auto"/>
        </w:rPr>
        <w:t>Grant PUD</w:t>
      </w:r>
      <w:r>
        <w:rPr>
          <w:rFonts w:ascii="Times New Roman" w:cs="Times New Roman" w:eastAsia="Times New Roman" w:hAnsi="Times New Roman"/>
          <w:sz w:val="18"/>
          <w:szCs w:val="18"/>
          <w:color w:val="auto"/>
        </w:rPr>
        <w:t>”).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During Fiscal 2022 the rate schedules that could have applied to the Company were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US$ 2.100¢ per kWh for the Company’s power first 50,000 kWh of consumption from all of the meters in aggregate and US$ 1.857¢ per additional kWh of consumption. Historically, rates for Schedule 7 have increased by an annual average of 1.27% per year. Effective February 1, 2023, Grant PUD’s commissioners authorized the addition of cryptocurrency Mining into the Evolving Industry Rate Schedule 17. The current rate applicable to the Company is Schedule 17. The applicable rates for Schedule 17 are a demand charge for $28.18 per kW plus a variable component of US$ 0.389¢ per kWh of consumption.</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PUD may adjust the rate pricing with approval from its Board of Commissioners. An increase in the rates applicable to the Company’s electricity consumption may adversely impact its profitability.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Paraguay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2021, the Company completed construction of the 10 MW Villarrica Facility. The facility is powered by Compañía Luz y Fuerza S.A. (“</w:t>
      </w:r>
      <w:r>
        <w:rPr>
          <w:rFonts w:ascii="Times New Roman" w:cs="Times New Roman" w:eastAsia="Times New Roman" w:hAnsi="Times New Roman"/>
          <w:sz w:val="18"/>
          <w:szCs w:val="18"/>
          <w:b w:val="1"/>
          <w:bCs w:val="1"/>
          <w:color w:val="auto"/>
        </w:rPr>
        <w:t>CLYFSA</w:t>
      </w:r>
      <w:r>
        <w:rPr>
          <w:rFonts w:ascii="Times New Roman" w:cs="Times New Roman" w:eastAsia="Times New Roman" w:hAnsi="Times New Roman"/>
          <w:sz w:val="18"/>
          <w:szCs w:val="18"/>
          <w:color w:val="auto"/>
        </w:rPr>
        <w:t>”) an electricity distribution company located in the city of Villarrica, Paraguay. CLYFSA purchases energy from ANDE, the operator of Paraguay’s national electricity grid, and provides power to almost 15,000 residential and commercial customers in Villarrica.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2023, the Company acquired two power purchase agreements in Paraguay for up to 150 MW of hydro power until December 31, 2027: up to 50 MW in Villarrica, in close proximity to the Company’s existing operations in Paraguay, and up to 100 MW in Iguazu, a new location close to the Itaipu dam, the third largest hydro-electric dam in the world. Hydro power at both locations will be provided at a contracted cost of approximately $0.039 per kWh, before VAT, until December 31, 2027 and is not subject to annual inflationary adjustments.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Argentina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the Company entered into engineering, procurement and construction contracts and commenced construction of a facility in Argentina (Rio Cuarto</w:t>
      </w:r>
    </w:p>
    <w:p>
      <w:pPr>
        <w:spacing w:after="0" w:line="27" w:lineRule="exact"/>
        <w:rPr>
          <w:sz w:val="20"/>
          <w:szCs w:val="20"/>
          <w:color w:val="auto"/>
        </w:rPr>
      </w:pPr>
    </w:p>
    <w:p>
      <w:pPr>
        <w:jc w:val="both"/>
        <w:ind w:firstLine="8"/>
        <w:spacing w:after="0" w:line="255" w:lineRule="auto"/>
        <w:tabs>
          <w:tab w:leader="none" w:pos="1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Cordoba) for up to 210 MW. The facility will receive electricity from Generacion Mediterranea S.A. (“</w:t>
      </w:r>
      <w:r>
        <w:rPr>
          <w:rFonts w:ascii="Times New Roman" w:cs="Times New Roman" w:eastAsia="Times New Roman" w:hAnsi="Times New Roman"/>
          <w:sz w:val="18"/>
          <w:szCs w:val="18"/>
          <w:b w:val="1"/>
          <w:bCs w:val="1"/>
          <w:color w:val="auto"/>
        </w:rPr>
        <w:t>GMSA</w:t>
      </w:r>
      <w:r>
        <w:rPr>
          <w:rFonts w:ascii="Times New Roman" w:cs="Times New Roman" w:eastAsia="Times New Roman" w:hAnsi="Times New Roman"/>
          <w:sz w:val="18"/>
          <w:szCs w:val="18"/>
          <w:color w:val="auto"/>
        </w:rPr>
        <w:t>”) one of the subsidiaries of Grupo Albanesi. Grupo Albanesi is an Argentine private corporate group focused on the energy market which provides natural gas and electrical energy to its clients from its multiple facilities.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also allows for GMSA to renegotiate the $0.02 per kilowatt hour rate if the ratio of the exchange rate under the blue-chip swap mechanism (refer to section 8d - Net financial income and expenses of the 2022 MD&amp;A) used in Argentina to the official exchange rate is less than 1.50. The $0.02 per kilowatt hour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includes certain situations where the Company’s supply of electricity can be interrupted, including:</w:t>
      </w:r>
    </w:p>
    <w:p>
      <w:pPr>
        <w:spacing w:after="0" w:line="183" w:lineRule="exact"/>
        <w:rPr>
          <w:sz w:val="20"/>
          <w:szCs w:val="20"/>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preventing GMSA from providing the Company with electricity, or directing GMSA to reroute its electricity to the wholesale market;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and unscheduled maintenance required to service the power plant or related equipment;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intervention limiting GMSA’s supply of natural gas.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contract with GMSA also includes certain megawatt hour consumption thresholds and pro-rata adjustments. The Company’s operations in Argentina can be materially adversely impacted if the Company is unable to exploit the contractually secured MW capacity on a full-time basis or if the cost of energy negotiated under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calculation or calculated using the defined formula in effect for the second four years of the contract, both primarily driven by natural gas prices and foreign currency rates, are not economically viable.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Increases in Commodity Prices or Reductions in the Availability of Such Commodities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and intends to use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could be difficult to predict given the fluidity of the military conflict, the novelty of sanctions against Russia and the possibility of yet harsher ones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Profits/Losses and Production Revenues/Expenses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development and acquisitions of server farms and the ongoing operation of the existing Mining farms will require additional capital and monthly expenses. The Company’s operating expenses and capital expenditures may increase in future years as it adds personnel, consultants and equipment associated with the maintenance of the Mining farms and any other Mining farms the Company may acquire or develop. The Company may not be successful in obtaining the required financing for these or other purposes, including for general working capital.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Fraud and Failure of Cryptocurrency Exchanges, Custodians and Other Trading Venues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Cryptocurrency market prices depend, directly or indirectly, on the prices set on exchanges and other trading venues.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(namely, FTX, Celsius Network, BlockFi, Voyager Digital Ltd., Three Arrows Capital, and Genesis Global Holdco LLC), has impacted and may continue to impact the broader cryptocurrency ecosystem, including the Company. 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These events have also negatively impacted the liquidity of the digital assets markets, and, in turn, the market price of shares of companies in the cryptocurrency industry, including the Company, as certain entities affiliated with bankrupt cryptocurrency exchanges engaged in significant trading activity. If the liquidity of the digital assets markets continues to be negatively impacted by these events, digital asset prices (including the price of Bitcoin) may continue to experience significant volatility and confidence in the digital asset markets may be further undermined. These events are continuing to develop, and it is not possible to predict at this time all of the risks that they may pose to the Company, its service providers or the digital asset industry as a whole.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had no direct exposure to any of the above-mentioned cryptocurrency companies (other than BlockFi prior to the repayment by the Company of indebtedness under its equipment financing arrangement with BlockFi, as discussed in the 2022 AIF or the 2022 MD&amp;A) nor any material assets that may not be recovered or may otherwise be lost or misappropriated due to the bankruptcies, the failure or insolvency of large exchanges may cause the price of Bitcoin to fall and decrease confidence in the ecosystem, which could adversely affect an investment in the Company. Such market volatility and decrease in Bitcoin price have had a material and adverse effect on the Company’s results of operations and financial condition, and the Company expects its results of operations to continue to be affected by the Bitcoin price as the results of its operations are significantly tied to the price of Bitcoin.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Those and similar events have had, and, in the future, may have, an adverse impact on the profitability of the Company’s Bitcoin Mining operations and the Company’s financial condition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Coinbase (or any other future custodian of the Company’s Bitcoin) or exchanges can result in a direct loss of the Company’s cryptocurrency and fiat currency assets, which loss may not be recoverable by the Company, whether under any insurance policies it has in place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Insolvency, Bankruptcy, or Cessation of Operations of Mining Pool Operator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 the past five years, Bitfarms has both mined independently and has been a member of multiple third-party Mining Pools; however, as of the date hereof, it participates in only one Mining Pool, being Foundry Pool. Foundry Pool is owned indirectly by Digital Currency Group, which also owns Genesis Global Capital (“</w:t>
      </w:r>
      <w:r>
        <w:rPr>
          <w:rFonts w:ascii="Times New Roman" w:cs="Times New Roman" w:eastAsia="Times New Roman" w:hAnsi="Times New Roman"/>
          <w:sz w:val="18"/>
          <w:szCs w:val="18"/>
          <w:b w:val="1"/>
          <w:bCs w:val="1"/>
          <w:color w:val="auto"/>
        </w:rPr>
        <w:t>Genesis</w:t>
      </w:r>
      <w:r>
        <w:rPr>
          <w:rFonts w:ascii="Times New Roman" w:cs="Times New Roman" w:eastAsia="Times New Roman" w:hAnsi="Times New Roman"/>
          <w:sz w:val="18"/>
          <w:szCs w:val="18"/>
          <w:color w:val="auto"/>
        </w:rPr>
        <w:t>”). On January 19, 2023, Genesis filed for U.S. bankruptcy protection. The Issuer believes that its risk exposure to relying on a single Mining Pool is minimal at this time. In the event that Foundry Pool (or some other such Mining Pool or Mining Pools, as applicable) ceases making payment to Bitfarms for whatever reason, including bankruptcy, insolvency, or cessation of its operations, it is expected that Bitfarms would immediately cease contributing its Hash power to such Mining Pool and either: (i) commence mining independently; or (ii) join a different Mining Pool. The Company estimates that such a switch would take approximately one day in either scenario. Given that Foundry Pool pays the Company on a daily basis, the cost of switching is expected to be the lost revenues the Company would have earned had it been Mining during that approximately one day period (and one additional day in the case Foundry Pool failed to pay the Company for its work, causing the decision to leave the Mining Pool).</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the Company is unable to effect a switch of its operations in a timely manner and experience significant down time from mining operations, it may experience a material adverse change.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Independent Mining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 the Company decides to cease participating in a Mining Pool and conduct Mining operations independently, it may be exposed to certain risks; however, it may achieve marginally greater revenues by doing so. See “</w:t>
      </w:r>
      <w:r>
        <w:rPr>
          <w:rFonts w:ascii="Times New Roman" w:cs="Times New Roman" w:eastAsia="Times New Roman" w:hAnsi="Times New Roman"/>
          <w:sz w:val="18"/>
          <w:szCs w:val="18"/>
          <w:i w:val="1"/>
          <w:iCs w:val="1"/>
          <w:color w:val="auto"/>
        </w:rPr>
        <w:t>THE COMPANY – Summary Description of the Business – Mining Pool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 The primary risk of conducting independent Mining is that the Company could experience a protracted period of failing to solve any blocks,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a disruption in its revenue stream. In such a circumstance, the Company may need to borrow capital to continue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June 2022, the Company entered into a master equipment finance agreement (the “</w:t>
      </w:r>
      <w:r>
        <w:rPr>
          <w:rFonts w:ascii="Times New Roman" w:cs="Times New Roman" w:eastAsia="Times New Roman" w:hAnsi="Times New Roman"/>
          <w:sz w:val="18"/>
          <w:szCs w:val="18"/>
          <w:b w:val="1"/>
          <w:bCs w:val="1"/>
          <w:color w:val="auto"/>
        </w:rPr>
        <w:t>NYDIG Loan</w:t>
      </w:r>
      <w:r>
        <w:rPr>
          <w:rFonts w:ascii="Times New Roman" w:cs="Times New Roman" w:eastAsia="Times New Roman" w:hAnsi="Times New Roman"/>
          <w:sz w:val="18"/>
          <w:szCs w:val="18"/>
          <w:color w:val="auto"/>
        </w:rPr>
        <w:t>”) between the Company and NYDIG ABL LLC (“</w:t>
      </w:r>
      <w:r>
        <w:rPr>
          <w:rFonts w:ascii="Times New Roman" w:cs="Times New Roman" w:eastAsia="Times New Roman" w:hAnsi="Times New Roman"/>
          <w:sz w:val="18"/>
          <w:szCs w:val="18"/>
          <w:b w:val="1"/>
          <w:bCs w:val="1"/>
          <w:color w:val="auto"/>
        </w:rPr>
        <w:t>NYDIG</w:t>
      </w:r>
      <w:r>
        <w:rPr>
          <w:rFonts w:ascii="Times New Roman" w:cs="Times New Roman" w:eastAsia="Times New Roman" w:hAnsi="Times New Roman"/>
          <w:sz w:val="18"/>
          <w:szCs w:val="18"/>
          <w:color w:val="auto"/>
        </w:rPr>
        <w:t>”), pursuant to which NYDIG agreed to provide funding to the Company of $36.9 million at an interest rate of 12% per annum, collateralized by 10,395 MicroBT WhatsMiner M30S Miners. As part of the NYDIG Loan, the Company must maintain in an identified wallet an approximate quantity of Bitcoin whose value equates to one month of interest and principal payments on the outstanding loan. In the event that the Issuer ceases participation in a Mining Pool and conducts Mining operations independently, the Issuer may need to secure additional financing to ensure that such wallet maintains the requisite value of Bitcoin. This could occur, for instance, if the price of Bitcoin were to decrease and the Company was unsuccessful in solving blocks.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either case, there can be no guarantee that the Company could obtain any such financing on commercially attractive terms, or at all, and consequently the Company could experience a material adverse change.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Mining Pool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and conditions of Foundry Pool to which the Company is subject, the Company has agreed to release, indemnify and hold Foundry Pool harmless from any and all losses, damages, expenses, including reasonable attorneys’ fees, rights, claims, actions of any kind and injury (including death) arising out of or relating to the Company’s participation in Foundry Pool. In the event of such losses, the Company may experience a material adverse change.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Reliance on Foreign Mining Pool Operator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participates in a single Mining Pool, being Foundry Pool. Consequently, the Company’s operations are substantially reliant on Foundry Pool and the terms of services and other terms and conditions that govern its relationship with Foundry Pool. Foundry has the right the right to unilaterally modify the service agreement between it and the Company at any time without notice. This includes the right to modify the payout methodology or Mining Pool fees. In the event that any such modifications are unattractive to the Company, it may: (i) commence mining independently; or (ii) join a different Mining Pool, either of which may cause a material adverse change. See “</w:t>
      </w:r>
      <w:r>
        <w:rPr>
          <w:rFonts w:ascii="Times New Roman" w:cs="Times New Roman" w:eastAsia="Times New Roman" w:hAnsi="Times New Roman"/>
          <w:sz w:val="18"/>
          <w:szCs w:val="18"/>
          <w:i w:val="1"/>
          <w:iCs w:val="1"/>
          <w:color w:val="auto"/>
        </w:rPr>
        <w:t>RISK FACTORS – General Risk Factors – Insolvency, Bankruptcy, or Cessation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of Mining Pool Operator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control measure, on a monthly basis, the Company calculates the revenues it should earn based on its theoretical Hashrate and compares it to the payments received from Foundry. As of the date hereof, the Company has not identified any material discrepancies between its calculations and payments actually received from Foundry. In the event that the Company identifies a material difference, the Company may have to engage in litigation or cease its relationship with Foundry Pool, which may have a material adverse effect on the Company.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Mining Pool Agreements Governed by Foreign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agreements between the Company and Foundry Pool are governed by the laws of the State of New York. Furthermore, the Company is subject to an arbitration provision such that any dispute arising out of or relating to the Company’s agreements with Foundry Pool, or the breach thereof, shall be finally resolved by arbitration administered by the American Arbitration Association under its Commercial Arbitration Rules, or such arbitration body as required by law, rule or regulation, and judgment upon the award rendered by the arbitrator may be entered in any court having jurisdiction. Any such arbitration will be conducted in the English language before a single arbitrator in the City of New York, New York. The Company may be required to expend significant costs in order to undertake and complete any such arbitration, and there can be no guarantee of any successful outcome of such arbitration. In such a case, the Company may experience a material adverse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Political and Regulatory Risk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the 2022 AIF under the heading “</w:t>
      </w:r>
      <w:r>
        <w:rPr>
          <w:rFonts w:ascii="Times New Roman" w:cs="Times New Roman" w:eastAsia="Times New Roman" w:hAnsi="Times New Roman"/>
          <w:sz w:val="18"/>
          <w:szCs w:val="18"/>
          <w:i w:val="1"/>
          <w:iCs w:val="1"/>
          <w:color w:val="auto"/>
        </w:rPr>
        <w:t>DESCRIPTION OF BUSINESS - Business and Strategy - Argentina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Expansion</w:t>
      </w:r>
      <w:r>
        <w:rPr>
          <w:rFonts w:ascii="Times New Roman" w:cs="Times New Roman" w:eastAsia="Times New Roman" w:hAnsi="Times New Roman"/>
          <w:sz w:val="18"/>
          <w:szCs w:val="18"/>
          <w:color w:val="auto"/>
        </w:rPr>
        <w:t>”, for a discussion of recent changes in the Argentine regulatory environment that have adversely affected, and are currently adversely affecting,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restrictions on the acquisition, ownership, holding, selling, use or trading in the Company’s common shares. Any such restriction could result in the Company liquidating its cryptocurrency inventory at unfavorable prices and may adversely affect the Company’s shareholders.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other restrictions that may apply in the future, if the SEC or another regulatory body considers Bitcoin to be a security under U.S. securities laws, the Company may be required to comply with significant SEC registration and/or other requirements. The Company cannot provide any assurances that digital assets that it earns or otherwise acquires or holds for its own account, including Bitcoin awarded from any mining pool(s) in which the Company participates, will never be classified as securities under U.S. law. If Bitcoin is considered a security under U.S. securities laws in the future, the Company may be obligated to comply with registration and other additional SEC requirements and, therefore, may be required to incur significant, non-recurring expenses, thereby materially and adversely impacting an investment in the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 is partially reliant on its participation in a cryptocurrency mining pool, being Foundry Pool. As crypto assets have grown in both popularity and market size, governments around the world have reacted differently to crypto assets with certain governments deeming them illegal, while others have allowed their use and trade (with or without additional regulatory requirements). The regulation of mining pools is an evolving area of law and future regulatory actions or requirements may alter, perhaps to a materially adverse extent, the ability of the Corporation to participate in a mining pool. In the event that regulatory changes or regulatory uncertainty cause the Company’s participation in Foundry Pool to become either financially unattractive or too risky, the Company may have to either switch mining pools or cease participation in mining pools altogether. In the event that the Company is unable to effect a switch of its operations in a timely manner and experience significant down time from mining operations, it may experience a material adverse change. See “</w:t>
      </w:r>
      <w:r>
        <w:rPr>
          <w:rFonts w:ascii="Times New Roman" w:cs="Times New Roman" w:eastAsia="Times New Roman" w:hAnsi="Times New Roman"/>
          <w:sz w:val="18"/>
          <w:szCs w:val="18"/>
          <w:i w:val="1"/>
          <w:iCs w:val="1"/>
          <w:color w:val="auto"/>
        </w:rPr>
        <w:t>RISK FACTORS – General Risk Factors - Insolvency, Bankruptcy, or Cessation of Operations of Mining Pool Operator</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Mining Risks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 Indemnification of Mining Pool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 Reliance on Foreign Mining Pool Operator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 Mining Pool Agreements Governed by Foreign Laws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Ongoing and future regulatory changes or actions may alter the nature of an investment in the Company or restrict the use of cryptocurrencies in a manner that adversely affects the Company’s operations. The effect of any future regulatory change on the Company or any cryptocurrency that the Company may earn is impossible to predict, and any such change could be substantial and adverse to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present attitude toward foreign investment and the cryptocurrency Mining industry in each of the jurisdictions in which it operates is favorable, but conditions may change, including changes that are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4, 2022, the Canadian Department of Finance released for public comment a set of draft legislative proposals to implement certain tax measures. These tax measures include restricting the ability of cryptocurrency Mining companies to claim back the consumption taxes they incur on purchases of goods and services made in Canada and imports into Canada. Having received Royal Assent on June 22, 2023, the legislation is considered enacted; however, the interpretation of whether the operations of the Company fall into the exemption provisions has not been determined. If the exemption is not available and the law applied,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Similarly, various branches, departments and agencies of the federal government in the U.S. have solicited comments and initiated procedures to consider further regulating cryptocurrency and Mining, including through proposed taxes on Mining operations and policy statements and guidance to companies in the cryptocurrency industry, as well as third parties that do business with those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Reliance on Manufacturing in Foreign Countries and the Importation of Equipment to the Jurisdictions in Which the Company Operates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relies in part on third party manufacturers in foreign jurisdictions for its Miners. As a result, the Company’s business is subject to risks associated with doing business in such foreign jurisdictions including, but not limited to: trade protection measures such as the imposition of or increase in tariffs, import and export licensing and control requirements; potentially negative consequences from changes in tax laws (both foreign and domestic); difficulties associated with transacting business with parties in a foreign jurisdiction including increased costs and uncertainties associated with enforcing contractual obligations; and unexpected or unfavorable changes in other regulations and applicable regulatory requirements.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illustrate, in 2018 and 2019, the U.S. enacted tariffs (or increased existing tariffs) on certain items imported from other countries. Since their enactment, the tariffs sparked an international trade war in which other countries enacted tariffs on imports of U.S. goods. Subsequently, the U.S. and various countries subject to those tariffs have engaged in trade negotiations and, in some instances, agreed to suspend or terminate certain tariffs. It is uncertain whether treaties or other trade policies like those will be enacted or modified by the U.S. or any other government or trade organization in the future. Future changes to trade or investment policies, treaties and tariffs, fluctuations in exchange rates, or the perception that these changes could occur could adversely affect third party manufacturers on which the Company relies, as well as the future of the Company’s relationships with those third party manufacturers, which could have an adverse impact on the Company’s financial condition and results of operations. In addition, actions by foreign markets to implement further trade policy changes, including limiting foreign investment or trade, increasing regulatory scrutiny or taking other actions which could apply to the jurisdictions in which the Company operates, could negatively impact the Company’s business.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Permits and Licenses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current and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applicable laws and regulations would not have an adverse effect on any Mining project or related activities that the Company might undertake.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Server Failures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the servers or central processing units could experience a severe malfunction and/or collapse. Although the Company works to reduce this risk by employing a team of experts with many years of experience in building and managing data centers as well as a hardware team that focuses, among other things, on Miner repair and daily evaluation of the technical condition of the server farms that the Company operates, including through software (developed by its management) that facilitates, among other things, control, management and reporting of malfunctions in real time, any server crashes or failures, even if quickly addressed, may interrupt the Company’s operations and cause significant economic harm to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transactions described herein may have tax consequences in Canada or another jurisdiction, depending on each particular existing or prospective shareholder’s specific circumstances. Such tax consequences may not be described herein, nor should this prospectus be construed to be legal or tax advice to any particular shareholder. Existing and prospective shareholders should consult their own tax advisors with respect to any such tax considerations.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with changes in, or the imposition of new, environmental regulations has the potential to reduce the profitability of the Company’s operations or cause delays in the development of its Mining projects.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subject to potential risks and liabilities associated with pollution of the environment through its use of electricity to earn cryptocurrencies.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to such matters may be significant and could have a material adverse effect on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Erroneous Transactions and Human Error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further development and acceptance of the cryptographic and algorithmic protocols governing the issuance of and transactions in cryptocurrencies is subject to a variety of factors that are difficult to evaluate.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the Company’s operations. The factors affecting the further development of the industry include but are not limited to:</w:t>
      </w:r>
    </w:p>
    <w:p>
      <w:pPr>
        <w:spacing w:after="0" w:line="183"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cryptocurrencies;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quasi-governmental regulation of cryptocurrencies and their use, or restrictions on or regulation of access to and operation of the network or similar cryptocurrency systems;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 of the network;</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popularity of other forms or methods of buying and selling goods and services, including new means of using fiat currencies;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consumer sentiment and perception of Bitcoin specifically and cryptocurrencies generally.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Facility Developments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Refer to the Company’s management’s discussion &amp; analysis for the three and nine months ended September 30, 2023 under the heading “</w:t>
      </w:r>
      <w:r>
        <w:rPr>
          <w:rFonts w:ascii="Times New Roman" w:cs="Times New Roman" w:eastAsia="Times New Roman" w:hAnsi="Times New Roman"/>
          <w:sz w:val="18"/>
          <w:szCs w:val="18"/>
          <w:i w:val="1"/>
          <w:iCs w:val="1"/>
          <w:color w:val="auto"/>
        </w:rPr>
        <w:t>Expansion Projects</w:t>
      </w:r>
      <w:r>
        <w:rPr>
          <w:rFonts w:ascii="Times New Roman" w:cs="Times New Roman" w:eastAsia="Times New Roman" w:hAnsi="Times New Roman"/>
          <w:sz w:val="18"/>
          <w:szCs w:val="18"/>
          <w:color w:val="auto"/>
        </w:rPr>
        <w:t>”, for a discussion of the status of the Company’s various development efforts in jurisdictions including, in particular, Argentina and Baie-Comeau.</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Regulation of cryptocurrency outside of Canada has led some Mining companies to consider Canada as a jurisdiction in which to operate, which may increase competition to the Company. Despite the Company’s strategic planning and expected advantages over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spacing w:after="0" w:line="255"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 Either the requirement from Mining companies for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price of the relevant cryptocurrency that could adversely impact the Company’s cryptocurrency inventory and investments.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award of coins for solving Blocks and transaction fees is not sufficiently high, Mining companies may not have an adequate incentive to continue Mining and may cease their Mining operations. Miners ceasing operations would reduce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Acceptance and/or Widespread Use of Cryptocurrency Is Uncertain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Hazards Associated with High-voltage Electricity Transmission and Industrial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Adoption of ESG Practices and the Impacts of Climate Change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Companies across many industries, including cryptocurrency Mining, are facing scrutiny related to their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Bitcoin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its operations. The cost of compliance with changes in government regulations has the potential to reduce the profitability of the Company’s operations or cause delays in the development of new Mining projects.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Corruption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operates in multiple jurisdictions, which generally prohibit bribery and other forms of corruption. 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Despite such policies and training, it is possible that the Company, or any employees or contractors, could be charged with bribery or corruption as a result of the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the directors, the officers or the employees of the Company, or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Fraud, bribery and corruption are more common in some jurisdictions than in others. The Company currently carries on its business in certain jurisdictions that have been allocated low scores on Transparency International’s “Corruption Perceptions Index”. Doing business in international developing markets brings with it inherent risks associated with enforcement of obligations, fraud, bribery and corruption. The Company uses its best efforts to prevent the occurrence of fraud, bribery and corruption, but it may not be possible to detect or prevent every instance of fraud, bribery and corruption in every jurisdiction in which its employees, agents, or contractors are located. The Company may therefore be subject to civil and criminal penalties and to reputational damage.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 and Similar Legislation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often carry substantial penalties. The Company operates in jurisdictions that have experienced governmental and private sector corruption to some degree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Political Instability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Any of these events could result in conditions that have a material adverse impact on the Company and its operations.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Third-party Supplier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certain products or programs in their entirety.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of Bitfarms Being Classified as a Passive Foreign Investment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U.S. federal income tax purposes. The Company does not believe it was a PFIC for 2022 and does not expect to be a PFIC for 2023;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Common Shares may suffer adverse tax consequences, including the treatment of gains realized on the sale of Common Shares as ordinary income, rather than as capital gain, the loss of the preferential income tax rate applicable to dividends received on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Pandemic and Infectious Disease Risk (including COVID-19)</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in Canada or worldwide could have an adverse impact on the Company’s business, including changes to the way the Company and its counterparties operate, and on the Company’s financial results and condition. In March 2020, the World Health Organization declared COVID-19 a pandemic. The global response to the pandemic is constantly evolving, including various measures implemented at the global, national, provincial and local levels.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many health and safety restrictions have been lifted, certain adverse consequences of the pandemic continue to impact the macroeconomic environment and may continue to persist. The growth in economic activity and demand for goods and services, alongside labor shortages and supply chain complications and/or disruptions, has also contributed to rising inflationary pressures. Further, COVID-19 has contributed to cryptocurrency price volatility and delays in the Company’s receipt of Mining hardware and electrical components. The final outcome and/or potential duration of the economic disruption that resulted from the onset and subsequent recovery from COVID-19 remains uncertain at this time, and the financial markets continue to be impacted. Despite the decreased severity of the pandemic in recent months and the decreased global travel restrictions, the Company cannot accurately predict the impact that COVID-19 will have on its future revenue and business undertakings, due to uncertainties relating to future outbreaks and potential new variants of COVID-19, and their duration. The Company has been operating, and is expected to continue to operate, throughout the pandemic.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18"/>
          <w:szCs w:val="18"/>
          <w:color w:val="auto"/>
        </w:rPr>
        <w:t>The duration and impact of the COVID-19 outbreak is unknown at this time, as is the efficacy of the government interventions. At the onset of the COVID-19 pandemic in March 2020, governments and regulatory bodies in affected areas imposed a number of measures designed to contain the COVID-19 pandemic, including widespread business closures, social distancing protocols, travel restrictions, quarantines, curfews and restrictions on gatherings and events. While substantially all containment measures in Canada have been lifted, additional safety precautions and operating protocols aimed at containing the spread of COVID-19 may be instituted in line with guidance of public health authorities. Additional waves of the COVID-19 pandemic, together with the emergence of new COVID-19 variant strains, may lead to the imposition of containment measures to varying degrees in many regions within Canada and globally. Although the impact of COVID-19 appears to be less severe and government interventions appears to be minimal compared to the beginning of the pandemic, it is not possible to reliably estimate the length and severity of these developments as well as the impact on the financial results and condition of the Company and its operating subsidiaries in future periods. The extent to which the Company’s business and financial condition will continue to be affected by the COVID-19 pandemic will depend on future developments including the spread of variants, efficacy of vaccines against new variants, the vaccination progress and the impact of related controls and restrictions imposed by government authorities.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Emerging Markets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Emerging Market Risks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royalties, imports, exports, duties, currency, or other claims by government entities, including retroactive claims and/or changes in the administration of laws, policies and practices;</w:t>
      </w:r>
    </w:p>
    <w:p>
      <w:pPr>
        <w:spacing w:after="0" w:line="3" w:lineRule="exact"/>
        <w:rPr>
          <w:sz w:val="20"/>
          <w:szCs w:val="20"/>
          <w:color w:val="auto"/>
        </w:rPr>
      </w:pPr>
    </w:p>
    <w:p>
      <w:pPr>
        <w:jc w:val="both"/>
        <w:ind w:firstLine="8"/>
        <w:spacing w:after="0" w:line="251" w:lineRule="auto"/>
        <w:tabs>
          <w:tab w:leader="none" w:pos="3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Economic Volatility and other Challenges in Argentina and / or Paraguay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Vulnerability of Argentina and Paraguay Economies to External Shocks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Weak, flat or negative economic growth or changes in international trade policy of the major trading partners of Argentina and Paraguay could adversely affect its balance of payments and, consequently, its economic growth.</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since 2008, Argentina has struggled to curb strong inflationary pressures and growth stagnated starting in 2012.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economic conditions in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with respect to foreign currencies; competitiveness and efficiency of domestic industries and services; (iv) levels of domestic consumption and foreign and domestic investment and financing; and (v) the rate of inflation. Any difficulties faced by the economies or financial condition of Argentina and Paraguay could have a material adverse effect on companies operating in Argentina and Paraguay, including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Impacts of Corruption and Anti-Corruption Laws in Operating Jurisdictions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these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Company’s operations are located in Argentina and Paraguay, which are jurisdictions perceived as having relatively high levels of corruption. The Company’s activities in these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violations of anti-bribery and anti-corruption laws or sanctions regulations by the Company or on its behalf could have a material adverse effect on its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Unpredictability of Tax Rates, Capital Controls and Foreign Exchange Restrictions in Argentina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followed by the government submitting a bill in order to maintain the 30% rate until the end of 2021, and extending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Offering of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Discretion Over 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failure by the Company to apply these funds effectively could have a material adverse effect on the business of the Company.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Absence of a Public Market for Certain of the 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Unsecured Debt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of Changes in Interest Rates on Debt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Prevailing interest rates will affect the market price or value of any debt securities. The market price or value of any debt securities may decline as prevailing interest rates for comparable debt instruments rise, and the market price may increase as prevailing interest rates for comparable debt instruments decline.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Effect of Fluctuations in Foreign Currency Markets on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Trading Price of Common Shares and Volatility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most of which the Company cannot control and many of which have not necessarily been related to the operating performance, underlying asset values or prospects of such companies. In particular, the trading price of the Common Shares is in many cases directly tied to the price of Bitcoin. Other factors that may impact the trading price of the Common Shares include:</w:t>
      </w:r>
    </w:p>
    <w:p>
      <w:pPr>
        <w:spacing w:after="0" w:line="187"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Company’s financial results or those of companies that are perceived to be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 or its competitors, such as acquisitions, bankruptcies or restructurings;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involving the Company, the cryptocurrency industry, or both;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of and changes affecting participants in the cryptocurrency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Company’s shareholders;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or reports by the press or investment community with respect to the Company or the cryptocurrency industry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or availability of hydro-electricity, natural gas and other sources of energy;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market and political conditions;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described in these risk factors.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could result in security analyst and news media coverage. These factors could contribute to lower prices and larger spreads in the bid and ask prices for the Common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otherwise indicate in a prospectus supplement relating to a particular offering, we currently intend to use the net proceeds from the sale of our securities for general corporate purposes including funding ongoing operations and/or working capital requirements, placing deposits and guarantees as required by energy providers, repaying indebtedness outstanding from time to time, completing acquisitions and mergers to increase mining capacity, expanding existing mining operations and for other corporate purposes as set forth in the prospectus supplement relating to the offering of the securities. The Company will not receive any proceeds from the sale of Securities by any Selling Securityholder.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More detailed information regarding the use of proceeds from the sale of securities, including any determinable milestones at the applicable time, will be described in a prospectus supplement and will include reasonable detail of the principal purposes of the proposed use of net proceeds in accordance with the requirements of Section 4.2 of Form 44-101F1 – </w:t>
      </w:r>
      <w:r>
        <w:rPr>
          <w:rFonts w:ascii="Times New Roman" w:cs="Times New Roman" w:eastAsia="Times New Roman" w:hAnsi="Times New Roman"/>
          <w:sz w:val="18"/>
          <w:szCs w:val="18"/>
          <w:i w:val="1"/>
          <w:iCs w:val="1"/>
          <w:color w:val="auto"/>
        </w:rPr>
        <w:t>Short Form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 44-101F1</w:t>
      </w:r>
      <w:r>
        <w:rPr>
          <w:rFonts w:ascii="Times New Roman" w:cs="Times New Roman" w:eastAsia="Times New Roman" w:hAnsi="Times New Roman"/>
          <w:sz w:val="18"/>
          <w:szCs w:val="18"/>
          <w:color w:val="auto"/>
        </w:rPr>
        <w:t>”), as well as the business objectives expected to be accomplished using the net proceeds of such offering and each significant event that must occur to accomplish such business objective, including the cost thereof, in accordance with Section 4.7 of Form 44-101F1.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2022 financial year, the Company had positive annual cash flow from operations. However, the Company expects cash flow from operations to be variable due to the volatile nature of the cryptocurrency markets and the price of Bitcoin. In the event the Company experiences negative operating cash flow, the Company, among other actions, may reduce expenses or sell assets, particularly Bitcoin, to generate sufficient cash to meet its obligations as they come due.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cash on hand of $46.8 million and 703 Bitcoin with an approximate value of $19.0 million for a total of $65.8 million of cash and cryptocurrency. The Company’s planned capital expenditures over the next 18 months are anticipated to be approximately $100 million to $375 million. The Company expects to use the proceeds raised in offerings under this prospectus to fund the acquisition and buildout of mining and data centre infrastructure and to procure new Miners to achieve its March 31, 2024, hashrate goal of at least 7.0 Exahash/second (“</w:t>
      </w:r>
      <w:r>
        <w:rPr>
          <w:rFonts w:ascii="Times New Roman" w:cs="Times New Roman" w:eastAsia="Times New Roman" w:hAnsi="Times New Roman"/>
          <w:sz w:val="18"/>
          <w:szCs w:val="18"/>
          <w:b w:val="1"/>
          <w:bCs w:val="1"/>
          <w:color w:val="auto"/>
        </w:rPr>
        <w:t>EH/s</w:t>
      </w:r>
      <w:r>
        <w:rPr>
          <w:rFonts w:ascii="Times New Roman" w:cs="Times New Roman" w:eastAsia="Times New Roman" w:hAnsi="Times New Roman"/>
          <w:sz w:val="18"/>
          <w:szCs w:val="18"/>
          <w:color w:val="auto"/>
        </w:rPr>
        <w:t>”) as well as future growth, performance, and efficiency objectives.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anticipates utilizing proceeds from any offering hereunder over the next 18 months to consummate acquisitions of greenfield and existing mining operations, and to fund the building and upgrading of acquired operations as well as the procurement of new Miners to achieve growth above the Company’s existing EH/s goal. Specific use of proceeds could include $15 million for the remaining buildout of, and the procurement of Miners for, the 22 MW Baie Comeau opportunity, up to $11 million for the infrastructure and $35 million for new Miners associated with a second facility in Argentina of up to 55 MW, if the Company elects to do so, and up to an additional $100 million for building the infrastructure and procuring new Miners, if the Company elects to do so, for two additional facilities with total mining capacity of an incremental 100 MW, resulting in capacity of up to 210 MW in total in Argentina. The proceeds may also include up to $195 million for the acquisition of, buildout of infrastructure, and procurement of Miners for multiple sites in Paraguay aggregating as much as 150 MW. The Company may also apply as much as $100 million of proceeds to acquire, upgrade, and expand existing Bitcoin mining facilities in, Canada, the United States, Paraguay and elsewhere in which it is in an exploratory phase, preliminary discussions or advanced negotiations. The Company anticipates outlaying up to $240 million over the next 12 months.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both"/>
        <w:spacing w:after="0" w:line="282" w:lineRule="auto"/>
        <w:rPr>
          <w:sz w:val="20"/>
          <w:szCs w:val="20"/>
          <w:color w:val="auto"/>
        </w:rPr>
      </w:pPr>
      <w:r>
        <w:rPr>
          <w:rFonts w:ascii="Times New Roman" w:cs="Times New Roman" w:eastAsia="Times New Roman" w:hAnsi="Times New Roman"/>
          <w:sz w:val="18"/>
          <w:szCs w:val="18"/>
          <w:color w:val="auto"/>
        </w:rPr>
        <w:t>To achieve the Company’s stated hashrate goal of 7.0 EH/s, the Company expects that it will be necessary to complete the installation of the 20 MW of hydro containers and procure Miners for those containers at the Paso Pe facility in Paraguay.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part of its operating and financing strategy, the Company plans to continue to retain some or all of the Bitcoin it earns throughout 2023 and 2024. See “</w:t>
      </w:r>
      <w:r>
        <w:rPr>
          <w:rFonts w:ascii="Times New Roman" w:cs="Times New Roman" w:eastAsia="Times New Roman" w:hAnsi="Times New Roman"/>
          <w:sz w:val="18"/>
          <w:szCs w:val="18"/>
          <w:i w:val="1"/>
          <w:iCs w:val="1"/>
          <w:color w:val="auto"/>
        </w:rPr>
        <w:t>CONSOLIDATED CAPITALIZATION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anticipates that its existing financial resources, excluding any proceeds raised under this prospectus, will be sufficient to maintain its current level of operations and complete the buildout of the Baie-Comeau operations up to 22 MW at an expected total cost of approximately $9 million. In order to achieve this business objective, the Company may liquidate or borrow against the Bitcoin that have been accumulated as well as Bitcoin generated from ongoing operations, which may or may not be possible on commercially attractive terms. The Company used purchase credits with a major Miner manufacturer totaling $19 million during the three months ended September 30, 2023 to purchase new Miners and related equipment, reducing the cash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 – Risks Related to the Offering of Securities – Discretion over use of proceeds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Objectives and Milestones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primary objective is to increase shareholder value by expanding and improving operations and maintaining its position as one of the largest publicly traded cryptocurrency mining and data center companies in the world. Specifically, the Company intends to expand its operations through the purchase of newer generations of cryptocurrency mining equipment, scaling up the capacity of its existing facilities and acquiring or establishing new facilities. The extent of the Company’s ability to expand its operations will depend, in part, on its ability to raise funds to finance the expansion.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are the milestones over the next eighteen months and their associated estimated costs set out by the Company as of the date hereof. These milestones may be modified or otherwise change dependent upon, among other things, prevailing market conditions and changing economics of bitcoin mining including the impact of developments in the regulatory environment and respective tax regimes. These estimated costs and timelines may change based on, among other things, the prevailing price of Bitcoin, network difficulty, supply of cryptocurrency mining equipment, supply of electrical and other supporting infrastructure equipment, construction materials, currency exchange rates, and the Company’s ability to fund the underlying initiatives:</w:t>
      </w:r>
    </w:p>
    <w:p>
      <w:pPr>
        <w:spacing w:after="0" w:line="183" w:lineRule="exact"/>
        <w:rPr>
          <w:sz w:val="20"/>
          <w:szCs w:val="20"/>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buildout of up to the full 22 MW capacity in Baie Comeau for $9 million and the procurement and implementation of approximately 6,500 Miners, new and repositioned from other Bitfarms’ facilities, for a total cost of $6 million, including the replacement cost of Miners repositioned from other facilities;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infrastructure to draw upon an additional 55 MW in Argentina over the next six to twelve months for $11 million, excluding the approximate $6 million already incurred, and procure and install approximately 14,000 new Miners at an estimated cost, including shipping and transportation costs and import duties, of up to $35 million;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various greenfield and expansion projects in Paraguay for as much as 220 MW over the next twelve to fifteen months for $195 million to $294 million, including $46 million to $68 million for infrastructure buildout, $136 million to $205 million for Miners and $13 million to $21 million for electricity guarantees;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pursue and secure expansion opportunities in Canada, the United States, Argentina and Paraguay. The Company estimates that for each additional EH of operating capacity, the cost of building infrastructure of the facility will be approximately $200,000 to $400,000 per MW and the cost of new Miners, including shipping and transportation costs and import duties will be approximately $15 million to $22 million. These estimates are based on Miners with a current cost of $15 to $22 per TH, including shipping and transportation costs and import duties.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business objectives, its plan for completing the objective, the current status of the objective, the expenditures made as of the date hereof, the anticipated future expenditures, and the timing of completing the objective.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Expen-ditures to</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Timing of</w:t>
            </w:r>
          </w:p>
        </w:tc>
      </w:tr>
      <w:tr>
        <w:trPr>
          <w:trHeight w:val="245"/>
        </w:trPr>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23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Current Status</w:t>
            </w: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Expenditures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Completion</w:t>
            </w:r>
          </w:p>
        </w:tc>
      </w:tr>
      <w:tr>
        <w:trPr>
          <w:trHeight w:val="198"/>
        </w:trPr>
        <w:tc>
          <w:tcPr>
            <w:tcW w:w="1140" w:type="dxa"/>
            <w:vAlign w:val="bottom"/>
            <w:tcBorders>
              <w:top w:val="single" w:sz="8" w:color="auto"/>
            </w:tcBorders>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Operationalize</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Acquisition and</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8"/>
              </w:rPr>
              <w:t>Operationalize 11 MW</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$15 million</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Second half of</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Baie-</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buildout of Baie-</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the second half of</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75"/>
        </w:trPr>
        <w:tc>
          <w:tcPr>
            <w:tcW w:w="1260" w:type="dxa"/>
            <w:vAlign w:val="bottom"/>
            <w:gridSpan w:val="3"/>
            <w:shd w:val="clear" w:color="auto" w:fill="CCEEFF"/>
          </w:tcPr>
          <w:p>
            <w:pPr>
              <w:ind w:left="40"/>
              <w:spacing w:after="0" w:line="274" w:lineRule="exact"/>
              <w:rPr>
                <w:sz w:val="20"/>
                <w:szCs w:val="20"/>
                <w:color w:val="auto"/>
              </w:rPr>
            </w:pPr>
            <w:r>
              <w:rPr>
                <w:rFonts w:ascii="Times New Roman" w:cs="Times New Roman" w:eastAsia="Times New Roman" w:hAnsi="Times New Roman"/>
                <w:sz w:val="18"/>
                <w:szCs w:val="18"/>
                <w:color w:val="auto"/>
              </w:rPr>
              <w:t>Comeau</w:t>
            </w:r>
            <w:r>
              <w:rPr>
                <w:rFonts w:ascii="Times New Roman" w:cs="Times New Roman" w:eastAsia="Times New Roman" w:hAnsi="Times New Roman"/>
                <w:sz w:val="29"/>
                <w:szCs w:val="29"/>
                <w:color w:val="auto"/>
                <w:vertAlign w:val="superscript"/>
              </w:rPr>
              <w:t>(1)</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Comeau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for 22 MW total</w:t>
            </w:r>
          </w:p>
        </w:tc>
        <w:tc>
          <w:tcPr>
            <w:tcW w:w="2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Develop</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On pause pending further</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$46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Second 55</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assessment in light of recent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MW facility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national political and</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tcPr>
          <w:p>
            <w:pPr>
              <w:spacing w:after="0"/>
              <w:rPr>
                <w:sz w:val="18"/>
                <w:szCs w:val="18"/>
                <w:color w:val="auto"/>
              </w:rPr>
            </w:pPr>
          </w:p>
        </w:tc>
      </w:tr>
      <w:tr>
        <w:trPr>
          <w:trHeight w:val="221"/>
        </w:trPr>
        <w:tc>
          <w:tcPr>
            <w:tcW w:w="126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6"/>
                <w:szCs w:val="16"/>
                <w:color w:val="auto"/>
              </w:rPr>
              <w:t>Argentina</w:t>
            </w:r>
            <w:r>
              <w:rPr>
                <w:rFonts w:ascii="Times New Roman" w:cs="Times New Roman" w:eastAsia="Times New Roman" w:hAnsi="Times New Roman"/>
                <w:sz w:val="25"/>
                <w:szCs w:val="25"/>
                <w:color w:val="auto"/>
                <w:vertAlign w:val="superscript"/>
              </w:rPr>
              <w:t>(2)</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utilize 55 MW facility</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economic developments and</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 of the Bitcoin Halving</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98"/>
        </w:trPr>
        <w:tc>
          <w:tcPr>
            <w:tcW w:w="126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Third and</w:t>
            </w:r>
          </w:p>
        </w:tc>
        <w:tc>
          <w:tcPr>
            <w:tcW w:w="182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$100 million</w:t>
            </w:r>
          </w:p>
        </w:tc>
        <w:tc>
          <w:tcPr>
            <w:tcW w:w="13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fourth 50 MW</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facilities in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shd w:val="clear" w:color="auto" w:fill="CCEEFF"/>
          </w:tcPr>
          <w:p>
            <w:pPr>
              <w:spacing w:after="0"/>
              <w:rPr>
                <w:sz w:val="18"/>
                <w:szCs w:val="18"/>
                <w:color w:val="auto"/>
              </w:rPr>
            </w:pPr>
          </w:p>
        </w:tc>
      </w:tr>
      <w:tr>
        <w:trPr>
          <w:trHeight w:val="221"/>
        </w:trPr>
        <w:tc>
          <w:tcPr>
            <w:tcW w:w="1260" w:type="dxa"/>
            <w:vAlign w:val="bottom"/>
            <w:gridSpan w:val="3"/>
            <w:shd w:val="clear" w:color="auto" w:fill="CCEEFF"/>
          </w:tcPr>
          <w:p>
            <w:pPr>
              <w:ind w:left="40"/>
              <w:spacing w:after="0" w:line="221" w:lineRule="exact"/>
              <w:rPr>
                <w:sz w:val="20"/>
                <w:szCs w:val="20"/>
                <w:color w:val="auto"/>
              </w:rPr>
            </w:pPr>
            <w:r>
              <w:rPr>
                <w:rFonts w:ascii="Times New Roman" w:cs="Times New Roman" w:eastAsia="Times New Roman" w:hAnsi="Times New Roman"/>
                <w:sz w:val="16"/>
                <w:szCs w:val="16"/>
                <w:color w:val="auto"/>
              </w:rPr>
              <w:t>Argentina</w:t>
            </w:r>
            <w:r>
              <w:rPr>
                <w:rFonts w:ascii="Times New Roman" w:cs="Times New Roman" w:eastAsia="Times New Roman" w:hAnsi="Times New Roman"/>
                <w:sz w:val="25"/>
                <w:szCs w:val="25"/>
                <w:color w:val="auto"/>
                <w:vertAlign w:val="superscript"/>
              </w:rPr>
              <w:t>(2)</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 both 50-55 MW</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shd w:val="clear" w:color="auto" w:fill="CCEEFF"/>
          </w:tcPr>
          <w:p>
            <w:pPr>
              <w:spacing w:after="0"/>
              <w:rPr>
                <w:sz w:val="19"/>
                <w:szCs w:val="19"/>
                <w:color w:val="auto"/>
              </w:rPr>
            </w:pPr>
          </w:p>
        </w:tc>
      </w:tr>
      <w:tr>
        <w:trPr>
          <w:trHeight w:val="229"/>
        </w:trPr>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Paso Pe</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Buildout of facility</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of the</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In progress</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$6 million</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$81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first</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facility in</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 for 50</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 of 2024</w:t>
            </w:r>
          </w:p>
        </w:tc>
      </w:tr>
      <w:tr>
        <w:trPr>
          <w:trHeight w:val="221"/>
        </w:trPr>
        <w:tc>
          <w:tcPr>
            <w:tcW w:w="1260" w:type="dxa"/>
            <w:vAlign w:val="bottom"/>
            <w:gridSpan w:val="3"/>
          </w:tcPr>
          <w:p>
            <w:pPr>
              <w:ind w:left="40"/>
              <w:spacing w:after="0" w:line="221" w:lineRule="exact"/>
              <w:rPr>
                <w:sz w:val="20"/>
                <w:szCs w:val="20"/>
                <w:color w:val="auto"/>
              </w:rPr>
            </w:pPr>
            <w:r>
              <w:rPr>
                <w:rFonts w:ascii="Times New Roman" w:cs="Times New Roman" w:eastAsia="Times New Roman" w:hAnsi="Times New Roman"/>
                <w:sz w:val="16"/>
                <w:szCs w:val="16"/>
                <w:color w:val="auto"/>
              </w:rPr>
              <w:t>Paraguay</w:t>
            </w:r>
            <w:r>
              <w:rPr>
                <w:rFonts w:ascii="Times New Roman" w:cs="Times New Roman" w:eastAsia="Times New Roman" w:hAnsi="Times New Roman"/>
                <w:sz w:val="25"/>
                <w:szCs w:val="25"/>
                <w:color w:val="auto"/>
                <w:vertAlign w:val="superscript"/>
              </w:rPr>
              <w:t>(2)</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MW to 70 MW</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miners and</w:t>
            </w:r>
          </w:p>
        </w:tc>
        <w:tc>
          <w:tcPr>
            <w:tcW w:w="1340" w:type="dxa"/>
            <w:vAlign w:val="bottom"/>
          </w:tcPr>
          <w:p>
            <w:pPr>
              <w:spacing w:after="0"/>
              <w:rPr>
                <w:sz w:val="19"/>
                <w:szCs w:val="19"/>
                <w:color w:val="auto"/>
              </w:rPr>
            </w:pPr>
          </w:p>
        </w:tc>
      </w:tr>
      <w:tr>
        <w:trPr>
          <w:trHeight w:val="211"/>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facility to utilize hydro</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electricity</w:t>
            </w:r>
          </w:p>
        </w:tc>
        <w:tc>
          <w:tcPr>
            <w:tcW w:w="1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containers and miners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1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ordered using vendor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8"/>
        </w:trPr>
        <w:tc>
          <w:tcPr>
            <w:tcW w:w="1260" w:type="dxa"/>
            <w:vAlign w:val="bottom"/>
            <w:gridSpan w:val="3"/>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Yguazu</w:t>
            </w:r>
          </w:p>
        </w:tc>
        <w:tc>
          <w:tcPr>
            <w:tcW w:w="1820" w:type="dxa"/>
            <w:vAlign w:val="bottom"/>
            <w:gridSpan w:val="2"/>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Buildout the</w:t>
            </w:r>
          </w:p>
        </w:tc>
        <w:tc>
          <w:tcPr>
            <w:tcW w:w="23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Not started</w:t>
            </w:r>
          </w:p>
        </w:tc>
        <w:tc>
          <w:tcPr>
            <w:tcW w:w="14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$0.5 million</w:t>
            </w:r>
          </w:p>
        </w:tc>
        <w:tc>
          <w:tcPr>
            <w:tcW w:w="12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$114 million</w:t>
            </w:r>
          </w:p>
        </w:tc>
        <w:tc>
          <w:tcPr>
            <w:tcW w:w="134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facility in</w:t>
            </w:r>
          </w:p>
        </w:tc>
        <w:tc>
          <w:tcPr>
            <w:tcW w:w="1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buildout of facility</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and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$213</w:t>
            </w:r>
          </w:p>
        </w:tc>
        <w:tc>
          <w:tcPr>
            <w:tcW w:w="1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21"/>
        </w:trPr>
        <w:tc>
          <w:tcPr>
            <w:tcW w:w="1260" w:type="dxa"/>
            <w:vAlign w:val="bottom"/>
            <w:gridSpan w:val="3"/>
            <w:shd w:val="clear" w:color="auto" w:fill="CCEEFF"/>
          </w:tcPr>
          <w:p>
            <w:pPr>
              <w:ind w:left="40"/>
              <w:spacing w:after="0" w:line="221" w:lineRule="exact"/>
              <w:rPr>
                <w:sz w:val="20"/>
                <w:szCs w:val="20"/>
                <w:color w:val="auto"/>
              </w:rPr>
            </w:pPr>
            <w:r>
              <w:rPr>
                <w:rFonts w:ascii="Times New Roman" w:cs="Times New Roman" w:eastAsia="Times New Roman" w:hAnsi="Times New Roman"/>
                <w:sz w:val="16"/>
                <w:szCs w:val="16"/>
                <w:color w:val="auto"/>
              </w:rPr>
              <w:t>Paraguay</w:t>
            </w:r>
            <w:r>
              <w:rPr>
                <w:rFonts w:ascii="Times New Roman" w:cs="Times New Roman" w:eastAsia="Times New Roman" w:hAnsi="Times New Roman"/>
                <w:sz w:val="25"/>
                <w:szCs w:val="25"/>
                <w:color w:val="auto"/>
                <w:vertAlign w:val="superscript"/>
              </w:rPr>
              <w:t>(2)</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 Miners to fully</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w:t>
            </w:r>
          </w:p>
        </w:tc>
        <w:tc>
          <w:tcPr>
            <w:tcW w:w="1340" w:type="dxa"/>
            <w:vAlign w:val="bottom"/>
            <w:shd w:val="clear" w:color="auto" w:fill="CCEEFF"/>
          </w:tcPr>
          <w:p>
            <w:pPr>
              <w:spacing w:after="0"/>
              <w:rPr>
                <w:sz w:val="19"/>
                <w:szCs w:val="19"/>
                <w:color w:val="auto"/>
              </w:rPr>
            </w:pPr>
          </w:p>
        </w:tc>
      </w:tr>
      <w:tr>
        <w:trPr>
          <w:trHeight w:val="211"/>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utilize 80 MW to 150</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MW facility</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and</w:t>
            </w:r>
          </w:p>
        </w:tc>
        <w:tc>
          <w:tcPr>
            <w:tcW w:w="1340" w:type="dxa"/>
            <w:vAlign w:val="bottom"/>
            <w:shd w:val="clear" w:color="auto" w:fill="CCEEFF"/>
          </w:tcPr>
          <w:p>
            <w:pPr>
              <w:spacing w:after="0"/>
              <w:rPr>
                <w:sz w:val="18"/>
                <w:szCs w:val="18"/>
                <w:color w:val="auto"/>
              </w:rPr>
            </w:pPr>
          </w:p>
        </w:tc>
      </w:tr>
      <w:tr>
        <w:trPr>
          <w:trHeight w:val="216"/>
        </w:trPr>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electricity</w:t>
            </w:r>
          </w:p>
        </w:tc>
        <w:tc>
          <w:tcPr>
            <w:tcW w:w="1340" w:type="dxa"/>
            <w:vAlign w:val="bottom"/>
            <w:shd w:val="clear" w:color="auto" w:fill="CCEEFF"/>
          </w:tcPr>
          <w:p>
            <w:pPr>
              <w:spacing w:after="0"/>
              <w:rPr>
                <w:sz w:val="18"/>
                <w:szCs w:val="18"/>
                <w:color w:val="auto"/>
              </w:rPr>
            </w:pPr>
          </w:p>
        </w:tc>
      </w:tr>
      <w:tr>
        <w:trPr>
          <w:trHeight w:val="234"/>
        </w:trPr>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w:t>
            </w:r>
          </w:p>
        </w:tc>
        <w:tc>
          <w:tcPr>
            <w:tcW w:w="1340" w:type="dxa"/>
            <w:vAlign w:val="bottom"/>
            <w:shd w:val="clear" w:color="auto" w:fill="CCEEFF"/>
          </w:tcPr>
          <w:p>
            <w:pPr>
              <w:spacing w:after="0"/>
              <w:rPr>
                <w:sz w:val="20"/>
                <w:szCs w:val="20"/>
                <w:color w:val="auto"/>
              </w:rPr>
            </w:pPr>
          </w:p>
        </w:tc>
      </w:tr>
      <w:tr>
        <w:trPr>
          <w:trHeight w:val="198"/>
        </w:trPr>
        <w:tc>
          <w:tcPr>
            <w:tcW w:w="126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color w:val="auto"/>
              </w:rPr>
              <w:t>Expansion in</w:t>
            </w:r>
          </w:p>
        </w:tc>
        <w:tc>
          <w:tcPr>
            <w:tcW w:w="18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Acquisition,</w:t>
            </w:r>
          </w:p>
        </w:tc>
        <w:tc>
          <w:tcPr>
            <w:tcW w:w="18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Evaluate opportunities</w:t>
            </w:r>
          </w:p>
        </w:tc>
        <w:tc>
          <w:tcPr>
            <w:tcW w:w="2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Exploratory and assessment</w:t>
            </w:r>
          </w:p>
        </w:tc>
        <w:tc>
          <w:tcPr>
            <w:tcW w:w="14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Nil</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$100 million</w:t>
            </w:r>
          </w:p>
        </w:tc>
        <w:tc>
          <w:tcPr>
            <w:tcW w:w="1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During or after</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Canada, US,</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procurement of Miners</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 expand the</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phase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Paraguay and</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buildout of</w:t>
            </w: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Company’s hashrate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mining</w:t>
            </w:r>
          </w:p>
        </w:tc>
        <w:tc>
          <w:tcPr>
            <w:tcW w:w="1340" w:type="dxa"/>
            <w:vAlign w:val="bottom"/>
          </w:tcPr>
          <w:p>
            <w:pPr>
              <w:spacing w:after="0"/>
              <w:rPr>
                <w:sz w:val="18"/>
                <w:szCs w:val="18"/>
                <w:color w:val="auto"/>
              </w:rPr>
            </w:pPr>
          </w:p>
        </w:tc>
      </w:tr>
      <w:tr>
        <w:trPr>
          <w:trHeight w:val="398"/>
        </w:trPr>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elsewhere</w:t>
            </w:r>
            <w:r>
              <w:rPr>
                <w:rFonts w:ascii="Times New Roman" w:cs="Times New Roman" w:eastAsia="Times New Roman" w:hAnsi="Times New Roman"/>
                <w:sz w:val="29"/>
                <w:szCs w:val="29"/>
                <w:color w:val="auto"/>
                <w:vertAlign w:val="superscript"/>
              </w:rPr>
              <w:t>(2)</w:t>
            </w: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facilities</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hardware)</w:t>
            </w:r>
          </w:p>
        </w:tc>
        <w:tc>
          <w:tcPr>
            <w:tcW w:w="1340" w:type="dxa"/>
            <w:vAlign w:val="bottom"/>
          </w:tcPr>
          <w:p>
            <w:pPr>
              <w:spacing w:after="0"/>
              <w:rPr>
                <w:sz w:val="24"/>
                <w:szCs w:val="24"/>
                <w:color w:val="auto"/>
              </w:rPr>
            </w:pPr>
          </w:p>
        </w:tc>
      </w:tr>
      <w:tr>
        <w:trPr>
          <w:trHeight w:val="26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Notes:</w:t>
            </w: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hanging="452"/>
        <w:spacing w:after="0" w:line="26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being able to accomplish this milestone without additional financing. A significant decrease in Bitcoin price may impact the Company’s ability to accomplish this milestone whether the Company obtains additional financing or not.</w:t>
      </w:r>
    </w:p>
    <w:p>
      <w:pPr>
        <w:ind w:left="460" w:hanging="452"/>
        <w:spacing w:after="0" w:line="260"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requiring additional financing to complete this milestone in addition to the funds raised under this Prospectus to complete the milestone. The Company will only complete this milestone if and when additional financing has been obtained.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2021 Business Objectives and Milestones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describes the business objectives and milestones from the short form base shelf prospectus dated August 12, 2021 and the prospectus supplement dated August 16, 2021, the progress of achieving these milestones and a comparison of the proceeds used against the estimated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Proceeds used as of September</w:t>
            </w:r>
          </w:p>
        </w:tc>
      </w:tr>
      <w:tr>
        <w:trPr>
          <w:trHeight w:val="245"/>
        </w:trPr>
        <w:tc>
          <w:tcPr>
            <w:tcW w:w="440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Business Objective</w:t>
            </w:r>
          </w:p>
        </w:tc>
        <w:tc>
          <w:tcPr>
            <w:tcW w:w="90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Current status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costs</w:t>
            </w:r>
          </w:p>
        </w:tc>
        <w:tc>
          <w:tcPr>
            <w:tcW w:w="258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30, 2023</w:t>
            </w:r>
          </w:p>
        </w:tc>
      </w:tr>
      <w:tr>
        <w:trPr>
          <w:trHeight w:val="198"/>
        </w:trPr>
        <w:tc>
          <w:tcPr>
            <w:tcW w:w="42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Buildout of additional 78 MW of electrical infrastructure</w:t>
            </w:r>
          </w:p>
        </w:tc>
        <w:tc>
          <w:tcPr>
            <w:tcW w:w="1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Completed in Q4 2022</w:t>
            </w: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 million</w:t>
            </w:r>
          </w:p>
        </w:tc>
        <w:tc>
          <w:tcPr>
            <w:tcW w:w="100" w:type="dxa"/>
            <w:vAlign w:val="bottom"/>
            <w:tcBorders>
              <w:top w:val="single" w:sz="8" w:color="CCEEFF"/>
            </w:tcBorders>
            <w:shd w:val="clear" w:color="auto" w:fill="CCEEFF"/>
          </w:tcPr>
          <w:p>
            <w:pPr>
              <w:spacing w:after="0"/>
              <w:rPr>
                <w:sz w:val="17"/>
                <w:szCs w:val="17"/>
                <w:color w:val="auto"/>
              </w:rPr>
            </w:pPr>
          </w:p>
        </w:tc>
        <w:tc>
          <w:tcPr>
            <w:tcW w:w="24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 Cowansville expansion (17</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 Quebec by the first quarter of 2022</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$0.6 million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 Sherbrooke expansion (78</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$22.2 million</w:t>
            </w:r>
          </w:p>
        </w:tc>
      </w:tr>
      <w:tr>
        <w:trPr>
          <w:trHeight w:val="198"/>
        </w:trPr>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Acquire mining equipment to achieve 3 EH/s of computing</w:t>
            </w:r>
          </w:p>
        </w:tc>
        <w:tc>
          <w:tcPr>
            <w:tcW w:w="2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Completed in Q2 2022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$45 million</w:t>
            </w:r>
          </w:p>
        </w:tc>
        <w:tc>
          <w:tcPr>
            <w:tcW w:w="258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A. MicroBT Miners: $126.3</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by the first quarter of 2022</w:t>
            </w: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million</w:t>
            </w: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 Bitmain Miners: $29.3 million</w:t>
            </w:r>
          </w:p>
        </w:tc>
      </w:tr>
      <w:tr>
        <w:trPr>
          <w:trHeight w:val="198"/>
        </w:trPr>
        <w:tc>
          <w:tcPr>
            <w:tcW w:w="4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Commence the engineering procurement and construction</w:t>
            </w:r>
          </w:p>
        </w:tc>
        <w:tc>
          <w:tcPr>
            <w:tcW w:w="31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 55 MW facility constructed in Q3</w:t>
            </w: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$55 million</w:t>
            </w:r>
          </w:p>
        </w:tc>
        <w:tc>
          <w:tcPr>
            <w:tcW w:w="25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Argentina expansion, net of gain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activity  in  the  second  half  of  2021  with  expected</w:t>
            </w:r>
          </w:p>
        </w:tc>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and completed in Q4 2023.</w:t>
            </w: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disposition of marketable</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completion in 2022 of a major mining facility to exploit a</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(first 50 MW facility)</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  MW  non-binding  memorandum  of  understanding</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$51.0 million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entered into with a South American energy producer, a</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3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portion of which is at $0.022/KwH.</w:t>
            </w: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198"/>
        </w:trPr>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Achieve the Company’s target of 8.0 EH/s by the end of</w:t>
            </w:r>
          </w:p>
        </w:tc>
        <w:tc>
          <w:tcPr>
            <w:tcW w:w="31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The Company revised this target to reach</w:t>
            </w:r>
          </w:p>
        </w:tc>
        <w:tc>
          <w:tcPr>
            <w:tcW w:w="1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Mining</w:t>
            </w: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7.0 EH/s by March 31, 2024. Without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considering</w:t>
            </w: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any  outstanding</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deposit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$215 million to</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balances, the Company estimates that it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$235 million</w:t>
            </w: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would cost approximately $21 million 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EH based on a current Miner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$15 per TH.</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198"/>
        </w:trPr>
        <w:tc>
          <w:tcPr>
            <w:tcW w:w="4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Engage with the Quebec government as well as other</w:t>
            </w:r>
          </w:p>
        </w:tc>
        <w:tc>
          <w:tcPr>
            <w:tcW w:w="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Completed.</w:t>
            </w:r>
          </w:p>
        </w:tc>
        <w:tc>
          <w:tcPr>
            <w:tcW w:w="14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However,  the</w:t>
            </w:r>
          </w:p>
        </w:tc>
        <w:tc>
          <w:tcPr>
            <w:tcW w:w="82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w w:val="97"/>
              </w:rPr>
              <w:t>Company</w:t>
            </w:r>
          </w:p>
        </w:tc>
        <w:tc>
          <w:tcPr>
            <w:tcW w:w="1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8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 Washington expansion (20</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governmental and private sector energy suppliers to secure</w:t>
            </w:r>
          </w:p>
        </w:tc>
        <w:tc>
          <w:tcPr>
            <w:tcW w:w="3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continues to look for opportunities to</w:t>
            </w: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MW): $27.2 million</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sites capable of housing a 50 MW or larger</w:t>
            </w: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expand its mining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 Paraguay expansion (10 MW):</w:t>
            </w:r>
          </w:p>
        </w:tc>
      </w:tr>
      <w:tr>
        <w:trPr>
          <w:trHeight w:val="234"/>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mining facility</w:t>
            </w:r>
          </w:p>
        </w:tc>
        <w:tc>
          <w:tcPr>
            <w:tcW w:w="9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$3.2 million</w:t>
            </w:r>
          </w:p>
        </w:tc>
      </w:tr>
      <w:tr>
        <w:trPr>
          <w:trHeight w:val="655"/>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to the Company’s consolidated capitalization since the date of the Company’s most recently filed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in respect of the Company’s Common Shares that we issued within the previous twelve-month period, including Common Shares that we issued upon the exercise of stock options of the Company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will be provided as required in a prospectus supplement with respect to the issuance of securities pursuant to such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PRICE AND VOLUME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Common Shares are listed and posted for trading on the Nasdaq and on the TSX under the symbol “</w:t>
      </w:r>
      <w:r>
        <w:rPr>
          <w:rFonts w:ascii="Times New Roman" w:cs="Times New Roman" w:eastAsia="Times New Roman" w:hAnsi="Times New Roman"/>
          <w:sz w:val="18"/>
          <w:szCs w:val="18"/>
          <w:b w:val="1"/>
          <w:bCs w:val="1"/>
          <w:color w:val="auto"/>
        </w:rPr>
        <w:t>BITF</w:t>
      </w:r>
      <w:r>
        <w:rPr>
          <w:rFonts w:ascii="Times New Roman" w:cs="Times New Roman" w:eastAsia="Times New Roman" w:hAnsi="Times New Roman"/>
          <w:sz w:val="18"/>
          <w:szCs w:val="18"/>
          <w:color w:val="auto"/>
        </w:rPr>
        <w:t>”. Trading price and volume information for the Company’s securities will be provided as required in each prospectus supplement to this prospectus.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COVERAGE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 without par value. As of the date hereof, there are 277,684,000 Common Shares and no preferred shares issued and outstanding.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there were: (i) 19,000,000 Common Shares issuable upon the exercise of outstanding stock options of the Company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at a weighted average exercise price of C$1.85 and (ii) 19,153,000 Common Shares reserved for issuance on exercise of 19,153,000 issued and outstanding Common Share purchase warrants of the Company with a weighted average exercise price of US$4.21 and (iii) 258,000 RSUs, for a total of 316,095,000 Common Shares on a fully-diluted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Common Shares rank equally as to voting rights, participation in a distribution of the assets of the Company in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rights, privileges, restrictions and conditions attached to the preferred shares of the Company, the holders of the Common Shares are entitled to receive any dividends declared by the Company in respect of the Common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Preferred shares of the Company do not give the holders any right to receive notice of or vote at general or special meetings of the Company. As of the date of this prospectus, no preferred shares were issued and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describing the debt securities, the terms “Company” and “Bitfarms” refer only to Bitfarms Ltd. without any of its subsidiaries.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 Debt securities, if offered, may be guaranteed by an affiliate or an associate of the Company.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debt securities will be issued under one or more indentures (each, a “</w:t>
      </w:r>
      <w:r>
        <w:rPr>
          <w:rFonts w:ascii="Times New Roman" w:cs="Times New Roman" w:eastAsia="Times New Roman" w:hAnsi="Times New Roman"/>
          <w:sz w:val="18"/>
          <w:szCs w:val="18"/>
          <w:b w:val="1"/>
          <w:bCs w:val="1"/>
          <w:color w:val="auto"/>
        </w:rPr>
        <w:t>Trust Indenture</w:t>
      </w:r>
      <w:r>
        <w:rPr>
          <w:rFonts w:ascii="Times New Roman" w:cs="Times New Roman" w:eastAsia="Times New Roman" w:hAnsi="Times New Roman"/>
          <w:sz w:val="18"/>
          <w:szCs w:val="18"/>
          <w:color w:val="auto"/>
        </w:rPr>
        <w:t>”), in each case between the Company and a financial institution or trust company organized under the laws of Canada or any province thereof and authorized to carry on business as a trustee (each, a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www.sedarplus.ca.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prospectus supplement for debt securities supplementing this prospectus will contain the specific terms and other information with respect to the debt securities being offered thereby, including, but not limited to, the following:</w:t>
      </w:r>
    </w:p>
    <w:p>
      <w:pPr>
        <w:spacing w:after="0" w:line="162"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 of such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principal amount at which the debt securities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 on the debt securities will be senior or subordinated to other liabilities or obligations of the Company;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the Company will pay principal, premium, if any, and interest, if any, and the place or places where debt securities can be presented for registration of transfer or exchange;</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will be obligated to redeem or repurchase the debt securities pursuant to any sinking or purchase fund or other provisions, or at the option of a holder, and the terms and conditions of such redemption;</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may redeem the debt securities at its option and the terms and conditions of any such redemption;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Company will issue any registered and unregistered debt securities;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with reference to any index or formula;</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as global securities (defined below) and, if so, the identity of the depositary (defined below) for the global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as unregistered securities (with or without coupons), registered securities or both;</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within which and the terms and conditions, if any, upon which the Company may redeem the debt securities prior to maturity and the price or prices of which, and the currency or currency units in which, the debt securities are payable;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applicable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under which debt securities may be defeased, whether at or prior to maturity;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holders of any series of debt securities have special rights if specified events occur;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redemption or sinking fund or analogous provisions;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for any conversion or exchange of the debt securities for any other securities of the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transfer restrictions;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if any, on a change of control;</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modification, amendment or variation of any rights or terms attaching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 the Trust Indenture pursuant to which the debt securities are to be issued; whether the Company will undertake to list the debt securities of the series on any securities exchange or automated interdealer quotation system; and</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issue debt securities bearing no interest or interest at a rate below the prevailing market rate at the time of issuance and offer and sell these securities at a discount below their stated principal amount, in which case, the Company will include in the applicable prospectus supplement the effective yield if held to maturity.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 and Other Indebtedness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of Debt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Securities in Book Entry Form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debt securities of any series may be issued in whole or in part in the form of one or more global securities (“</w:t>
      </w:r>
      <w:r>
        <w:rPr>
          <w:rFonts w:ascii="Times New Roman" w:cs="Times New Roman" w:eastAsia="Times New Roman" w:hAnsi="Times New Roman"/>
          <w:sz w:val="18"/>
          <w:szCs w:val="18"/>
          <w:b w:val="1"/>
          <w:bCs w:val="1"/>
          <w:color w:val="auto"/>
        </w:rPr>
        <w:t>Global Securities</w:t>
      </w:r>
      <w:r>
        <w:rPr>
          <w:rFonts w:ascii="Times New Roman" w:cs="Times New Roman" w:eastAsia="Times New Roman" w:hAnsi="Times New Roman"/>
          <w:sz w:val="18"/>
          <w:szCs w:val="18"/>
          <w:color w:val="auto"/>
        </w:rPr>
        <w:t>”) registered in the name of a designated clearing agency (a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spacing w:after="0" w:line="254" w:lineRule="auto"/>
        <w:rPr>
          <w:sz w:val="20"/>
          <w:szCs w:val="20"/>
          <w:color w:val="auto"/>
        </w:rPr>
      </w:pPr>
      <w:r>
        <w:rPr>
          <w:rFonts w:ascii="Times New Roman" w:cs="Times New Roman" w:eastAsia="Times New Roman" w:hAnsi="Times New Roman"/>
          <w:sz w:val="18"/>
          <w:szCs w:val="18"/>
          <w:color w:val="auto"/>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stated in the applicable prospectus supplement, CDS Clearing and Depository Services Inc. or its successor will act as Depositary for any debt securities represented by a Global Security.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Debt Securities in Certificated Form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section describes the general terms that will apply to any warrants for the purchase of Common Shares, or equity warrants, or for the purchase of debt securities, or debt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 Debt warrants, if offered, may be guaranteed by an affiliate or an associate of the Company.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www.sedarplus.ca.</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warrants that we offer will describe the particular terms of those warrants and include specific terms relating to the offering.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(Ontario) or otherwise at law.</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equity warrants will be described in the applicable prospectus supplement. This description will include, where applicable:</w:t>
      </w:r>
    </w:p>
    <w:p>
      <w:pPr>
        <w:spacing w:after="0" w:line="162"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equity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equity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that may be purchased upon exercise of each equity warrant and the price at which and currency or currencies in which the Common Shares may be purchased upon exercise of each equity warrant;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provisions allowing or providing for adjustments in (i) the number and/or class of shares that may be purchased, (ii) the exercise price per share or (iii) the expiry of the equity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fractional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applied to list the equity warrants or the underlying shares on a stock exchange;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equity warrants will be offered, if any, and the number of the equity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equity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equity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equity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equity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equity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particular terms of each issue of debt warrants will be described in the related prospectus supplement. This description will include, where applicable:</w:t>
      </w:r>
    </w:p>
    <w:p>
      <w:pPr>
        <w:spacing w:after="0" w:line="225"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warrants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debt warrants are being offered, if any, and the number of the debt warrants that will be offered with each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debt warrants and the related securities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debt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will be subject to redemption or call, and, if so, the terms of such redemption or call provisions;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debt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applied to list the debt warrants or the underlying debt securities on an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procedures and limitations relating to the transferability, exchange or exercise of the debt warrants;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debt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exercise of their warrants, holders of warrants will not have any of the rights of holders of the securities subject to the warrants.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spacing w:after="0" w:line="176"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units being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units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securities comprising the units and any agreement governing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securities comprising the units will be transferable separately;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apply to list the units or any of the individual securities comprising the units on any exchange;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income tax consequences of owning the units, including, how the purchase price paid for the units will be allocated among the securities comprising the units;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units.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SUBSCRIPTION RECEIPTS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subscription receipts separately or in combination with one or more other securities, which will entitle holders thereof to receive, upon satisfaction of certain release conditions (the “</w:t>
      </w:r>
      <w:r>
        <w:rPr>
          <w:rFonts w:ascii="Times New Roman" w:cs="Times New Roman" w:eastAsia="Times New Roman" w:hAnsi="Times New Roman"/>
          <w:sz w:val="18"/>
          <w:szCs w:val="18"/>
          <w:b w:val="1"/>
          <w:bCs w:val="1"/>
          <w:color w:val="auto"/>
        </w:rPr>
        <w:t>Release Conditions</w:t>
      </w:r>
      <w:r>
        <w:rPr>
          <w:rFonts w:ascii="Times New Roman" w:cs="Times New Roman" w:eastAsia="Times New Roman" w:hAnsi="Times New Roman"/>
          <w:sz w:val="18"/>
          <w:szCs w:val="18"/>
          <w:color w:val="auto"/>
        </w:rPr>
        <w:t>”) and for no additional consideration, Common Shares, warrants, debt securities or any combination thereof. Subscription receipts will be issued pursuant to one or more subscription receipt agreements (each, a “</w:t>
      </w:r>
      <w:r>
        <w:rPr>
          <w:rFonts w:ascii="Times New Roman" w:cs="Times New Roman" w:eastAsia="Times New Roman" w:hAnsi="Times New Roman"/>
          <w:sz w:val="18"/>
          <w:szCs w:val="18"/>
          <w:b w:val="1"/>
          <w:bCs w:val="1"/>
          <w:color w:val="auto"/>
        </w:rPr>
        <w:t>Subscription Receipt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material terms of which will be described in the applicable prospectus supplement, each to be entered into between the Company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agent (the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spacing w:after="0" w:line="162"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subscription receipts being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subscription receipts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number and terms of the Common Shares, warrants and/or debt securities to be received by the holders of subscription receipts upon satisfaction of the Release Conditions, and any procedures that will result in the adjustment of those numbers;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Conditions that must be met in order for holders of subscription receipts to receive, for no additional consideration, the Common Shares, warrants and/or debt securities;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the issuance and delivery of the Common Shares, warrants and/or debt securities to holders of subscription receipts upon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payments will be made to holders of subscription receipts upon delivery of the Common Shares, warrants and/or debt securities upon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Escrow Agent;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the Escrow Agent will hold all or a portion of the gross proceeds from the sale of subscription receipts, together with interest and income earned thereon (collectively, the “</w:t>
      </w:r>
      <w:r>
        <w:rPr>
          <w:rFonts w:ascii="Times New Roman" w:cs="Times New Roman" w:eastAsia="Times New Roman" w:hAnsi="Times New Roman"/>
          <w:sz w:val="18"/>
          <w:szCs w:val="18"/>
          <w:b w:val="1"/>
          <w:bCs w:val="1"/>
          <w:color w:val="auto"/>
        </w:rPr>
        <w:t>Escrowed Funds</w:t>
      </w:r>
      <w:r>
        <w:rPr>
          <w:rFonts w:ascii="Times New Roman" w:cs="Times New Roman" w:eastAsia="Times New Roman" w:hAnsi="Times New Roman"/>
          <w:sz w:val="18"/>
          <w:szCs w:val="18"/>
          <w:color w:val="auto"/>
        </w:rPr>
        <w:t>”), pending satisfaction of the Release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pursuant to which the Escrow Agent will hold the Common Shares, warrants and/or debt securities pending satisfaction of the Release Conditions;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the Escrow Agent will release all or a portion of the Escrowed Funds to the Company upon satisfaction of the Release Conditions;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the refund by the Escrow Agent to holders of subscription receipts of all or a portion of the subscription price of their subscription receipts, plus any pro rata entitlement to interest earned or income generated on such amount, if the Release Conditions are not satisfied;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entitlement of Bitfarms to purchase the subscription receipts in the open market by private agreement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subscription receipts as Global Securities and, if so, the identity of the Depositary for the Global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the subscription receipts as unregistered bearer securities, as registered securities or both;</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apply to list the subscription receipts on any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Canadian federal income tax consequences of owning the subscription receipts;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subscription receipts.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Rights of Holders of Subscription Receipts Prior to Satisfaction of Release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pro rata share of interest earned or income generated thereon, if provided for in the Subscription Receipt Agreement, all as provided in the Subscription Receipt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SHARE PURCHASE CONTRACTS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share purchase contracts, representing contracts obligating holders to purchase from or sell to us a specified number of Common Shares, as applicable, at a future date or 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 (iii) 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(viii) any other material terms and conditions of the share purchase contracts including, without limitation, transferability and adjustment terms and whether the share purchase contracts will be listed on a stock exchange.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is in addition to any other right or remedy available to original purchasers under section 130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or otherwise at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may sell the securities of the Company offered by this prospectus (collectively,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separately or together, to or through underwriters, dealers or agents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 of Common Shares may be effected from time to time in one or more transactions at non-fixed prices pursuant to transactions that are deemed to be “at-the-market distributions” as defined in NI 44-102, including sales made directly on the TSX, Nasdaq,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deemed to be underwriters, and any commissions received by them from the Company and any profit on the resale of the Securities by them may be deemed to be underwriting commissions under the United States Securities Act of 1933, as amended.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Each prospectus supplement with respect to the Company’s securities being offered will set forth the terms of the offering, including:</w:t>
      </w:r>
    </w:p>
    <w:p>
      <w:pPr>
        <w:spacing w:after="0" w:line="225"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offering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other placement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the purchase price of, and form of consideration for,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to the Company from such sale;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fees, discounts and other items constituting underwriters’, dealers’ or agents’ compensation.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may also, from time to time, relate to the offering of Common Shares by certain Selling Securityholders.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pursuant to applicable law. The Selling Securityholders may, from time to time, sell, transfer or otherwise dispose of any or all of their Common Shares included for public offering in this prospectus on Nasdaq, the TSX or any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this prospectus or any prospectus supplement filed under General Instruction II.L. of Form F-10 under the U.S. Securities Act, amending, if necessary, the list of Selling Securityholders to include the pledgee, transferee or other successors in interest as Selling Securityholders under this prospectus. The Selling Securityholders also may transfer and donate Common Shares in other circumstances in which case the transferees, donees, pledgees or other successor in 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which will identify the Selling Securityholders and provide the other information set forth under “Selling Securityholders”,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Selling Securityholder will sell any or all of Common Shares registered pursuant to the Registration Statement, of which this prospectus forms a part. The Selling Securityholders may also sell any or all of their Common Shares under Rule 144 or Rule 904 under the U.S. Securities Act, in each case, if available, rather than under this prospectus.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other person participating in such distribution will be subject to applicable provisions of Canadian securities legislation and the Exchange Act and the rules and regulations thereunder, including, without limitation, Regulation M under the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Common Shares will be freely tradable in the hands of persons other than our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INCOME TAX CONSIDERATIONS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AUDITORS, TRANSFER AGENT AND REGISTRAR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the Company is PricewaterhouseCoopers LLP at its offices located at PwC Centre, 354 Davis Road, Suite 600, Oakville, Ontario, Canada L6J 0C5.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of the Company is TSX Trust Company at its offices located at 100 Adelaide St W #301, Toronto, ON M5H 1S3.</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AGENTS FOR SERVICE OF PROCESS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directors and officers of the Company reside outside of Canada. Emiliano Joel Grodzki, Nicolas Bonta, Andres Finkielsztain, Edith M. Hofmeister, Benjamin Gagnon, and Jeffrey Lucas have appointed the following agents for service of process: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Person</w:t>
            </w:r>
          </w:p>
        </w:tc>
        <w:tc>
          <w:tcPr>
            <w:tcW w:w="220" w:type="dxa"/>
            <w:vAlign w:val="bottom"/>
          </w:tcPr>
          <w:p>
            <w:pPr>
              <w:spacing w:after="0"/>
              <w:rPr>
                <w:sz w:val="21"/>
                <w:szCs w:val="21"/>
                <w:color w:val="auto"/>
              </w:rPr>
            </w:pPr>
          </w:p>
        </w:tc>
        <w:tc>
          <w:tcPr>
            <w:tcW w:w="55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Name and Address of Agent</w:t>
            </w:r>
          </w:p>
        </w:tc>
        <w:tc>
          <w:tcPr>
            <w:tcW w:w="0" w:type="dxa"/>
            <w:vAlign w:val="bottom"/>
          </w:tcPr>
          <w:p>
            <w:pPr>
              <w:spacing w:after="0"/>
              <w:rPr>
                <w:sz w:val="1"/>
                <w:szCs w:val="1"/>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Emiliano Joel Grodzki</w:t>
            </w:r>
          </w:p>
        </w:tc>
        <w:tc>
          <w:tcPr>
            <w:tcW w:w="220" w:type="dxa"/>
            <w:vAlign w:val="bottom"/>
          </w:tcPr>
          <w:p>
            <w:pPr>
              <w:spacing w:after="0"/>
              <w:rPr>
                <w:sz w:val="17"/>
                <w:szCs w:val="17"/>
                <w:color w:val="auto"/>
              </w:rPr>
            </w:pPr>
          </w:p>
        </w:tc>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Bitfarms Ltd.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110 Yonge Street, Suite 1601</w:t>
            </w:r>
          </w:p>
        </w:tc>
        <w:tc>
          <w:tcPr>
            <w:tcW w:w="0" w:type="dxa"/>
            <w:vAlign w:val="bottom"/>
          </w:tcPr>
          <w:p>
            <w:pPr>
              <w:spacing w:after="0"/>
              <w:rPr>
                <w:sz w:val="1"/>
                <w:szCs w:val="1"/>
                <w:color w:val="auto"/>
              </w:rPr>
            </w:pPr>
          </w:p>
        </w:tc>
      </w:tr>
      <w:tr>
        <w:trPr>
          <w:trHeight w:val="234"/>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Nicolas Bonta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Toronto, ON M5C 1T4</w:t>
            </w:r>
          </w:p>
        </w:tc>
        <w:tc>
          <w:tcPr>
            <w:tcW w:w="0" w:type="dxa"/>
            <w:vAlign w:val="bottom"/>
          </w:tcPr>
          <w:p>
            <w:pPr>
              <w:spacing w:after="0"/>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Andres Finkielsztain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Jeffrey Lucas</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filed with the SEC, concurrently with the initial filing of this Registration Statement, an appointment of agent for service of process on Form F-X. Under the Form F-X, the Company appointed Cogency Global Inc., with an address at 122 E. 42nd Street, 18th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EXEMPTIONS UNDER SECURITIES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a decision of the Autorité des Marchés Financiers, the securities regulatory authority in the Province of Québec, dated June 22, 2023,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lowerRoman"/>
      <w:start w:val="4"/>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lowerRoman"/>
      <w:start w:val="3"/>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jpe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8" Type="http://schemas.openxmlformats.org/officeDocument/2006/relationships/hyperlink" Target="http://www.sec.gov/Archives/edgar/data/1812477/000121390024020602/ea0200005ex99-1_bitfarms.htm" TargetMode="External"/><Relationship Id="rId19" Type="http://schemas.openxmlformats.org/officeDocument/2006/relationships/hyperlink" Target="http://www.sec.gov/Archives/edgar/data/1812477/000121390024020602/ea0200005ex99-2_bitfarms.htm" TargetMode="External"/><Relationship Id="rId20" Type="http://schemas.openxmlformats.org/officeDocument/2006/relationships/hyperlink" Target="http://www.sec.gov/Archives/edgar/data/1812477/000121390024020602/ea0200005ex99-3_bitfarms.htm" TargetMode="External"/><Relationship Id="rId21" Type="http://schemas.openxmlformats.org/officeDocument/2006/relationships/hyperlink" Target="http://www.sec.gov/Archives/edgar/data/1812477/000121390023041512/ea178934ex99-2_bitfarms.htm" TargetMode="External"/><Relationship Id="rId22" Type="http://schemas.openxmlformats.org/officeDocument/2006/relationships/hyperlink" Target="http://www.sec.gov/Archives/edgar/data/1812477/000121390024000243/ea190998ex99-1_bitfarms.htm" TargetMode="External"/><Relationship Id="rId23" Type="http://schemas.openxmlformats.org/officeDocument/2006/relationships/hyperlink" Target="http://www.sec.gov/Archives/edgar/data/1812477/000121390024006077/ea192113ex99-1_bitfarms.htm" TargetMode="External"/><Relationship Id="rId24" Type="http://schemas.openxmlformats.org/officeDocument/2006/relationships/hyperlink" Target="http://www.sec.gov/Archives/edgar/data/1812477/000121390024008976/ea192649ex99-1_bitfarms.htm" TargetMode="External"/><Relationship Id="rId25" Type="http://schemas.openxmlformats.org/officeDocument/2006/relationships/hyperlink" Target="http://www.sec.gov/Archives/edgar/data/1812477/000121390024018987/ea0201038ex99-1_bitfarms.htm" TargetMode="External"/><Relationship Id="rId26" Type="http://schemas.openxmlformats.org/officeDocument/2006/relationships/hyperlink" Target="http://www.sec.gov/Archives/edgar/data/1812477/000121390024020605/ea0201279ex99-1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2024-03-08T16:08:43Z</dcterms:created>
  <dcterms:modified xsi:type="dcterms:W3CDTF">2024-03-08T16:08:43Z</dcterms:modified>
</cp:coreProperties>
</file>