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150495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173355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OR 15d-16</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 the month of November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165735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223520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248920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403225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72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ind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November 28,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333-272989).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660" w:type="dxa"/>
            <w:vAlign w:val="bottom"/>
          </w:tcPr>
          <w:p>
            <w:pPr>
              <w:spacing w:after="0"/>
              <w:rPr>
                <w:sz w:val="20"/>
                <w:szCs w:val="20"/>
                <w:color w:val="auto"/>
              </w:rPr>
            </w:pPr>
          </w:p>
        </w:tc>
        <w:tc>
          <w:tcPr>
            <w:tcW w:w="6220" w:type="dxa"/>
            <w:vAlign w:val="bottom"/>
          </w:tcPr>
          <w:p>
            <w:pPr>
              <w:spacing w:after="0"/>
              <w:rPr>
                <w:sz w:val="20"/>
                <w:szCs w:val="20"/>
                <w:color w:val="auto"/>
              </w:rPr>
            </w:pPr>
          </w:p>
        </w:tc>
      </w:tr>
      <w:tr>
        <w:trPr>
          <w:trHeight w:val="43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6220" w:type="dxa"/>
            <w:vAlign w:val="bottom"/>
            <w:tcBorders>
              <w:top w:val="single" w:sz="8" w:color="auto"/>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shd w:val="clear" w:color="auto" w:fill="CCEEFF"/>
          </w:tcPr>
          <w:p>
            <w:pPr>
              <w:spacing w:after="0"/>
              <w:rPr>
                <w:sz w:val="17"/>
                <w:szCs w:val="17"/>
                <w:color w:val="auto"/>
              </w:rPr>
            </w:pPr>
          </w:p>
        </w:tc>
        <w:tc>
          <w:tcPr>
            <w:tcW w:w="9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Change Report dated November 28, 2023</w:t>
            </w:r>
          </w:p>
        </w:tc>
      </w:tr>
      <w:tr>
        <w:trPr>
          <w:trHeight w:val="115"/>
        </w:trPr>
        <w:tc>
          <w:tcPr>
            <w:tcW w:w="1140" w:type="dxa"/>
            <w:vAlign w:val="bottom"/>
            <w:tcBorders>
              <w:top w:val="single" w:sz="8" w:color="CCEEFF"/>
              <w:bottom w:val="single" w:sz="8" w:color="auto"/>
            </w:tcBorders>
          </w:tcPr>
          <w:p>
            <w:pPr>
              <w:spacing w:after="0"/>
              <w:rPr>
                <w:sz w:val="10"/>
                <w:szCs w:val="10"/>
                <w:color w:val="auto"/>
              </w:rPr>
            </w:pPr>
          </w:p>
        </w:tc>
        <w:tc>
          <w:tcPr>
            <w:tcW w:w="220" w:type="dxa"/>
            <w:vAlign w:val="bottom"/>
            <w:tcBorders>
              <w:top w:val="single" w:sz="8" w:color="CCEEFF"/>
              <w:bottom w:val="single" w:sz="8" w:color="auto"/>
            </w:tcBorders>
          </w:tcPr>
          <w:p>
            <w:pPr>
              <w:spacing w:after="0"/>
              <w:rPr>
                <w:sz w:val="10"/>
                <w:szCs w:val="10"/>
                <w:color w:val="auto"/>
              </w:rPr>
            </w:pPr>
          </w:p>
        </w:tc>
        <w:tc>
          <w:tcPr>
            <w:tcW w:w="3660" w:type="dxa"/>
            <w:vAlign w:val="bottom"/>
            <w:tcBorders>
              <w:top w:val="single" w:sz="8" w:color="0000EE"/>
              <w:bottom w:val="single" w:sz="8" w:color="auto"/>
            </w:tcBorders>
          </w:tcPr>
          <w:p>
            <w:pPr>
              <w:spacing w:after="0"/>
              <w:rPr>
                <w:sz w:val="10"/>
                <w:szCs w:val="10"/>
                <w:color w:val="auto"/>
              </w:rPr>
            </w:pPr>
          </w:p>
        </w:tc>
        <w:tc>
          <w:tcPr>
            <w:tcW w:w="6220" w:type="dxa"/>
            <w:vAlign w:val="bottom"/>
            <w:tcBorders>
              <w:top w:val="single" w:sz="8" w:color="CCEEFF"/>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160"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jc w:val="both"/>
        <w:ind w:left="7100"/>
        <w:spacing w:after="0"/>
        <w:tabs>
          <w:tab w:leader="none" w:pos="76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320" w:top="580" w:right="11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ectPr>
          <w:pgSz w:w="11900" w:h="16838" w:orient="portrait"/>
          <w:cols w:equalWidth="0" w:num="1">
            <w:col w:w="11240"/>
          </w:cols>
          <w:pgMar w:left="320" w:top="333"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333"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28, 2023.</w:t>
      </w:r>
    </w:p>
    <w:p>
      <w:pPr>
        <w:sectPr>
          <w:pgSz w:w="11900" w:h="16838" w:orient="portrait"/>
          <w:cols w:equalWidth="0" w:num="1">
            <w:col w:w="11240"/>
          </w:cols>
          <w:pgMar w:left="320" w:top="333"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ectPr>
          <w:pgSz w:w="11900" w:h="16838" w:orient="portrait"/>
          <w:cols w:equalWidth="0" w:num="2">
            <w:col w:w="580" w:space="720"/>
            <w:col w:w="9940"/>
          </w:cols>
          <w:pgMar w:left="320" w:top="333"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November 28, 2023 by a newswire company in Canada.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ectPr>
          <w:pgSz w:w="11900" w:h="16838" w:orient="portrait"/>
          <w:cols w:equalWidth="0" w:num="1">
            <w:col w:w="11240"/>
          </w:cols>
          <w:pgMar w:left="320" w:top="333"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of subsection 7.1(2) of National Instrument 51-102</w:t>
      </w:r>
    </w:p>
    <w:p>
      <w:pPr>
        <w:spacing w:after="0" w:line="200" w:lineRule="exact"/>
        <w:rPr>
          <w:sz w:val="20"/>
          <w:szCs w:val="20"/>
          <w:color w:val="auto"/>
        </w:rPr>
      </w:pPr>
    </w:p>
    <w:p>
      <w:pPr>
        <w:sectPr>
          <w:pgSz w:w="11900" w:h="16838" w:orient="portrait"/>
          <w:cols w:equalWidth="0" w:num="2">
            <w:col w:w="580" w:space="720"/>
            <w:col w:w="9940"/>
          </w:cols>
          <w:pgMar w:left="320" w:top="333"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333"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333"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333"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333"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Morphy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gmorphy@bitfarms.com</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Announces Closing of C$60 Million Private Placement with U.S. Institutional Investors</w:t>
      </w:r>
    </w:p>
    <w:p>
      <w:pPr>
        <w:spacing w:after="0" w:line="340" w:lineRule="exact"/>
        <w:rPr>
          <w:sz w:val="20"/>
          <w:szCs w:val="20"/>
          <w:color w:val="auto"/>
        </w:rPr>
      </w:pPr>
    </w:p>
    <w:p>
      <w:pPr>
        <w:jc w:val="both"/>
        <w:ind w:left="20" w:hanging="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(November 28, 2023)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BITF//TSX: BITF</w:t>
      </w:r>
      <w:r>
        <w:rPr>
          <w:rFonts w:ascii="Times New Roman" w:cs="Times New Roman" w:eastAsia="Times New Roman" w:hAnsi="Times New Roman"/>
          <w:sz w:val="18"/>
          <w:szCs w:val="18"/>
          <w:color w:val="auto"/>
        </w:rPr>
        <w:t>), a global vertically integrated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mining company, is pleased to announce that it has closed its previously announced private placement of equity securities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The Offering was for gross proceeds of approximately C$60 million and consisted of the sale of 44,444,446 common shares, along with warrants to purchase an aggregate of up to 22,222,223 common shares, at a purchase price of C$1.35 per common share and associated one-half warrant. The warrants have an exercise price of C$1.61 (US$1.17) per common share and exercise period of three years (through November 28, 2026). The funds were raised via a fully subscribed private placement of equity securities among U.S. institutional investors.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acted as the exclusive placement agent for the Offering.</w:t>
      </w:r>
    </w:p>
    <w:p>
      <w:pPr>
        <w:spacing w:after="0" w:line="225" w:lineRule="exact"/>
        <w:rPr>
          <w:sz w:val="20"/>
          <w:szCs w:val="20"/>
          <w:color w:val="auto"/>
        </w:rPr>
      </w:pPr>
    </w:p>
    <w:p>
      <w:pPr>
        <w:jc w:val="both"/>
        <w:ind w:left="20" w:right="20" w:hanging="8"/>
        <w:spacing w:after="0" w:line="282" w:lineRule="auto"/>
        <w:rPr>
          <w:sz w:val="20"/>
          <w:szCs w:val="20"/>
          <w:color w:val="auto"/>
        </w:rPr>
      </w:pPr>
      <w:r>
        <w:rPr>
          <w:rFonts w:ascii="Times New Roman" w:cs="Times New Roman" w:eastAsia="Times New Roman" w:hAnsi="Times New Roman"/>
          <w:sz w:val="18"/>
          <w:szCs w:val="18"/>
          <w:color w:val="auto"/>
        </w:rPr>
        <w:t>The net proceeds of the Offering will be used by the Company principally to acquire additional miners, expand infrastructure and improve its working capital position.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issued under the Offering are subject to customary resale restrictions in the United States with no resale restrictions in Canada.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securities were offered or sold to Canadian residents in connection with the private placement.</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This news release shall not constitute an offer to sell or the solicitation of an offer to buy nor shall there be any sale of the securities in any jurisdiction in which such offer, solicitation or sale would be unlawful prior to </w:t>
      </w:r>
      <w:r>
        <w:rPr>
          <w:rFonts w:ascii="Times New Roman" w:cs="Times New Roman" w:eastAsia="Times New Roman" w:hAnsi="Times New Roman"/>
          <w:sz w:val="18"/>
          <w:szCs w:val="18"/>
          <w:color w:val="auto"/>
        </w:rPr>
        <w:t>registration</w:t>
      </w:r>
      <w:r>
        <w:rPr>
          <w:rFonts w:ascii="Times New Roman" w:cs="Times New Roman" w:eastAsia="Times New Roman" w:hAnsi="Times New Roman"/>
          <w:sz w:val="18"/>
          <w:szCs w:val="18"/>
          <w:i w:val="1"/>
          <w:iCs w:val="1"/>
          <w:color w:val="auto"/>
        </w:rPr>
        <w:t xml:space="preserve"> or qualification under the securities laws of any such jurisdiction. This news release shall not constitute an offer of securities for sale in the United States. The securities being offered have not been, nor will they be, registered under the United States Securities Act of 1933, as amended, and such securities may not be offered or sold within the United States absent registration under U.S. federal and state securities laws or an applicable exemption from such U.S. registration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wp:posOffset>
            </wp:positionV>
            <wp:extent cx="7123430" cy="1783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23430" cy="178308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publicly traded (NASDAQ/TSX: BITF)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11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23430" cy="54864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315" w:lineRule="exact"/>
        <w:rPr>
          <w:sz w:val="20"/>
          <w:szCs w:val="20"/>
          <w:color w:val="auto"/>
        </w:rPr>
      </w:pPr>
    </w:p>
    <w:p>
      <w:pPr>
        <w:ind w:left="360" w:hanging="127"/>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BTC/day = Bitcoin or Bitcoin per day</w:t>
      </w:r>
    </w:p>
    <w:p>
      <w:pPr>
        <w:spacing w:after="0" w:line="117" w:lineRule="exact"/>
        <w:rPr>
          <w:rFonts w:ascii="Times New Roman" w:cs="Times New Roman" w:eastAsia="Times New Roman" w:hAnsi="Times New Roman"/>
          <w:sz w:val="18"/>
          <w:szCs w:val="18"/>
          <w:color w:val="auto"/>
        </w:rPr>
      </w:pPr>
    </w:p>
    <w:p>
      <w:pPr>
        <w:ind w:left="360" w:hanging="127"/>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117" w:lineRule="exact"/>
        <w:rPr>
          <w:rFonts w:ascii="Times New Roman" w:cs="Times New Roman" w:eastAsia="Times New Roman" w:hAnsi="Times New Roman"/>
          <w:sz w:val="18"/>
          <w:szCs w:val="18"/>
          <w:color w:val="auto"/>
        </w:rPr>
      </w:pPr>
    </w:p>
    <w:p>
      <w:pPr>
        <w:ind w:left="360" w:hanging="127"/>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117" w:lineRule="exact"/>
        <w:rPr>
          <w:rFonts w:ascii="Times New Roman" w:cs="Times New Roman" w:eastAsia="Times New Roman" w:hAnsi="Times New Roman"/>
          <w:sz w:val="18"/>
          <w:szCs w:val="18"/>
          <w:color w:val="auto"/>
        </w:rPr>
      </w:pPr>
    </w:p>
    <w:p>
      <w:pPr>
        <w:ind w:left="360" w:hanging="127"/>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 or PH/s = Petahash or petahash per second</w:t>
      </w:r>
    </w:p>
    <w:p>
      <w:pPr>
        <w:spacing w:after="0" w:line="117" w:lineRule="exact"/>
        <w:rPr>
          <w:rFonts w:ascii="Times New Roman" w:cs="Times New Roman" w:eastAsia="Times New Roman" w:hAnsi="Times New Roman"/>
          <w:sz w:val="18"/>
          <w:szCs w:val="18"/>
          <w:color w:val="auto"/>
        </w:rPr>
      </w:pPr>
    </w:p>
    <w:p>
      <w:pPr>
        <w:ind w:left="360" w:hanging="127"/>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 or TH/s = Terahash or terahash per second</w:t>
      </w:r>
    </w:p>
    <w:p>
      <w:pPr>
        <w:spacing w:after="0" w:line="117" w:lineRule="exact"/>
        <w:rPr>
          <w:rFonts w:ascii="Times New Roman" w:cs="Times New Roman" w:eastAsia="Times New Roman" w:hAnsi="Times New Roman"/>
          <w:sz w:val="18"/>
          <w:szCs w:val="18"/>
          <w:color w:val="auto"/>
        </w:rPr>
      </w:pPr>
    </w:p>
    <w:p>
      <w:pPr>
        <w:ind w:left="360" w:hanging="127"/>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0" w:lineRule="exact"/>
        <w:rPr>
          <w:sz w:val="20"/>
          <w:szCs w:val="20"/>
          <w:color w:val="auto"/>
        </w:rPr>
      </w:pPr>
    </w:p>
    <w:p>
      <w:pPr>
        <w:jc w:val="both"/>
        <w:ind w:left="20" w:hanging="8"/>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-424815</wp:posOffset>
            </wp:positionV>
            <wp:extent cx="712343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2343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249"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216535</wp:posOffset>
            </wp:positionH>
            <wp:positionV relativeFrom="page">
              <wp:posOffset>380365</wp:posOffset>
            </wp:positionV>
            <wp:extent cx="71234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23430" cy="137160"/>
                    </a:xfrm>
                    <a:prstGeom prst="rect">
                      <a:avLst/>
                    </a:prstGeom>
                    <a:noFill/>
                  </pic:spPr>
                </pic:pic>
              </a:graphicData>
            </a:graphic>
          </wp:anchor>
        </w:drawing>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180" w:lineRule="exact"/>
        <w:rPr>
          <w:sz w:val="20"/>
          <w:szCs w:val="20"/>
          <w:color w:val="auto"/>
        </w:rPr>
      </w:pPr>
    </w:p>
    <w:p>
      <w:pPr>
        <w:jc w:val="both"/>
        <w:ind w:left="20" w:hanging="8"/>
        <w:spacing w:after="0" w:line="255"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about future plans and objectives of the Company, including the use of proceeds from the private placement and the anticipated growth in its hashrate,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-1103630</wp:posOffset>
            </wp:positionV>
            <wp:extent cx="7123430" cy="1097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23430" cy="1097280"/>
                    </a:xfrm>
                    <a:prstGeom prst="rect">
                      <a:avLst/>
                    </a:prstGeom>
                    <a:noFill/>
                  </pic:spPr>
                </pic:pic>
              </a:graphicData>
            </a:graphic>
          </wp:anchor>
        </w:drawing>
      </w:r>
    </w:p>
    <w:p>
      <w:pPr>
        <w:spacing w:after="0" w:line="124" w:lineRule="exact"/>
        <w:rPr>
          <w:sz w:val="20"/>
          <w:szCs w:val="20"/>
          <w:color w:val="auto"/>
        </w:rPr>
      </w:pPr>
    </w:p>
    <w:p>
      <w:pPr>
        <w:jc w:val="both"/>
        <w:ind w:left="20" w:hanging="8"/>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-692785</wp:posOffset>
            </wp:positionV>
            <wp:extent cx="7123430" cy="685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23430" cy="685800"/>
                    </a:xfrm>
                    <a:prstGeom prst="rect">
                      <a:avLst/>
                    </a:prstGeom>
                    <a:noFill/>
                  </pic:spPr>
                </pic:pic>
              </a:graphicData>
            </a:graphic>
          </wp:anchor>
        </w:drawing>
      </w:r>
    </w:p>
    <w:p>
      <w:pPr>
        <w:spacing w:after="0" w:line="123"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7"/>
          <w:szCs w:val="17"/>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and approvals; the global economic climate; dilution; the Company’s limited operating history; future capital needs and uncertainty of additional financing,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earn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earn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at www.sec.gov), including the annual information form for the year-ended December 31, 2022, filed on March 21, 2023 and the MD&amp;A for three-month period ended September 30, 2023.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-4664075</wp:posOffset>
            </wp:positionV>
            <wp:extent cx="7123430" cy="49377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23430" cy="4937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Noor Dar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+ 1 516-270-4009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mediarelations@bitfarms.com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8" w:right="339" w:bottom="172"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19" Type="http://schemas.openxmlformats.org/officeDocument/2006/relationships/hyperlink" Target="https://www.sec.gov/Archives/edgar/data/1812477/000121390023052498/ea180981-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2023-11-29T15:12:00Z</dcterms:created>
  <dcterms:modified xsi:type="dcterms:W3CDTF">2023-11-29T15:12:00Z</dcterms:modified>
</cp:coreProperties>
</file>