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General Instruction II.L. of Form F-10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333-272989</w:t>
      </w:r>
    </w:p>
    <w:p>
      <w:pPr>
        <w:spacing w:after="0" w:line="203" w:lineRule="exact"/>
        <w:rPr>
          <w:sz w:val="24"/>
          <w:szCs w:val="24"/>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SECOND AMENDED AND RESTATED PROSPECTUS SUPPLEMENT </w:t>
      </w:r>
      <w:r>
        <w:rPr>
          <w:rFonts w:ascii="Times New Roman" w:cs="Times New Roman" w:eastAsia="Times New Roman" w:hAnsi="Times New Roman"/>
          <w:sz w:val="18"/>
          <w:szCs w:val="18"/>
          <w:color w:val="auto"/>
        </w:rPr>
        <w:t>amending and restating the prospectus supplement dated March 8, 2024, as first amended and restated on October 4, 2024, to the short form base shelf prospectus dated November 10, 2023</w:t>
      </w:r>
    </w:p>
    <w:p>
      <w:pPr>
        <w:spacing w:after="0" w:line="388" w:lineRule="exact"/>
        <w:rPr>
          <w:sz w:val="24"/>
          <w:szCs w:val="24"/>
          <w:color w:val="auto"/>
        </w:rPr>
      </w:pPr>
    </w:p>
    <w:p>
      <w:pPr>
        <w:spacing w:after="0"/>
        <w:tabs>
          <w:tab w:leader="none" w:pos="9800" w:val="left"/>
        </w:tabs>
        <w:rPr>
          <w:sz w:val="20"/>
          <w:szCs w:val="20"/>
          <w:color w:val="auto"/>
        </w:rPr>
      </w:pPr>
      <w:r>
        <w:rPr>
          <w:rFonts w:ascii="Times New Roman" w:cs="Times New Roman" w:eastAsia="Times New Roman" w:hAnsi="Times New Roman"/>
          <w:sz w:val="18"/>
          <w:szCs w:val="18"/>
          <w:u w:val="single" w:color="auto"/>
          <w:color w:val="auto"/>
        </w:rPr>
        <w:t>New Issue</w:t>
      </w:r>
      <w:r>
        <w:rPr>
          <w:sz w:val="20"/>
          <w:szCs w:val="20"/>
          <w:color w:val="auto"/>
        </w:rPr>
        <w:tab/>
      </w:r>
      <w:r>
        <w:rPr>
          <w:rFonts w:ascii="Times New Roman" w:cs="Times New Roman" w:eastAsia="Times New Roman" w:hAnsi="Times New Roman"/>
          <w:sz w:val="18"/>
          <w:szCs w:val="18"/>
          <w:color w:val="auto"/>
        </w:rPr>
        <w:t>December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154305</wp:posOffset>
            </wp:positionV>
            <wp:extent cx="252031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US$86,913,570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amends and restates the prospectus supplement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dated March 8, 2024 (the “</w:t>
      </w:r>
      <w:r>
        <w:rPr>
          <w:rFonts w:ascii="Times New Roman" w:cs="Times New Roman" w:eastAsia="Times New Roman" w:hAnsi="Times New Roman"/>
          <w:sz w:val="18"/>
          <w:szCs w:val="18"/>
          <w:b w:val="1"/>
          <w:bCs w:val="1"/>
          <w:color w:val="auto"/>
        </w:rPr>
        <w:t>March Supplement</w:t>
      </w:r>
      <w:r>
        <w:rPr>
          <w:rFonts w:ascii="Times New Roman" w:cs="Times New Roman" w:eastAsia="Times New Roman" w:hAnsi="Times New Roman"/>
          <w:sz w:val="18"/>
          <w:szCs w:val="18"/>
          <w:color w:val="auto"/>
        </w:rPr>
        <w:t>”), as first amended and restated by the prospectus supplement dated October 4, 2024 (the “</w:t>
      </w:r>
      <w:r>
        <w:rPr>
          <w:rFonts w:ascii="Times New Roman" w:cs="Times New Roman" w:eastAsia="Times New Roman" w:hAnsi="Times New Roman"/>
          <w:sz w:val="18"/>
          <w:szCs w:val="18"/>
          <w:b w:val="1"/>
          <w:bCs w:val="1"/>
          <w:color w:val="auto"/>
        </w:rPr>
        <w:t>October Supplement</w:t>
      </w:r>
      <w:r>
        <w:rPr>
          <w:rFonts w:ascii="Times New Roman" w:cs="Times New Roman" w:eastAsia="Times New Roman" w:hAnsi="Times New Roman"/>
          <w:sz w:val="18"/>
          <w:szCs w:val="18"/>
          <w:color w:val="auto"/>
        </w:rPr>
        <w:t>”), and accordingly the information contained in this second amended and restated prospectus supplement supersedes the information contained in the March Supplement and the October Supplement. The March Supplement qualified the distribution of up to $375,000,000 of common shares in the capital of the Company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pursuant to an at the market offering agreement dated March 8, 2024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between the Company and H.C. Wainwright &amp; Co.,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To date, the Company has distributed 128,888,346 Common Shares under the Sales Agreement for gross proceeds of approximately $288,086,430. Accordingly, this prospectus supplement, together with the base shelf prospectus, hereby qualifies the distribution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up to $86,913,570 of Common Shares (each Common Share being qualified hereunder, an “</w:t>
      </w:r>
      <w:r>
        <w:rPr>
          <w:rFonts w:ascii="Times New Roman" w:cs="Times New Roman" w:eastAsia="Times New Roman" w:hAnsi="Times New Roman"/>
          <w:sz w:val="18"/>
          <w:szCs w:val="18"/>
          <w:b w:val="1"/>
          <w:bCs w:val="1"/>
          <w:color w:val="auto"/>
        </w:rPr>
        <w:t>Offered Share</w:t>
      </w:r>
      <w:r>
        <w:rPr>
          <w:rFonts w:ascii="Times New Roman" w:cs="Times New Roman" w:eastAsia="Times New Roman" w:hAnsi="Times New Roman"/>
          <w:sz w:val="18"/>
          <w:szCs w:val="18"/>
          <w:color w:val="auto"/>
        </w:rPr>
        <w:t>”) in accordance with the Sales Agreement. Pursuant to the Sales Agreement, the Company may distribute Offered Shares from time to time through the Agent, as the agent for distribution of the Offered Shares, in accordance with the terms of the Sales Agreement pursuant to the Offering. The Offering is being made in the United States under the terms of a registration statement on Form F-10 (File No. 333-272989)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as amended,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No Offered Shares will be sold under the Sales Agreement in Canada or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or any other trading markets in Canada.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7"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Common Shares are listed for trading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on the TSX under the symbol “BITF”. On December 16, 2024, being the last trading day prior to the date hereof, the closing prices of the Common Shares on the TSX and Nasdaq were C$2.99 and $2.10, respectively. The Company has submitted a notification of listing to list the Offered Shares on Nasdaq and has received conditional approval to list the Offered Shares on the TSX. Listing on Nasdaq and the TSX will be subject to the Company fulfilling all of the listing requirements of Nasdaq and the TSX, respectively.</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Agent, and no person or company acting jointly or in concert with an Agent, may, in connection with the Offering, enter into any transaction that is intended to stabilize or maintain the market price of the Offered Shares or securities of the same class as the Offered Shares, including selling an aggregate number or principal amount of securities that would result in the Agent creating an over-allocation position in the Offered Shares.</w:t>
      </w:r>
    </w:p>
    <w:p>
      <w:pPr>
        <w:spacing w:after="0" w:line="174"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the opinion of counsel, the Offered Shares, if issued on the date hereof, generally would be qualified investments under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for certain tax-exempt trusts. See </w:t>
      </w:r>
      <w:r>
        <w:rPr>
          <w:rFonts w:ascii="Times New Roman" w:cs="Times New Roman" w:eastAsia="Times New Roman" w:hAnsi="Times New Roman"/>
          <w:sz w:val="18"/>
          <w:szCs w:val="18"/>
          <w:i w:val="1"/>
          <w:iCs w:val="1"/>
          <w:color w:val="auto"/>
        </w:rPr>
        <w:t>“CERTAIN CANADIAN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acquisition, holding or disposition of the Offered Shares may have tax consequences in both Canada and the United States. Such consequences for investors who are resident in, or citizens of, the United States may not be described fully in this prospectus supplement. Prospective investors should read the tax discussion in this prospectus supplement and consult their own tax advisor with respect to their own particular circumstances. See “</w:t>
      </w:r>
      <w:r>
        <w:rPr>
          <w:rFonts w:ascii="Times New Roman" w:cs="Times New Roman" w:eastAsia="Times New Roman" w:hAnsi="Times New Roman"/>
          <w:sz w:val="18"/>
          <w:szCs w:val="18"/>
          <w:b w:val="1"/>
          <w:bCs w:val="1"/>
          <w:i w:val="1"/>
          <w:iCs w:val="1"/>
          <w:color w:val="auto"/>
        </w:rPr>
        <w:t>CERTAIN CANADIAN FEDERAL INCOME TAX CONSIDERATIONS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i w:val="1"/>
          <w:iCs w:val="1"/>
          <w:color w:val="auto"/>
        </w:rPr>
        <w:t>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U.S. FEDERAL INCOME TAX CONSIDERATIONS</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the Offered Shares is highly speculative and involves significant risks that you should consider before purchasing such securities. You should carefully review the risks outlined in this prospectus supplement and the accompanying base shelf prospectus and in the documents incorporated by reference as well as the information under the heading “Cautionary Note Regarding Forward-Looking Statements” and consider such risks and information in connection with an investment in the Offered Shares.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Prospective investors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(Delaware, U.S.A.), Backbone Hosting Solutions SAU (Argentina), D&amp;N Ingenieria SA (Paraguay), and Backbone Hosting Solutions Paraguay SA (Paraguay). In addition, certain of the Company’s directors and officers reside outside of Canada, namely: Benjamin Gagnon, Edith M. Hofmeister, Fanny Philip, Jeffrey Lucas and Andrew Chang reside outside of Canada and have appointed the Company at its registered office set forth below as their agent for service of process in Canada.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Address of Agent</w:t>
            </w:r>
          </w:p>
        </w:tc>
        <w:tc>
          <w:tcPr>
            <w:tcW w:w="0" w:type="dxa"/>
            <w:vAlign w:val="bottom"/>
          </w:tcPr>
          <w:p>
            <w:pPr>
              <w:spacing w:after="0"/>
              <w:rPr>
                <w:sz w:val="1"/>
                <w:szCs w:val="1"/>
                <w:color w:val="auto"/>
              </w:rPr>
            </w:pP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17"/>
                <w:szCs w:val="17"/>
                <w:color w:val="auto"/>
              </w:rPr>
            </w:pPr>
          </w:p>
        </w:tc>
        <w:tc>
          <w:tcPr>
            <w:tcW w:w="5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Bitfarms Ltd.</w:t>
            </w:r>
          </w:p>
        </w:tc>
        <w:tc>
          <w:tcPr>
            <w:tcW w:w="0" w:type="dxa"/>
            <w:vAlign w:val="bottom"/>
          </w:tcPr>
          <w:p>
            <w:pPr>
              <w:spacing w:after="0"/>
              <w:rPr>
                <w:sz w:val="1"/>
                <w:szCs w:val="1"/>
                <w:color w:val="auto"/>
              </w:rPr>
            </w:pPr>
          </w:p>
        </w:tc>
      </w:tr>
      <w:tr>
        <w:trPr>
          <w:trHeight w:val="10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110 Yonge Street, Suite 1601,</w:t>
            </w:r>
          </w:p>
        </w:tc>
        <w:tc>
          <w:tcPr>
            <w:tcW w:w="0" w:type="dxa"/>
            <w:vAlign w:val="bottom"/>
          </w:tcPr>
          <w:p>
            <w:pPr>
              <w:spacing w:after="0"/>
              <w:rPr>
                <w:sz w:val="1"/>
                <w:szCs w:val="1"/>
                <w:color w:val="auto"/>
              </w:rPr>
            </w:pPr>
          </w:p>
        </w:tc>
      </w:tr>
      <w:tr>
        <w:trPr>
          <w:trHeight w:val="10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Toronto, ON M5C 1T4</w:t>
            </w:r>
          </w:p>
        </w:tc>
        <w:tc>
          <w:tcPr>
            <w:tcW w:w="0" w:type="dxa"/>
            <w:vAlign w:val="bottom"/>
          </w:tcPr>
          <w:p>
            <w:pPr>
              <w:spacing w:after="0"/>
              <w:rPr>
                <w:sz w:val="1"/>
                <w:szCs w:val="1"/>
                <w:color w:val="auto"/>
              </w:rPr>
            </w:pPr>
          </w:p>
        </w:tc>
      </w:tr>
      <w:tr>
        <w:trPr>
          <w:trHeight w:val="126"/>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5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740" w:type="dxa"/>
            <w:vAlign w:val="bottom"/>
            <w:gridSpan w:val="2"/>
            <w:vMerge w:val="continue"/>
          </w:tcPr>
          <w:p>
            <w:pPr>
              <w:spacing w:after="0"/>
              <w:rPr>
                <w:sz w:val="7"/>
                <w:szCs w:val="7"/>
                <w:color w:val="auto"/>
              </w:rPr>
            </w:pPr>
          </w:p>
        </w:tc>
        <w:tc>
          <w:tcPr>
            <w:tcW w:w="5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Chang</w:t>
            </w: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not residents of the United States, that some or all of the agents or experts that may be named in the prospectus supplement and the accompanying base shelf prospectus may not be residents of the United States, and that all or a substantial portion of the assets of the Company and said persons may be located outside the United States.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THESE SECURITIES HAVE NOT BEEN APPROVED OR DISAPPROVED BY THE SEC NOR ANY STATE SECURITIES COMMISSION OR REGULATORY AUTHORITY NOR HAS THE SEC OR ANY STATE SECURITIES COMMISSION PASSED UPON THE ACCURACY OR ADEQUACY OF THE PROSPECTUS. ANY REPRESENTATION TO THE CONTRARY IS A CRIMINAL OFFENSE.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Offering is being made by a Canadian issuer that is permitted, under a multijurisdictional disclosure system adopted by the United States and Canada, to prepare this prospectus supplement and the accompanying base shelf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(“IFRS Accounting Standards”), and may be subject to foreign auditing and auditor independence standards, and thus may not be comparable to financial statements of United States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Upon delivery of a placement notice by the Company, if any, the Agent may sell the Offered Shares in the United States only. Such sales of Offered Shares, if any, under this prospectus supplement and the accompanying base shelf prospectus will only be made in transactions that are deemed to be “at-the-market distributions” or an “at-the-market” offering under applicable securities laws, including, without limitation, sales made directly on Nasdaq or any other recognized marketplace upon which the Common Shares are listed or quoted or where the Common Shares are traded in the United States. The sales, if any, of Offered Shares made under the Sales Agreement will be made by means of ordinary brokers’ transactions on Nasdaq or another existing trading market in the United States at market prices, or as otherwise agreed upon by the Company and the Agent. No Offered Shares will be offered or sold in Canada or on the TSX or any other trading market in Canada. The Agent is not required to sell any specific number or dollar amount of Common Shares but will use its commercially reasonable efforts, consistent with its normal sales and trading practices, to sell the Offered Shares under the terms and conditions of the Sales Agreement. In this offering, prices may vary as between purchasers and during the period of distribution. There is no minimum amount of funds that must be raised under the Offering. As a result, the Offering may terminate after only raising a small portion of the offering amount set out above, or none at all. See “</w:t>
      </w:r>
      <w:r>
        <w:rPr>
          <w:rFonts w:ascii="Times New Roman" w:cs="Times New Roman" w:eastAsia="Times New Roman" w:hAnsi="Times New Roman"/>
          <w:sz w:val="18"/>
          <w:szCs w:val="18"/>
          <w:b w:val="1"/>
          <w:bCs w:val="1"/>
          <w:i w:val="1"/>
          <w:iCs w:val="1"/>
          <w:color w:val="auto"/>
        </w:rPr>
        <w:t>PLAN OF DISTRIBUTION</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Company will pay the Agent a fee of 3.0% of the gross sales price per Offered Share sold through the Agent as the Company’s agent under the Sales Agreement (the “Broker Fee”). In addition, the Company has agreed to reimburse the Agent for certain expenses incurred by it in connection with the Sales Agreement as described under “</w:t>
      </w:r>
      <w:r>
        <w:rPr>
          <w:rFonts w:ascii="Times New Roman" w:cs="Times New Roman" w:eastAsia="Times New Roman" w:hAnsi="Times New Roman"/>
          <w:sz w:val="18"/>
          <w:szCs w:val="18"/>
          <w:b w:val="1"/>
          <w:bCs w:val="1"/>
          <w:i w:val="1"/>
          <w:iCs w:val="1"/>
          <w:color w:val="auto"/>
        </w:rPr>
        <w:t>PLAN OF DISTRIBUTION</w:t>
      </w:r>
      <w:r>
        <w:rPr>
          <w:rFonts w:ascii="Times New Roman" w:cs="Times New Roman" w:eastAsia="Times New Roman" w:hAnsi="Times New Roman"/>
          <w:sz w:val="18"/>
          <w:szCs w:val="18"/>
          <w:b w:val="1"/>
          <w:bCs w:val="1"/>
          <w:color w:val="auto"/>
        </w:rPr>
        <w:t>.” In connection with sales of the Offered Shares, the Agent may be deemed to be an “underwriter” within the meaning of the U.S. Securities Act of 1933, as amended (the “U.S. Securities Act”), and the compensation of the Agent may be deemed to be underwriting commissions or discounts. The Company has agreed to provide indemnification and contribution to the Agent against certain liabilities, including liabilities under the U.S. Securities Act.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Offered Shares is subject to certain risks that should be considered carefully by prospective purchasers. Please see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 in this prospectus supplement and the accompanying base shelf prospectus and the risk factors in the Company’s documents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are incorporated by reference herein for a description of risks involved in an investment in Offered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is located at 110 Yonge Street, Suite 1601, Toronto, ON M5C 1T4.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40" w:type="dxa"/>
            <w:vAlign w:val="bottom"/>
            <w:gridSpan w:val="20"/>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TABLE OF CONTENTS FOR THE PROSPECTUS SUPPLEMENT</w:t>
            </w:r>
          </w:p>
        </w:tc>
        <w:tc>
          <w:tcPr>
            <w:tcW w:w="100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7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IMPORTANT NOTICE</w:t>
            </w:r>
          </w:p>
        </w:tc>
        <w:tc>
          <w:tcPr>
            <w:tcW w:w="8500" w:type="dxa"/>
            <w:vAlign w:val="bottom"/>
            <w:tcBorders>
              <w:bottom w:val="single" w:sz="8" w:color="CCEEFF"/>
            </w:tcBorders>
            <w:gridSpan w:val="3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32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472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176"/>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8960" w:type="dxa"/>
            <w:vAlign w:val="bottom"/>
            <w:tcBorders>
              <w:top w:val="single" w:sz="8" w:color="CCEEFF"/>
            </w:tcBorders>
            <w:gridSpan w:val="3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3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736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PRIOR SALES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26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PROBABLE ACQUISITION</w:t>
            </w:r>
          </w:p>
        </w:tc>
        <w:tc>
          <w:tcPr>
            <w:tcW w:w="7620" w:type="dxa"/>
            <w:vAlign w:val="bottom"/>
            <w:tcBorders>
              <w:top w:val="single" w:sz="8" w:color="CCEEFF"/>
            </w:tcBorders>
            <w:gridSpan w:val="2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306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180" w:type="dxa"/>
            <w:vAlign w:val="bottom"/>
            <w:tcBorders>
              <w:top w:val="single" w:sz="8" w:color="CCEEFF"/>
            </w:tcBorders>
            <w:gridSpan w:val="1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FEDERAL INCOME TAX CONSIDERATIONS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5360" w:type="dxa"/>
            <w:vAlign w:val="bottom"/>
            <w:tcBorders>
              <w:top w:val="single" w:sz="8" w:color="0000EE"/>
            </w:tcBorders>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CERTAIN U.S. FEDERAL INCOME TAX CONSIDERATIONS</w:t>
            </w:r>
          </w:p>
        </w:tc>
        <w:tc>
          <w:tcPr>
            <w:tcW w:w="488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NAMES OF EXPERTS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61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AGENT FOR SERVICE OF PROCESS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EXEMPTIONS UNDER SECURITIES LAWS</w:t>
            </w:r>
          </w:p>
        </w:tc>
        <w:tc>
          <w:tcPr>
            <w:tcW w:w="682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SCHEDULE “A-1” PRO FORMA FINANCIAL INFORMATION</w:t>
            </w:r>
          </w:p>
        </w:tc>
        <w:tc>
          <w:tcPr>
            <w:tcW w:w="10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A-1</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860" w:type="dxa"/>
            <w:vAlign w:val="bottom"/>
            <w:tcBorders>
              <w:bottom w:val="single" w:sz="8" w:color="0000EE"/>
            </w:tcBorders>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SCHEDULE “A-2” STRONGHOLD DIGITAL MINING, INC. AUDITED CONSOLIDATED FINANCIAL STATEMENTS FOR THE</w:t>
            </w:r>
          </w:p>
        </w:tc>
        <w:tc>
          <w:tcPr>
            <w:tcW w:w="3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0000EE"/>
            </w:tcBorders>
            <w:gridSpan w:val="2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YEARS ENDED DECEMBER 31, 2023 AND 2022</w:t>
            </w:r>
          </w:p>
        </w:tc>
        <w:tc>
          <w:tcPr>
            <w:tcW w:w="6280" w:type="dxa"/>
            <w:vAlign w:val="bottom"/>
            <w:tcBorders>
              <w:bottom w:val="single" w:sz="8" w:color="CCEEFF"/>
            </w:tcBorders>
            <w:gridSpan w:val="12"/>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A-2</w:t>
            </w:r>
          </w:p>
        </w:tc>
      </w:tr>
      <w:tr>
        <w:trPr>
          <w:trHeight w:val="175"/>
        </w:trPr>
        <w:tc>
          <w:tcPr>
            <w:tcW w:w="9080" w:type="dxa"/>
            <w:vAlign w:val="bottom"/>
            <w:tcBorders>
              <w:bottom w:val="single" w:sz="8" w:color="0000EE"/>
            </w:tcBorders>
            <w:gridSpan w:val="37"/>
          </w:tcPr>
          <w:p>
            <w:pPr>
              <w:spacing w:after="0" w:line="176" w:lineRule="exact"/>
              <w:rPr>
                <w:sz w:val="20"/>
                <w:szCs w:val="20"/>
                <w:color w:val="auto"/>
              </w:rPr>
            </w:pPr>
            <w:r>
              <w:rPr>
                <w:rFonts w:ascii="Times New Roman" w:cs="Times New Roman" w:eastAsia="Times New Roman" w:hAnsi="Times New Roman"/>
                <w:sz w:val="18"/>
                <w:szCs w:val="18"/>
                <w:color w:val="0000EE"/>
                <w:w w:val="99"/>
              </w:rPr>
              <w:t>SCHEDULE “A-3” STRONGHOLD DIGITAL MINING, INC. RESTATED UNAUDITED CONSOLIDATED FINANCIAL</w:t>
            </w:r>
          </w:p>
        </w:tc>
        <w:tc>
          <w:tcPr>
            <w:tcW w:w="11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0080" w:type="dxa"/>
            <w:vAlign w:val="bottom"/>
            <w:gridSpan w:val="38"/>
          </w:tcPr>
          <w:p>
            <w:pPr>
              <w:ind w:left="20"/>
              <w:spacing w:after="0" w:line="196" w:lineRule="exact"/>
              <w:rPr>
                <w:sz w:val="20"/>
                <w:szCs w:val="20"/>
                <w:color w:val="auto"/>
              </w:rPr>
            </w:pPr>
            <w:r>
              <w:rPr>
                <w:rFonts w:ascii="Times New Roman" w:cs="Times New Roman" w:eastAsia="Times New Roman" w:hAnsi="Times New Roman"/>
                <w:sz w:val="18"/>
                <w:szCs w:val="18"/>
                <w:color w:val="0000EE"/>
              </w:rPr>
              <w:t>STATEMENTS FOR THE THREE AND NINE MONTHS ENDED SEPTEMBER 30, 2024 AND 2023</w:t>
            </w:r>
          </w:p>
        </w:tc>
        <w:tc>
          <w:tcPr>
            <w:tcW w:w="100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A-3</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gridSpan w:val="17"/>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TABLE OF CONTENTS FOR THE SHELF PROSPECTUS</w:t>
            </w:r>
          </w:p>
        </w:tc>
        <w:tc>
          <w:tcPr>
            <w:tcW w:w="10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2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32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472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8960" w:type="dxa"/>
            <w:vAlign w:val="bottom"/>
            <w:tcBorders>
              <w:top w:val="single" w:sz="8" w:color="CCEEFF"/>
            </w:tcBorders>
            <w:gridSpan w:val="3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SECONDARY OFFERING BY SELLING SECURITYHOLDERS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4860" w:type="dxa"/>
            <w:vAlign w:val="bottom"/>
            <w:tcBorders>
              <w:top w:val="single" w:sz="8" w:color="0000EE"/>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380" w:type="dxa"/>
            <w:vAlign w:val="bottom"/>
            <w:tcBorders>
              <w:top w:val="single" w:sz="8" w:color="CCEEFF"/>
            </w:tcBorders>
            <w:gridSpan w:val="8"/>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9100" w:type="dxa"/>
            <w:vAlign w:val="bottom"/>
            <w:tcBorders>
              <w:bottom w:val="single" w:sz="8" w:color="CCEEFF"/>
            </w:tcBorders>
            <w:gridSpan w:val="3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EARNINGS COVERAGE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20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RECEIPTS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PURCHASE CONTRACTS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4180" w:type="dxa"/>
            <w:vAlign w:val="bottom"/>
            <w:tcBorders>
              <w:top w:val="single" w:sz="8" w:color="0000EE"/>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06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350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740" w:type="dxa"/>
            <w:vAlign w:val="bottom"/>
            <w:tcBorders>
              <w:top w:val="single" w:sz="8" w:color="CCEEFF"/>
            </w:tcBorders>
            <w:gridSpan w:val="1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61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1024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AGENTS FOR SERVICE OF PROCESS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UNDER SECURITIES LAWS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securities the Company is offering and the method of distribution of such securities and also adds to and updates certain information contained in the accompanying base shelf prospectus and the documents incorporated by reference herein and therein. The second part, the base shelf prospectus, gives more general information, some of which may not apply to the Offered Shares. This prospectus supplement is deemed to be incorporated by reference into the base shelf prospectus solely for the purposes of the Offering. This prospectus supplement may add, update or change information contained in the accompanying base shelf prospectus or any of the documents incorporated by reference herein or therein. To the extent that any statement made in this prospectus supplement is inconsistent with statements made in the accompanying base shelf prospectus or any documents incorporated by reference herein or therein filed prior to the date of this prospectus supplement, the statements made in this prospectus supplement will be deemed to modify or supersede those made in the accompanying base shelf prospectus and such documents incorporated by reference herein or therein.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base shelf prospectus. The Company and the Agent have not authorized anyone to provide you with different or additional information. If anyone provides you with different or additional information, you should not rely on it. The Company is not making an offer to sell or seeking an offer to buy the securities offered pursuant to this prospectus in any jurisdiction where such offer or sale is not permitted. The distribution of this prospectus supplement and the Offering in certain jurisdictions may be restricted by law. You should assume that the information contained in this prospectus supplement, the accompanying base shelf prospectus and the documents incorporated by reference herein and therein is accurate only as of its respective date, regardless of the time of delivery of the base shelf prospectus, this prospectus supplement or any amendment thereto, or of any sale of the Offered Shares. The Company’s business, financial condition, results of operations and prospects may have changed since those dates. The Company does not undertake to update the information contained or incorporated by reference herein, except as required by applicable Canadian and U.S. securities laws.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the information requirements of the United States Securities Exchange Act of 1934, as amended (the “</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and applicable Canadian securities legislation, and, in accordance therewith, the Company files reports and other information with the SEC and with the securities regulatory authorities in each of the provinces of Canada. Under a multijurisdictional disclosure system adopted by the United States and Canada, the Company may generally prepare those reports and other information in accordance with the Canadian disclosure requirements. Those requirements are different from those of the United States. As a foreign private issuer, the Company is exempt from the rules under the U.S. Exchange Act prescribing the furnishing and content of proxy statements, and the Company’s officers, directors and principal shareholders are exempt from the reporting and short-swing profit recovery provisions contained in Section 16 of the U.S. Exchange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This prospectus supplement shall not be used for anyone for any purpose other than in connection with the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prospectus supplement, unless otherwise indicated, all dollar amounts and references to “US$” or “$” are to United States dollars and references to “C$” are to Canadian dollars. This prospectus supplement and the documents incorporated by reference contain translations of certain United States dollar amounts into Canadian dollars solely for your convenience. See “</w:t>
      </w:r>
      <w:r>
        <w:rPr>
          <w:rFonts w:ascii="Times New Roman" w:cs="Times New Roman" w:eastAsia="Times New Roman" w:hAnsi="Times New Roman"/>
          <w:sz w:val="18"/>
          <w:szCs w:val="18"/>
          <w:i w:val="1"/>
          <w:iCs w:val="1"/>
          <w:color w:val="auto"/>
        </w:rPr>
        <w:t>CURRENCY PRESENTATION AND EXCHANGE RATE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statements and other information contained in this prospectus constitute “forward-looking information” under Canadian Securities Laws and “forward-looking statements” under United States securities laws (collectively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Such forward-looking statements include, but are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 of cryptocurrencies, such as Bitcoin and the other types of digital assets which Bitfarms and its subsidiaries may earn, hold and trade;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intended use of net proceeds from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Offered Shares the Company intends to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pricing for services and solutions in the businesses of the Company and its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market price of the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sufficiency of its capital resources and requirements for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decrease of the market price of the Common Shares if the Company’s shareholders sell substantial amounts of Common Shares;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sales or issuances of equity securities diluting voting power and reducing future earnings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governmental laws and regulations, including tax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new or existing global pandemics;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Merger (as defined herein) and consummation of the Stronghold Merger.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document are based on what the Company currently believes are reasonable assumptions, including the material assumptions set out in the Company’s applicable annual information form and management discussion and analysis. These documents are available electronically under the Company’s Canadian System for Electronic Document Analysis and Retrieval (“</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profile at www.sedarplus.ca and through the SEC’s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at the SEC’s website at www.sec.gov. Other material factors or assumptions that were applied in formulating the forward-looking statements contained herein include or relate to the following:</w:t>
      </w:r>
    </w:p>
    <w:p>
      <w:pPr>
        <w:spacing w:after="0" w:line="183"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economic conditions affecting the Company’s operations in their current state, including, general levels of economic activity, regulations, taxes and interest rates;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profitably produce the computational power sold to Mining Pools (as defined herein) to solve block regards, which may be paid in Bitcoin, United States dollars, or other currency;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acquire and maintain required regulatory licenses and qualifications;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prices of cryptocurrencies;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cryptocurrency and blockchain markets and sectors;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good business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and integrate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identify, hire and retain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sufficient debt or equity financing to support the Company’s continued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suffer a material impact or disruption from a cybersecurity incident, cyber-attack or theft of digital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maintenance and development of cryptocurrency Mining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usage and in the blockchain for various applications;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 stable public infrastructure, with the necessary speed, data capacity and security required to operate blockchain networks;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adverse regulation or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changes in the legislative, regulatory or operating framework for the Company’s existing and anticipated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satisfy the conditions required to close the Stronghold Merger;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the occurrence of any event, change or other circumstance that could give rise to the termination of the Stronghold Merger or require the Company to modify the terms and conditions of the Stronghold Merger;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consummate the Stronghold Merger without delays;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achieve all or any of the anticipated benefits and synergies of the Stronghold Merger.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Inherent in forward-looking statements are risks, uncertainties and other factors beyond the Company’s ability to predict or control. Some of the risks or factors that could cause outcomes and results to differ materially from those expressed in the forward-looking statements include: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 and expansion;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to consummate the Stronghold Merger and the failure to consummate or delays in consummating the Stronghold Merger;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the conditions required to consummate the Stronghold Merger;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Stronghold Merger or otherwise require the Company to modify the terms and conditions of the Stronghold Merger, including to achieve regulatory or stockholder approval;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 successfully and risks of not achieving all or any of the anticipated benefits and synergies of the Stronghold Merger, or the risk that the anticipated benefits and synergies of the Stronghold Merger may not be fully realized or take longer to realize than expected;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or delays in connection with or with respect to the Stronghold Merger;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Stronghold Merger that may impact the ability of Bitfarms to pursue certain business opportunities or strategic transactions;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price volatility of cryptocurrencies;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uncertainty of additional financing and dilution;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bitcoin Mining algorithms transitioning to proof of stake validation;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history of de-centralized financial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network difficulty and impact of increased global computing power;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profits/losses and production revenues/expenses;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failure of cryptocurrency exchanges, custodians and other trading venues;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and demands upon management and accounting and finance resources as a result of complying with the laws and regulations affecting public companies;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Mining risks;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Mining Pool;</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agreements governed by foreign laws;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and/or widespread use of cryptocurrency is uncertain;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legislation and scrutiny regarding human rights issues;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 and similar legislation;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 risks;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of the Company being classified as a Passive Foreign Investment Company;</w:t>
      </w:r>
    </w:p>
    <w:p>
      <w:pPr>
        <w:spacing w:after="0" w:line="21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9" w:name="page10"/>
    <w:bookmarkEnd w:id="9"/>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and infectious disease risk (including Covid-19);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 and other challenges in Argentina and/or Paraguay;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of Argentina and Paraguay economies to external shocks;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corruption and anti-corruption laws in operating locations;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of tax rates, capital controls and foreign exchange restrictions in Argentina;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over use of proceeds;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public market for certain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changes in interest rates on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fluctuations in foreign currency markets on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 of common shares and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proceeds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certainty regarding the net proceeds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likely to pay different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enforcement of civil judgments;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 is not guaranteed;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unsolicited take-over bids;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potential adverse U.S. federal income tax consequences to United States persons.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on these and other factors is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in the accompanying base shelf prospectus and in the documents incorporated by reference herein including in the 2023 MD&amp;A (as defined herein) under the headings “Financial Instruments and Risks” and “Other Risks”, in the Q3 2024 MD&amp;A (as defined herein) under the heading “Risk Factors” and in the 2023 AIF (as defined herein) under the heading “Risk Factors”, as may be modified or superseded by other subsequently filed documents that are also incorporated or deemed to be incorporated by reference in this prospectus supplement.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expressly qualified by this cautionary statement. Except as required by law, the Company does not undertake any obligation to publicly update or revise any forward-looking statements, whether as a result of new information, future events or otherwise.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has been incorporated by reference in this prospectus supplement and the accompanying base shelf prospectus from documents filed with the securities commissions or similar authorities in Canada and filed with, or furnished to, the SEC.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Copies of the documents incorporated herein by reference may be obtained on request without charge from the Chief Financial Officer of Bitfarms at 110 Yonge Street, Suite 1601, Toronto, ON M5C 1T4 (Telephone 647 259-1790) Attn: Chief Financial Officer. Such documents are also available without charge on SEDAR+ at www.sedarplus.ca or through EDGAR at the SEC’s website at www.sec.gov. The filings of the Company available on SEDAR+ and EDGAR are not incorporated by reference in this prospectus except as specifically set out 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hereof, the following documents, filed by the Company with securities commissions or similar authorities in each of the provinces of Canada and filed with, or furnished to, the SEC, are specifically incorporated by reference in, and form an integral part of, this prospectus supplement and the accompanying base shelf prospectus:</w:t>
      </w:r>
    </w:p>
    <w:p>
      <w:pPr>
        <w:spacing w:after="0" w:line="17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information form for the year ended </w:t>
      </w:r>
      <w:hyperlink r:id="rId19">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dated March 6, 2024 (the “</w:t>
      </w:r>
      <w:r>
        <w:rPr>
          <w:rFonts w:ascii="Times New Roman" w:cs="Times New Roman" w:eastAsia="Times New Roman" w:hAnsi="Times New Roman"/>
          <w:sz w:val="18"/>
          <w:szCs w:val="18"/>
          <w:b w:val="1"/>
          <w:bCs w:val="1"/>
          <w:color w:val="auto"/>
        </w:rPr>
        <w:t>2023 AIF</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restated audited consolidated financial statements as at and for the years ended </w:t>
      </w:r>
      <w:hyperlink r:id="rId20">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2022, the notes thereto and the Report of Independent Registered Public Accounting Firm thereon (the “</w:t>
      </w:r>
      <w:r>
        <w:rPr>
          <w:rFonts w:ascii="Times New Roman" w:cs="Times New Roman" w:eastAsia="Times New Roman" w:hAnsi="Times New Roman"/>
          <w:sz w:val="18"/>
          <w:szCs w:val="18"/>
          <w:b w:val="1"/>
          <w:bCs w:val="1"/>
          <w:color w:val="auto"/>
        </w:rPr>
        <w:t>2023 Annual Financial Statements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restated unaudited interim condensed consolidated financial statements as at </w:t>
      </w:r>
      <w:hyperlink r:id="rId21">
        <w:r>
          <w:rPr>
            <w:rFonts w:ascii="Times New Roman" w:cs="Times New Roman" w:eastAsia="Times New Roman" w:hAnsi="Times New Roman"/>
            <w:sz w:val="18"/>
            <w:szCs w:val="18"/>
            <w:u w:val="single" w:color="auto"/>
            <w:color w:val="0000EE"/>
          </w:rPr>
          <w:t>September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for the three and nine months ended September 30, 2024 and 2023;</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restated management’s discussion and analysis for the year ended </w:t>
      </w:r>
      <w:hyperlink r:id="rId22">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2023 MD&amp;A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management’s discussion and analysis for the three and nine months ended S</w:t>
      </w:r>
      <w:hyperlink r:id="rId23">
        <w:r>
          <w:rPr>
            <w:rFonts w:ascii="Times New Roman" w:cs="Times New Roman" w:eastAsia="Times New Roman" w:hAnsi="Times New Roman"/>
            <w:sz w:val="18"/>
            <w:szCs w:val="18"/>
            <w:u w:val="single" w:color="auto"/>
            <w:color w:val="0000EE"/>
          </w:rPr>
          <w:t>eptember 30, 2024</w:t>
        </w:r>
      </w:hyperlink>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Q3 2024 MD&amp;A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management information circular dated </w:t>
      </w:r>
      <w:hyperlink r:id="rId24">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respect to an annual general and special meeting of shareholders held on May 31,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management information circular dated </w:t>
      </w:r>
      <w:hyperlink r:id="rId25">
        <w:r>
          <w:rPr>
            <w:rFonts w:ascii="Times New Roman" w:cs="Times New Roman" w:eastAsia="Times New Roman" w:hAnsi="Times New Roman"/>
            <w:sz w:val="18"/>
            <w:szCs w:val="18"/>
            <w:u w:val="single" w:color="auto"/>
            <w:color w:val="0000EE"/>
          </w:rPr>
          <w:t>October 17,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respect to a special meeting of shareholders held on November 20,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news release of the Company dated </w:t>
      </w:r>
      <w:hyperlink r:id="rId26">
        <w:r>
          <w:rPr>
            <w:rFonts w:ascii="Times New Roman" w:cs="Times New Roman" w:eastAsia="Times New Roman" w:hAnsi="Times New Roman"/>
            <w:sz w:val="18"/>
            <w:szCs w:val="18"/>
            <w:u w:val="single" w:color="auto"/>
            <w:color w:val="0000EE"/>
          </w:rPr>
          <w:t>August 21,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
        <w:r>
          <w:rPr>
            <w:rFonts w:ascii="Times New Roman" w:cs="Times New Roman" w:eastAsia="Times New Roman" w:hAnsi="Times New Roman"/>
            <w:sz w:val="18"/>
            <w:szCs w:val="18"/>
            <w:u w:val="single" w:color="auto"/>
            <w:color w:val="0000EE"/>
          </w:rPr>
          <w:t>January 2, 2024</w:t>
        </w:r>
      </w:hyperlink>
      <w:r>
        <w:rPr>
          <w:rFonts w:ascii="Times New Roman" w:cs="Times New Roman" w:eastAsia="Times New Roman" w:hAnsi="Times New Roman"/>
          <w:sz w:val="18"/>
          <w:szCs w:val="18"/>
          <w:color w:val="auto"/>
        </w:rPr>
        <w:t>, relating to the Company’s December 2023 monthly update;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8">
        <w:r>
          <w:rPr>
            <w:rFonts w:ascii="Times New Roman" w:cs="Times New Roman" w:eastAsia="Times New Roman" w:hAnsi="Times New Roman"/>
            <w:sz w:val="18"/>
            <w:szCs w:val="18"/>
            <w:u w:val="single" w:color="auto"/>
            <w:color w:val="0000EE"/>
          </w:rPr>
          <w:t>January 24, 2024</w:t>
        </w:r>
      </w:hyperlink>
      <w:r>
        <w:rPr>
          <w:rFonts w:ascii="Times New Roman" w:cs="Times New Roman" w:eastAsia="Times New Roman" w:hAnsi="Times New Roman"/>
          <w:sz w:val="18"/>
          <w:szCs w:val="18"/>
          <w:color w:val="auto"/>
        </w:rPr>
        <w:t>, relating to the Company’s purchase of land in Yguazu, Paraguay;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9">
        <w:r>
          <w:rPr>
            <w:rFonts w:ascii="Times New Roman" w:cs="Times New Roman" w:eastAsia="Times New Roman" w:hAnsi="Times New Roman"/>
            <w:sz w:val="18"/>
            <w:szCs w:val="18"/>
            <w:u w:val="single" w:color="auto"/>
            <w:color w:val="0000EE"/>
          </w:rPr>
          <w:t>February 1, 2024</w:t>
        </w:r>
      </w:hyperlink>
      <w:r>
        <w:rPr>
          <w:rFonts w:ascii="Times New Roman" w:cs="Times New Roman" w:eastAsia="Times New Roman" w:hAnsi="Times New Roman"/>
          <w:sz w:val="18"/>
          <w:szCs w:val="18"/>
          <w:color w:val="auto"/>
        </w:rPr>
        <w:t>, relating to the Company’s January 2024 monthly update;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0">
        <w:r>
          <w:rPr>
            <w:rFonts w:ascii="Times New Roman" w:cs="Times New Roman" w:eastAsia="Times New Roman" w:hAnsi="Times New Roman"/>
            <w:sz w:val="18"/>
            <w:szCs w:val="18"/>
            <w:u w:val="single" w:color="auto"/>
            <w:color w:val="0000EE"/>
          </w:rPr>
          <w:t>March 1, 2024</w:t>
        </w:r>
      </w:hyperlink>
      <w:r>
        <w:rPr>
          <w:rFonts w:ascii="Times New Roman" w:cs="Times New Roman" w:eastAsia="Times New Roman" w:hAnsi="Times New Roman"/>
          <w:sz w:val="18"/>
          <w:szCs w:val="18"/>
          <w:color w:val="auto"/>
        </w:rPr>
        <w:t>, relating to the Company’s February 2024 monthly update;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1">
        <w:r>
          <w:rPr>
            <w:rFonts w:ascii="Times New Roman" w:cs="Times New Roman" w:eastAsia="Times New Roman" w:hAnsi="Times New Roman"/>
            <w:sz w:val="18"/>
            <w:szCs w:val="18"/>
            <w:u w:val="single" w:color="auto"/>
            <w:color w:val="0000EE"/>
          </w:rPr>
          <w:t>March 7, 2024</w:t>
        </w:r>
      </w:hyperlink>
      <w:r>
        <w:rPr>
          <w:rFonts w:ascii="Times New Roman" w:cs="Times New Roman" w:eastAsia="Times New Roman" w:hAnsi="Times New Roman"/>
          <w:sz w:val="18"/>
          <w:szCs w:val="18"/>
          <w:color w:val="auto"/>
        </w:rPr>
        <w:t>, relating to the Company’s reporting of its results for the quarter and year ended December 31,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2">
        <w:r>
          <w:rPr>
            <w:rFonts w:ascii="Times New Roman" w:cs="Times New Roman" w:eastAsia="Times New Roman" w:hAnsi="Times New Roman"/>
            <w:sz w:val="18"/>
            <w:szCs w:val="18"/>
            <w:u w:val="single" w:color="auto"/>
            <w:color w:val="0000EE"/>
          </w:rPr>
          <w:t>March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$375 million at-the-market equity offering program;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3">
        <w:r>
          <w:rPr>
            <w:rFonts w:ascii="Times New Roman" w:cs="Times New Roman" w:eastAsia="Times New Roman" w:hAnsi="Times New Roman"/>
            <w:sz w:val="18"/>
            <w:szCs w:val="18"/>
            <w:u w:val="single" w:color="auto"/>
            <w:color w:val="0000EE"/>
          </w:rPr>
          <w:t>March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purchase of additional miners;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4">
        <w:r>
          <w:rPr>
            <w:rFonts w:ascii="Times New Roman" w:cs="Times New Roman" w:eastAsia="Times New Roman" w:hAnsi="Times New Roman"/>
            <w:sz w:val="18"/>
            <w:szCs w:val="18"/>
            <w:u w:val="single" w:color="auto"/>
            <w:color w:val="0000EE"/>
          </w:rPr>
          <w:t>March 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chief executive officer transition;</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6">
        <w:r>
          <w:rPr>
            <w:rFonts w:ascii="Times New Roman" w:cs="Times New Roman" w:eastAsia="Times New Roman" w:hAnsi="Times New Roman"/>
            <w:sz w:val="18"/>
            <w:szCs w:val="18"/>
            <w:u w:val="single" w:color="auto"/>
            <w:color w:val="0000EE"/>
          </w:rPr>
          <w:t>April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March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material change report dated </w:t>
      </w:r>
      <w:hyperlink r:id="rId37">
        <w:r>
          <w:rPr>
            <w:rFonts w:ascii="Times New Roman" w:cs="Times New Roman" w:eastAsia="Times New Roman" w:hAnsi="Times New Roman"/>
            <w:sz w:val="17"/>
            <w:szCs w:val="17"/>
            <w:u w:val="single" w:color="auto"/>
            <w:color w:val="0000EE"/>
          </w:rPr>
          <w:t>April 12,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relating to the completion of the Company’s fleet upgrade at the Garlock and Farnham facilities;</w:t>
      </w:r>
    </w:p>
    <w:p>
      <w:pPr>
        <w:spacing w:after="0" w:line="236"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8">
        <w:r>
          <w:rPr>
            <w:rFonts w:ascii="Times New Roman" w:cs="Times New Roman" w:eastAsia="Times New Roman" w:hAnsi="Times New Roman"/>
            <w:sz w:val="18"/>
            <w:szCs w:val="18"/>
            <w:u w:val="single" w:color="auto"/>
            <w:color w:val="0000EE"/>
          </w:rPr>
          <w:t>May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April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39">
        <w:r>
          <w:rPr>
            <w:rFonts w:ascii="Times New Roman" w:cs="Times New Roman" w:eastAsia="Times New Roman" w:hAnsi="Times New Roman"/>
            <w:sz w:val="18"/>
            <w:szCs w:val="18"/>
            <w:u w:val="single" w:color="auto"/>
            <w:color w:val="0000EE"/>
          </w:rPr>
          <w:t>May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acceleration of the Company’s chief executive officer transition;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0">
        <w:r>
          <w:rPr>
            <w:rFonts w:ascii="Times New Roman" w:cs="Times New Roman" w:eastAsia="Times New Roman" w:hAnsi="Times New Roman"/>
            <w:sz w:val="18"/>
            <w:szCs w:val="18"/>
            <w:u w:val="single" w:color="auto"/>
            <w:color w:val="0000EE"/>
          </w:rPr>
          <w:t>May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increase in power capacity at the Yguazu facility in Paraguay;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1">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first quarter 2024 results;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2">
        <w:r>
          <w:rPr>
            <w:rFonts w:ascii="Times New Roman" w:cs="Times New Roman" w:eastAsia="Times New Roman" w:hAnsi="Times New Roman"/>
            <w:sz w:val="18"/>
            <w:szCs w:val="18"/>
            <w:u w:val="single" w:color="auto"/>
            <w:color w:val="0000EE"/>
          </w:rPr>
          <w:t>May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response to an unsolicited proposal by Riot Platforms, Inc.;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3">
        <w:r>
          <w:rPr>
            <w:rFonts w:ascii="Times New Roman" w:cs="Times New Roman" w:eastAsia="Times New Roman" w:hAnsi="Times New Roman"/>
            <w:sz w:val="18"/>
            <w:szCs w:val="18"/>
            <w:u w:val="single" w:color="auto"/>
            <w:color w:val="0000EE"/>
          </w:rPr>
          <w:t>May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results of the Company’s annual general and special meeting of shareholders;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4">
        <w:r>
          <w:rPr>
            <w:rFonts w:ascii="Times New Roman" w:cs="Times New Roman" w:eastAsia="Times New Roman" w:hAnsi="Times New Roman"/>
            <w:sz w:val="18"/>
            <w:szCs w:val="18"/>
            <w:u w:val="single" w:color="auto"/>
            <w:color w:val="0000EE"/>
          </w:rPr>
          <w:t>June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May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5">
        <w:r>
          <w:rPr>
            <w:rFonts w:ascii="Times New Roman" w:cs="Times New Roman" w:eastAsia="Times New Roman" w:hAnsi="Times New Roman"/>
            <w:sz w:val="18"/>
            <w:szCs w:val="18"/>
            <w:u w:val="single" w:color="auto"/>
            <w:color w:val="0000EE"/>
          </w:rPr>
          <w:t>June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adoption of a shareholder rights plan;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6">
        <w:r>
          <w:rPr>
            <w:rFonts w:ascii="Times New Roman" w:cs="Times New Roman" w:eastAsia="Times New Roman" w:hAnsi="Times New Roman"/>
            <w:sz w:val="18"/>
            <w:szCs w:val="18"/>
            <w:u w:val="single" w:color="auto"/>
            <w:color w:val="0000EE"/>
          </w:rPr>
          <w:t>June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TSX deferral of consideration of a shareholder rights plan;</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jc w:val="center"/>
        <w:ind w:right="132"/>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8"/>
          </w:cols>
          <w:pgMar w:left="652" w:top="904" w:right="519" w:bottom="1440" w:gutter="0" w:footer="0" w:header="0"/>
        </w:sectPr>
      </w:pPr>
    </w:p>
    <w:bookmarkStart w:id="12" w:name="page13"/>
    <w:bookmarkEnd w:id="12"/>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8">
        <w:r>
          <w:rPr>
            <w:rFonts w:ascii="Times New Roman" w:cs="Times New Roman" w:eastAsia="Times New Roman" w:hAnsi="Times New Roman"/>
            <w:sz w:val="18"/>
            <w:szCs w:val="18"/>
            <w:u w:val="single" w:color="auto"/>
            <w:color w:val="0000EE"/>
          </w:rPr>
          <w:t>June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 statement by the Company regarding the ongoing strategic alternatives review process;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49">
        <w:r>
          <w:rPr>
            <w:rFonts w:ascii="Times New Roman" w:cs="Times New Roman" w:eastAsia="Times New Roman" w:hAnsi="Times New Roman"/>
            <w:sz w:val="18"/>
            <w:szCs w:val="18"/>
            <w:u w:val="single" w:color="auto"/>
            <w:color w:val="0000EE"/>
          </w:rPr>
          <w:t>June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agreement by the Company to develop up to 120 MW of power capacity in the United States;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0">
        <w:r>
          <w:rPr>
            <w:rFonts w:ascii="Times New Roman" w:cs="Times New Roman" w:eastAsia="Times New Roman" w:hAnsi="Times New Roman"/>
            <w:sz w:val="18"/>
            <w:szCs w:val="18"/>
            <w:u w:val="single" w:color="auto"/>
            <w:color w:val="0000EE"/>
          </w:rPr>
          <w:t>June 24,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requisition by Riot Platforms, Inc. of a special shareholder meeting;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1">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appointment of Fanny Philip to the board of directors;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2">
        <w:r>
          <w:rPr>
            <w:rFonts w:ascii="Times New Roman" w:cs="Times New Roman" w:eastAsia="Times New Roman" w:hAnsi="Times New Roman"/>
            <w:sz w:val="18"/>
            <w:szCs w:val="18"/>
            <w:u w:val="single" w:color="auto"/>
            <w:color w:val="0000EE"/>
          </w:rPr>
          <w:t>July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June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3">
        <w:r>
          <w:rPr>
            <w:rFonts w:ascii="Times New Roman" w:cs="Times New Roman" w:eastAsia="Times New Roman" w:hAnsi="Times New Roman"/>
            <w:sz w:val="18"/>
            <w:szCs w:val="18"/>
            <w:u w:val="single" w:color="auto"/>
            <w:color w:val="0000EE"/>
          </w:rPr>
          <w:t>July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appointment of Ben Gagnon as chief executive officer;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4">
        <w:r>
          <w:rPr>
            <w:rFonts w:ascii="Times New Roman" w:cs="Times New Roman" w:eastAsia="Times New Roman" w:hAnsi="Times New Roman"/>
            <w:sz w:val="18"/>
            <w:szCs w:val="18"/>
            <w:u w:val="single" w:color="auto"/>
            <w:color w:val="0000EE"/>
          </w:rPr>
          <w:t>July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date of the special meeting of shareholders;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5">
        <w:r>
          <w:rPr>
            <w:rFonts w:ascii="Times New Roman" w:cs="Times New Roman" w:eastAsia="Times New Roman" w:hAnsi="Times New Roman"/>
            <w:sz w:val="18"/>
            <w:szCs w:val="18"/>
            <w:u w:val="single" w:color="auto"/>
            <w:color w:val="0000EE"/>
          </w:rPr>
          <w:t>July 24,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decision by the Ontario Securities Commission Capital Markets Tribunal;</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6">
        <w:r>
          <w:rPr>
            <w:rFonts w:ascii="Times New Roman" w:cs="Times New Roman" w:eastAsia="Times New Roman" w:hAnsi="Times New Roman"/>
            <w:sz w:val="18"/>
            <w:szCs w:val="18"/>
            <w:u w:val="single" w:color="auto"/>
            <w:color w:val="0000EE"/>
          </w:rPr>
          <w:t>July 26,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TSX deferral of consideration of a shareholder rights plan;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7">
        <w:r>
          <w:rPr>
            <w:rFonts w:ascii="Times New Roman" w:cs="Times New Roman" w:eastAsia="Times New Roman" w:hAnsi="Times New Roman"/>
            <w:sz w:val="18"/>
            <w:szCs w:val="18"/>
            <w:u w:val="single" w:color="auto"/>
            <w:color w:val="0000EE"/>
          </w:rPr>
          <w:t>August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July 2024 monthly update;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8">
        <w:r>
          <w:rPr>
            <w:rFonts w:ascii="Times New Roman" w:cs="Times New Roman" w:eastAsia="Times New Roman" w:hAnsi="Times New Roman"/>
            <w:sz w:val="18"/>
            <w:szCs w:val="18"/>
            <w:u w:val="single" w:color="auto"/>
            <w:color w:val="0000EE"/>
          </w:rPr>
          <w:t>August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second quarter 2024 results;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59">
        <w:r>
          <w:rPr>
            <w:rFonts w:ascii="Times New Roman" w:cs="Times New Roman" w:eastAsia="Times New Roman" w:hAnsi="Times New Roman"/>
            <w:sz w:val="18"/>
            <w:szCs w:val="18"/>
            <w:u w:val="single" w:color="auto"/>
            <w:color w:val="0000EE"/>
          </w:rPr>
          <w:t>August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board of directors and leadership updates;</w:t>
      </w:r>
    </w:p>
    <w:p>
      <w:pPr>
        <w:spacing w:after="0" w:line="221"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0">
        <w:r>
          <w:rPr>
            <w:rFonts w:ascii="Times New Roman" w:cs="Times New Roman" w:eastAsia="Times New Roman" w:hAnsi="Times New Roman"/>
            <w:sz w:val="18"/>
            <w:szCs w:val="18"/>
            <w:u w:val="single" w:color="auto"/>
            <w:color w:val="0000EE"/>
          </w:rPr>
          <w:t>August 21,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agreement (the “</w:t>
      </w:r>
      <w:r>
        <w:rPr>
          <w:rFonts w:ascii="Times New Roman" w:cs="Times New Roman" w:eastAsia="Times New Roman" w:hAnsi="Times New Roman"/>
          <w:sz w:val="18"/>
          <w:szCs w:val="18"/>
          <w:b w:val="1"/>
          <w:bCs w:val="1"/>
          <w:color w:val="auto"/>
        </w:rPr>
        <w:t>Stronghold Merger Agreement</w:t>
      </w:r>
      <w:r>
        <w:rPr>
          <w:rFonts w:ascii="Times New Roman" w:cs="Times New Roman" w:eastAsia="Times New Roman" w:hAnsi="Times New Roman"/>
          <w:sz w:val="18"/>
          <w:szCs w:val="18"/>
          <w:color w:val="auto"/>
        </w:rPr>
        <w:t>”) and plan of merger (the “</w:t>
      </w:r>
      <w:r>
        <w:rPr>
          <w:rFonts w:ascii="Times New Roman" w:cs="Times New Roman" w:eastAsia="Times New Roman" w:hAnsi="Times New Roman"/>
          <w:sz w:val="18"/>
          <w:szCs w:val="18"/>
          <w:b w:val="1"/>
          <w:bCs w:val="1"/>
          <w:color w:val="auto"/>
        </w:rPr>
        <w:t>Stronghold Merger</w:t>
      </w:r>
      <w:r>
        <w:rPr>
          <w:rFonts w:ascii="Times New Roman" w:cs="Times New Roman" w:eastAsia="Times New Roman" w:hAnsi="Times New Roman"/>
          <w:sz w:val="18"/>
          <w:szCs w:val="18"/>
          <w:color w:val="auto"/>
        </w:rPr>
        <w:t>”) between the Company, Backbone Mining Solutions LLC, HPC &amp; AI Megacorp, Inc. and Stronghold Digital Mining, Inc. (“</w:t>
      </w:r>
      <w:r>
        <w:rPr>
          <w:rFonts w:ascii="Times New Roman" w:cs="Times New Roman" w:eastAsia="Times New Roman" w:hAnsi="Times New Roman"/>
          <w:sz w:val="18"/>
          <w:szCs w:val="18"/>
          <w:b w:val="1"/>
          <w:bCs w:val="1"/>
          <w:color w:val="auto"/>
        </w:rPr>
        <w:t>Stronghold</w:t>
      </w:r>
      <w:r>
        <w:rPr>
          <w:rFonts w:ascii="Times New Roman" w:cs="Times New Roman" w:eastAsia="Times New Roman" w:hAnsi="Times New Roman"/>
          <w:sz w:val="18"/>
          <w:szCs w:val="18"/>
          <w:color w:val="auto"/>
        </w:rPr>
        <w:t>”);</w:t>
      </w:r>
    </w:p>
    <w:p>
      <w:pPr>
        <w:spacing w:after="0" w:line="381" w:lineRule="exact"/>
        <w:rPr>
          <w:rFonts w:ascii="Times New Roman" w:cs="Times New Roman" w:eastAsia="Times New Roman" w:hAnsi="Times New Roman"/>
          <w:sz w:val="18"/>
          <w:szCs w:val="18"/>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3" w:name="page14"/>
    <w:bookmarkEnd w:id="13"/>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2">
        <w:r>
          <w:rPr>
            <w:rFonts w:ascii="Times New Roman" w:cs="Times New Roman" w:eastAsia="Times New Roman" w:hAnsi="Times New Roman"/>
            <w:sz w:val="18"/>
            <w:szCs w:val="18"/>
            <w:u w:val="single" w:color="auto"/>
            <w:color w:val="0000EE"/>
          </w:rPr>
          <w:t>August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assumption of control of a data center in Sharon, Pennsylvania;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3">
        <w:r>
          <w:rPr>
            <w:rFonts w:ascii="Times New Roman" w:cs="Times New Roman" w:eastAsia="Times New Roman" w:hAnsi="Times New Roman"/>
            <w:sz w:val="18"/>
            <w:szCs w:val="18"/>
            <w:u w:val="single" w:color="auto"/>
            <w:color w:val="0000EE"/>
          </w:rPr>
          <w:t>September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August 2024 monthly update;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4">
        <w:r>
          <w:rPr>
            <w:rFonts w:ascii="Times New Roman" w:cs="Times New Roman" w:eastAsia="Times New Roman" w:hAnsi="Times New Roman"/>
            <w:sz w:val="18"/>
            <w:szCs w:val="18"/>
            <w:u w:val="single" w:color="auto"/>
            <w:color w:val="0000EE"/>
          </w:rPr>
          <w:t>September 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statement regarding certain claims made by Riot Platforms,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5">
        <w:r>
          <w:rPr>
            <w:rFonts w:ascii="Times New Roman" w:cs="Times New Roman" w:eastAsia="Times New Roman" w:hAnsi="Times New Roman"/>
            <w:sz w:val="18"/>
            <w:szCs w:val="18"/>
            <w:u w:val="single" w:color="auto"/>
            <w:color w:val="0000EE"/>
          </w:rPr>
          <w:t>September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rescheduling of the Company’s special meeting of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6">
        <w:r>
          <w:rPr>
            <w:rFonts w:ascii="Times New Roman" w:cs="Times New Roman" w:eastAsia="Times New Roman" w:hAnsi="Times New Roman"/>
            <w:sz w:val="18"/>
            <w:szCs w:val="18"/>
            <w:u w:val="single" w:color="auto"/>
            <w:color w:val="0000EE"/>
          </w:rPr>
          <w:t>September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changes to the Company’s operations teams;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7">
        <w:r>
          <w:rPr>
            <w:rFonts w:ascii="Times New Roman" w:cs="Times New Roman" w:eastAsia="Times New Roman" w:hAnsi="Times New Roman"/>
            <w:sz w:val="18"/>
            <w:szCs w:val="18"/>
            <w:u w:val="single" w:color="auto"/>
            <w:color w:val="0000EE"/>
          </w:rPr>
          <w:t>September 23,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settlement with Riot Platforms, Inc.;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8">
        <w:r>
          <w:rPr>
            <w:rFonts w:ascii="Times New Roman" w:cs="Times New Roman" w:eastAsia="Times New Roman" w:hAnsi="Times New Roman"/>
            <w:sz w:val="18"/>
            <w:szCs w:val="18"/>
            <w:u w:val="single" w:color="auto"/>
            <w:color w:val="0000EE"/>
          </w:rPr>
          <w:t>October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September 2024 monthly update;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69">
        <w:r>
          <w:rPr>
            <w:rFonts w:ascii="Times New Roman" w:cs="Times New Roman" w:eastAsia="Times New Roman" w:hAnsi="Times New Roman"/>
            <w:sz w:val="18"/>
            <w:szCs w:val="18"/>
            <w:u w:val="single" w:color="auto"/>
            <w:color w:val="0000EE"/>
          </w:rPr>
          <w:t>October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nomination of Andrew J. Chang to the board of directors;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70">
        <w:r>
          <w:rPr>
            <w:rFonts w:ascii="Times New Roman" w:cs="Times New Roman" w:eastAsia="Times New Roman" w:hAnsi="Times New Roman"/>
            <w:sz w:val="18"/>
            <w:szCs w:val="18"/>
            <w:u w:val="single" w:color="auto"/>
            <w:color w:val="0000EE"/>
          </w:rPr>
          <w:t>October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related to the second miner hosting agreement with Stronghold;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71">
        <w:r>
          <w:rPr>
            <w:rFonts w:ascii="Times New Roman" w:cs="Times New Roman" w:eastAsia="Times New Roman" w:hAnsi="Times New Roman"/>
            <w:sz w:val="18"/>
            <w:szCs w:val="18"/>
            <w:u w:val="single" w:color="auto"/>
            <w:color w:val="0000EE"/>
          </w:rPr>
          <w:t>November 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related to the Company’s October 2024 monthly update;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72">
        <w:r>
          <w:rPr>
            <w:rFonts w:ascii="Times New Roman" w:cs="Times New Roman" w:eastAsia="Times New Roman" w:hAnsi="Times New Roman"/>
            <w:sz w:val="18"/>
            <w:szCs w:val="18"/>
            <w:u w:val="single" w:color="auto"/>
            <w:color w:val="0000EE"/>
          </w:rPr>
          <w:t>November 13,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related to the Company’s 2024 third quarter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73">
        <w:r>
          <w:rPr>
            <w:rFonts w:ascii="Times New Roman" w:cs="Times New Roman" w:eastAsia="Times New Roman" w:hAnsi="Times New Roman"/>
            <w:sz w:val="18"/>
            <w:szCs w:val="18"/>
            <w:u w:val="single" w:color="auto"/>
            <w:color w:val="0000EE"/>
          </w:rPr>
          <w:t>November 20,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related to the results of the Company’s special meeting of shareholders;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74">
        <w:r>
          <w:rPr>
            <w:rFonts w:ascii="Times New Roman" w:cs="Times New Roman" w:eastAsia="Times New Roman" w:hAnsi="Times New Roman"/>
            <w:sz w:val="18"/>
            <w:szCs w:val="18"/>
            <w:u w:val="single" w:color="auto"/>
            <w:color w:val="0000EE"/>
          </w:rPr>
          <w:t>December 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related to the Company’s November 2024 monthly update;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75">
        <w:r>
          <w:rPr>
            <w:rFonts w:ascii="Times New Roman" w:cs="Times New Roman" w:eastAsia="Times New Roman" w:hAnsi="Times New Roman"/>
            <w:sz w:val="18"/>
            <w:szCs w:val="18"/>
            <w:u w:val="single" w:color="auto"/>
            <w:color w:val="0000EE"/>
          </w:rPr>
          <w:t>December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related to the Company’s restatement of previously issued financial statements.</w:t>
      </w:r>
    </w:p>
    <w:p>
      <w:pPr>
        <w:spacing w:after="0" w:line="250"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documents of the type described in Section 11.1 of Form 44-101F1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filed by the Company with a securities commission or similar authority in any province or territory of Canada subsequent to the date of this prospectus supplement and prior to the termination of the Offering, will be deemed to be incorporated by reference into this prospectus supplement and the accompanying base shelf prospectus and the previous documents of the type referred to in this paragraph will no longer be deemed to be incorporated by reference in this prospectus supplement. To the extent that any document or information incorporated by reference into this prospectus supplement is included in a report that is filed with or furnished to the SEC pursuant to the U.S. Exchange Act, such document or information shall also be deemed to be incorporated by reference as an exhibit to the Registration Statement (in the case of a report on Form 6-K, only if and to the extent expressly provided in such report).</w:t>
      </w:r>
    </w:p>
    <w:p>
      <w:pPr>
        <w:spacing w:after="0" w:line="181" w:lineRule="exact"/>
        <w:rPr>
          <w:rFonts w:ascii="Times New Roman" w:cs="Times New Roman" w:eastAsia="Times New Roman" w:hAnsi="Times New Roman"/>
          <w:sz w:val="18"/>
          <w:szCs w:val="18"/>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supplement, in the accompanying base shelf prospectus, or in a document incorporated or deemed to be incorporated by reference herein or therein will be deemed to be modified or superseded for purposes of this prospectus supplement or the accompanying base shelf prospectus, to the extent that a statement contained herein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 supplement or the prospectus.</w:t>
      </w:r>
    </w:p>
    <w:p>
      <w:pPr>
        <w:spacing w:after="0" w:line="188" w:lineRule="exact"/>
        <w:rPr>
          <w:rFonts w:ascii="Times New Roman" w:cs="Times New Roman" w:eastAsia="Times New Roman" w:hAnsi="Times New Roman"/>
          <w:sz w:val="18"/>
          <w:szCs w:val="18"/>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References to the Company’s website in this prospectus supplement, the accompanying base shelf prospectus or any documents that are incorporated by reference herein and therein do not incorporate by reference the information on such website into this prospectus supplement and the accompanying base shelf prospectus, and the Company disclaims any such incorporation by reference.</w:t>
      </w:r>
    </w:p>
    <w:p>
      <w:pPr>
        <w:spacing w:after="0" w:line="38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and references to “US$” or “$” are to United States dollars and references to “C$” are to Canadian dollars, unless otherwise indicated.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high, low, average and closing exchange rates for one United States dollar expressed in Canadian dollars for each of the periods indicated below, as quoted by the Bank of Canada, are set forth in the following table:</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Average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43"/>
        </w:trPr>
        <w:tc>
          <w:tcPr>
            <w:tcW w:w="1300" w:type="dxa"/>
            <w:vAlign w:val="bottom"/>
          </w:tcPr>
          <w:p>
            <w:pPr>
              <w:spacing w:after="0"/>
              <w:rPr>
                <w:sz w:val="21"/>
                <w:szCs w:val="21"/>
                <w:color w:val="auto"/>
              </w:rPr>
            </w:pPr>
          </w:p>
        </w:tc>
        <w:tc>
          <w:tcPr>
            <w:tcW w:w="2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(expressed in Canadian dollars)</w:t>
            </w:r>
          </w:p>
        </w:tc>
        <w:tc>
          <w:tcPr>
            <w:tcW w:w="1260" w:type="dxa"/>
            <w:vAlign w:val="bottom"/>
          </w:tcPr>
          <w:p>
            <w:pPr>
              <w:spacing w:after="0"/>
              <w:rPr>
                <w:sz w:val="21"/>
                <w:szCs w:val="21"/>
                <w:color w:val="auto"/>
              </w:rPr>
            </w:pPr>
          </w:p>
        </w:tc>
      </w:tr>
      <w:tr>
        <w:trPr>
          <w:trHeight w:val="243"/>
        </w:trPr>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1.3858</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1.3674</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1.3875</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1.3856</w:t>
            </w:r>
          </w:p>
        </w:tc>
      </w:tr>
      <w:tr>
        <w:trPr>
          <w:trHeight w:val="243"/>
        </w:trPr>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1.3460</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1.3128</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1.3128</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1.2451</w:t>
            </w:r>
          </w:p>
        </w:tc>
      </w:tr>
      <w:tr>
        <w:trPr>
          <w:trHeight w:val="243"/>
        </w:trPr>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1.3641</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1.3411</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1.3497</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1.3011</w:t>
            </w:r>
          </w:p>
        </w:tc>
      </w:tr>
      <w:tr>
        <w:trPr>
          <w:trHeight w:val="243"/>
        </w:trPr>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1.3499</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1.3520</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1.3226</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-616585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-307975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December 16, 2024, the daily average exchange rate for United States dollars in terms of Canadian dollars, as quoted by the Bank of Canada, was $1.00 = C$1.4239.</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FILED AS PART OF THE REGISTRATION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have been, or will be, filed with the SEC as part of the Registration Statement, of which this prospectus supplement forms a part:</w:t>
      </w:r>
    </w:p>
    <w:p>
      <w:pPr>
        <w:spacing w:after="0" w:line="27" w:lineRule="exact"/>
        <w:rPr>
          <w:sz w:val="20"/>
          <w:szCs w:val="20"/>
          <w:color w:val="auto"/>
        </w:rPr>
      </w:pPr>
    </w:p>
    <w:p>
      <w:pPr>
        <w:ind w:firstLine="8"/>
        <w:spacing w:after="0" w:line="260" w:lineRule="auto"/>
        <w:tabs>
          <w:tab w:leader="none" w:pos="2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listed under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(2) the powers of attorney from certain of the Company’s directors and officers; (3) the consent of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(4) the consent of Urish Popeck &amp; Co., LLC and (5) the Sales Agreement.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U.S.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U.S. Exchange Act prescribing the furnishing and content of proxy statements, and the Company’s officers, directors and principal shareholders are exempt from the reporting and short-swing profit recovery provisions contained in Section 16 of the U.S. Exchange Act. Reports and other information filed by the Company with, or furnished to, the SEC may be obtained on EDGAR at the SEC’s website: www.sec.gov.</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filed with the SEC the Registration Statement with respect to certain securities of the Company, including the Offered Shares. This prospectus supplement and the accompanying base shelf prospectus, including the documents incorporated by reference herein, which form a part of the Registration Statement, do not contain all of the information set forth in the Registration Statement, certain parts of which are contained in the exhibits to the Registration Statement as permitted by the rules and regulations of the SEC. For further information with respect to the Company and the Offered Shares, reference is made to the Registration Statement and the exhibits thereto. Statements contained in this prospectus supplement and the accompanying base shelf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Company is, in some instances, derived from selected information about the Company contained in the documents incorporated by reference into this prospectus supplement and the accompanying base shelf prospectus. This description does not contain all of the information about the Company and its business that you should consider before investing in any securities. You should carefully read this entire prospectus supplement and the accompanying base shelf prospectus, including the section entitled “Risk Factors”, as well as the documents incorporated by reference herein and therein, before making an investment decision.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Address and Incorporation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October 11, 2018, and continued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on August 27, 2021. The Company has its registered and head office located at 110 Yonge Street, Suite 1601, Toronto, ON M5C 1T4. The Company’s Common Shares are listed for trading on Nasdaq and on the TSX under the trading symbol “BITF”.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principal material subsidiaries of the Company as of the date hereof.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360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Assets Held</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(Israel)</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Inc.</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Canada</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cryptocurrency</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SAU</w:t>
            </w:r>
          </w:p>
        </w:tc>
        <w:tc>
          <w:tcPr>
            <w:tcW w:w="3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Argentina</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D&amp;N Ingenieria SA</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Paraguay</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Mining Solutions LLC</w:t>
            </w:r>
          </w:p>
        </w:tc>
        <w:tc>
          <w:tcPr>
            <w:tcW w:w="3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United States</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194"/>
        </w:trPr>
        <w:tc>
          <w:tcPr>
            <w:tcW w:w="3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9159-9290 Québec Inc. (operating under the name</w:t>
            </w:r>
          </w:p>
        </w:tc>
        <w:tc>
          <w:tcPr>
            <w:tcW w:w="38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Quebec</w:t>
            </w:r>
          </w:p>
        </w:tc>
        <w:tc>
          <w:tcPr>
            <w:tcW w:w="3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Provides  professional  electrical  services  to</w:t>
            </w:r>
          </w:p>
        </w:tc>
      </w:tr>
      <w:tr>
        <w:trPr>
          <w:trHeight w:val="22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“Volta Électrique Inc.”) (“</w:t>
            </w:r>
            <w:r>
              <w:rPr>
                <w:rFonts w:ascii="Times New Roman" w:cs="Times New Roman" w:eastAsia="Times New Roman" w:hAnsi="Times New Roman"/>
                <w:sz w:val="18"/>
                <w:szCs w:val="18"/>
                <w:b w:val="1"/>
                <w:bCs w:val="1"/>
                <w:color w:val="auto"/>
              </w:rPr>
              <w:t>Volta</w:t>
            </w:r>
            <w:r>
              <w:rPr>
                <w:rFonts w:ascii="Times New Roman" w:cs="Times New Roman" w:eastAsia="Times New Roman" w:hAnsi="Times New Roman"/>
                <w:sz w:val="18"/>
                <w:szCs w:val="18"/>
                <w:color w:val="auto"/>
              </w:rPr>
              <w:t>”)</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Backbone   Hosting   Solutions   Inc.,   Orion</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Constellation  Technologies  Inc.  and  outside</w:t>
            </w:r>
          </w:p>
        </w:tc>
      </w:t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 Constellation Technologies Inc.</w:t>
            </w:r>
          </w:p>
        </w:tc>
        <w:tc>
          <w:tcPr>
            <w:tcW w:w="3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Quebec</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Bitfarms Paraguay Limited Partnership (operating</w:t>
            </w:r>
          </w:p>
        </w:tc>
        <w:tc>
          <w:tcPr>
            <w:tcW w:w="38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Ontario</w:t>
            </w: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Computer equipment</w:t>
            </w:r>
          </w:p>
        </w:tc>
      </w:tr>
      <w:tr>
        <w:trPr>
          <w:trHeight w:val="234"/>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Bitfarms - Sucursal Paraguay)</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Paraguay SA</w:t>
            </w:r>
          </w:p>
        </w:tc>
        <w:tc>
          <w:tcPr>
            <w:tcW w:w="3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Paraguay</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Zunz S.A.</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Paraguay</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Facility under construction</w:t>
            </w:r>
          </w:p>
        </w:tc>
      </w:tr>
      <w:tr>
        <w:trPr>
          <w:trHeight w:val="41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Description of the Business</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primary business is the mining of cryptocurrency. Through its subsidiaries, the Company owns and operates server farms, composed of computers (referred to as “</w:t>
      </w:r>
      <w:r>
        <w:rPr>
          <w:rFonts w:ascii="Times New Roman" w:cs="Times New Roman" w:eastAsia="Times New Roman" w:hAnsi="Times New Roman"/>
          <w:sz w:val="18"/>
          <w:szCs w:val="18"/>
          <w:b w:val="1"/>
          <w:bCs w:val="1"/>
          <w:color w:val="auto"/>
        </w:rPr>
        <w:t>Miners</w:t>
      </w:r>
      <w:r>
        <w:rPr>
          <w:rFonts w:ascii="Times New Roman" w:cs="Times New Roman" w:eastAsia="Times New Roman" w:hAnsi="Times New Roman"/>
          <w:sz w:val="18"/>
          <w:szCs w:val="18"/>
          <w:color w:val="auto"/>
        </w:rPr>
        <w:t>”) designed for the purpose of validating transactions on the Bitcoin Blockchain (referred to as “</w:t>
      </w: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Bitfarms generally operates Miners 24 hours a day producing computational power (measured by hashrate) which it sells to Mining Pool operators for a formula-driven rate commonly known in the industry as Full Pay Per Share (“</w:t>
      </w:r>
      <w:r>
        <w:rPr>
          <w:rFonts w:ascii="Times New Roman" w:cs="Times New Roman" w:eastAsia="Times New Roman" w:hAnsi="Times New Roman"/>
          <w:sz w:val="18"/>
          <w:szCs w:val="18"/>
          <w:b w:val="1"/>
          <w:bCs w:val="1"/>
          <w:color w:val="auto"/>
        </w:rPr>
        <w:t>FPPS</w:t>
      </w:r>
      <w:r>
        <w:rPr>
          <w:rFonts w:ascii="Times New Roman" w:cs="Times New Roman" w:eastAsia="Times New Roman" w:hAnsi="Times New Roman"/>
          <w:sz w:val="18"/>
          <w:szCs w:val="18"/>
          <w:color w:val="auto"/>
        </w:rPr>
        <w:t>”). For more information regarding the Company’s Mining Pool arrangements, see the accompanying base shelf prospectus under the heading “</w:t>
      </w:r>
      <w:r>
        <w:rPr>
          <w:rFonts w:ascii="Times New Roman" w:cs="Times New Roman" w:eastAsia="Times New Roman" w:hAnsi="Times New Roman"/>
          <w:sz w:val="18"/>
          <w:szCs w:val="18"/>
          <w:i w:val="1"/>
          <w:iCs w:val="1"/>
          <w:color w:val="auto"/>
        </w:rPr>
        <w:t>THE COMPANY – Summary Description of the Business – Mining Pool Participation</w:t>
      </w:r>
      <w:r>
        <w:rPr>
          <w:rFonts w:ascii="Times New Roman" w:cs="Times New Roman" w:eastAsia="Times New Roman" w:hAnsi="Times New Roman"/>
          <w:sz w:val="18"/>
          <w:szCs w:val="18"/>
          <w:color w:val="auto"/>
        </w:rPr>
        <w:t>”. For more information regarding the business of the Company, see the 2023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description of the business of the Company in this prospectus supplement:</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Reward</w:t>
      </w:r>
      <w:r>
        <w:rPr>
          <w:rFonts w:ascii="Times New Roman" w:cs="Times New Roman" w:eastAsia="Times New Roman" w:hAnsi="Times New Roman"/>
          <w:sz w:val="18"/>
          <w:szCs w:val="18"/>
          <w:color w:val="auto"/>
        </w:rPr>
        <w:t>” shall refer to the new Bitcoins that are awarded by the Blockchain to eligible cryptocurrency Miners for each block they successfully mine. The current block reward is 3.125 Bitcoin per block;</w:t>
      </w:r>
    </w:p>
    <w:p>
      <w:pPr>
        <w:spacing w:after="0" w:line="15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shall refer to a cloud-based public ledger that exists on computers that participate on the network globally. The Blockchain grows 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in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79"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shall refer to a function that converts or maps an input of letters and numbers into an encrypted output of a fixed length, which outputs are often referred to as Hashes. A Hash is created using an algorithm. The algorithm used in the validation of Bitcoin transactions is the SHA-256 algorithm;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shall refer to the number of Hash operations performed per second and is a measure of computing power in Mining cryptocurrency;</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Pool</w:t>
      </w:r>
      <w:r>
        <w:rPr>
          <w:rFonts w:ascii="Times New Roman" w:cs="Times New Roman" w:eastAsia="Times New Roman" w:hAnsi="Times New Roman"/>
          <w:sz w:val="18"/>
          <w:szCs w:val="18"/>
          <w:color w:val="auto"/>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shall refer to a megawatt, which is 1,000 kilowatts of electricity and, in the industry of cryptocurrency Mining, is typically a reference to the number of megawatts of electricity that is available for use.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January 2021, the Company routinely exchanged cryptocurrencies earned into U.S. dollars through reputable cryptocurrency trading platforms. At the beginning of Fiscal 2021, the Company implemented the Digital Asset Management Program under which the Company decided how many earned Bitcoin would be held by the Company through its custodians. See the 2023 AIF under the heading “</w:t>
      </w:r>
      <w:r>
        <w:rPr>
          <w:rFonts w:ascii="Times New Roman" w:cs="Times New Roman" w:eastAsia="Times New Roman" w:hAnsi="Times New Roman"/>
          <w:sz w:val="18"/>
          <w:szCs w:val="18"/>
          <w:i w:val="1"/>
          <w:iCs w:val="1"/>
          <w:color w:val="auto"/>
        </w:rPr>
        <w:t>4.8. Digital Asset Management Program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2024, Bitfarms operates twelve Bitcoin data centers around the world. Eight Bitcoin data centers are located in Québec, Canada, with electrical infrastructure capacity of 159 MW for Mining Bitcoin and opportunities to increase this capacity to up to a total of 180 MW; one Bitcoin data center is located in Washington State, United States, with operational electrical infrastructure capacity of 17 MW and expansion opportunities up to 21 MW; two Bitcoin data centers are located in Villarrica, Paraguay, with electrical infrastructure capacity of 80 MW and opportunities to increase this capacity to up to a total of 280 MW in Paraguay; and one Bitcoin data center is located in Argentina, with current operational electrical infrastructure capacity of 54 MW and expansion opportunities up to 210 MW in Argentina.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2023 and is continually being updated to enhance its features and improve its functionality. The revised system is referred to as MGMT-2.</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Volta, a wholly owned subsidiary of the Company, provides electrician services to both commercial and residential customers in Québec, while assisting Bitfarms in building and maintaining its server farms in Quebec.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the business of the Company since the date of the Company’s 2023 Annual Financial Statements which have not been disclosed in this prospectus supplement, the accompanying base shelf prospectus, or the documents incorporated by reference herein.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8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PROMOTERS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Promoters of the Company:</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Quantity of</w:t>
            </w:r>
          </w:p>
        </w:tc>
        <w:tc>
          <w:tcPr>
            <w:tcW w:w="126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34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right"/>
              <w:ind w:right="250"/>
              <w:spacing w:after="0" w:line="270" w:lineRule="exact"/>
              <w:rPr>
                <w:sz w:val="20"/>
                <w:szCs w:val="20"/>
                <w:color w:val="auto"/>
              </w:rPr>
            </w:pP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29"/>
                <w:szCs w:val="29"/>
                <w:b w:val="1"/>
                <w:bCs w:val="1"/>
                <w:color w:val="auto"/>
                <w:vertAlign w:val="superscript"/>
              </w:rPr>
              <w:t>(3)</w:t>
            </w:r>
          </w:p>
        </w:tc>
        <w:tc>
          <w:tcPr>
            <w:tcW w:w="0" w:type="dxa"/>
            <w:vAlign w:val="bottom"/>
          </w:tcPr>
          <w:p>
            <w:pPr>
              <w:spacing w:after="0"/>
              <w:rPr>
                <w:sz w:val="1"/>
                <w:szCs w:val="1"/>
                <w:color w:val="auto"/>
              </w:rPr>
            </w:pPr>
          </w:p>
        </w:tc>
      </w:tr>
      <w:tr>
        <w:trPr>
          <w:trHeight w:val="283"/>
        </w:trPr>
        <w:tc>
          <w:tcPr>
            <w:tcW w:w="47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Emiliano Joel Grodzki</w:t>
            </w:r>
            <w:r>
              <w:rPr>
                <w:rFonts w:ascii="Times New Roman" w:cs="Times New Roman" w:eastAsia="Times New Roman" w:hAnsi="Times New Roman"/>
                <w:sz w:val="29"/>
                <w:szCs w:val="29"/>
                <w:color w:val="auto"/>
                <w:vertAlign w:val="superscript"/>
              </w:rPr>
              <w:t>(1)</w:t>
            </w:r>
          </w:p>
        </w:tc>
        <w:tc>
          <w:tcPr>
            <w:tcW w:w="2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Shares</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Nil</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77"/>
        </w:trPr>
        <w:tc>
          <w:tcPr>
            <w:tcW w:w="47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9"/>
                <w:szCs w:val="29"/>
                <w:color w:val="auto"/>
                <w:vertAlign w:val="superscript"/>
              </w:rPr>
              <w:t>(2)</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&gt;0.1%</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&gt;0.1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Notes:</w:t>
            </w: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476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right="2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Common Shares noted in the table above, Mr. Grodzki holds 2,314,900 options to purchase Common Shares at an average price of C$2.12 per Common Shares and 25,000 RSUs (as defined herein).</w:t>
      </w:r>
    </w:p>
    <w:p>
      <w:pPr>
        <w:ind w:left="34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Common Shares noted in the table above, Mr. Bonta holds 2,304,900 options to purchase Common Shares at an average price of C$2.13 per Common Shares and 25,000 RSUs.</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472,551,346 Common Shares are issued and outstanding as of the date hereof.</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was within 10 years before the date of this prospectus supplement,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Promoter has: (a) been within the 10 years before the date of this prospectus supplement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deciding to invest in the Offered Shares, prospective purchasers should carefully consider the risk factors and the other information contained in this prospectus supplement and the accompanying base shelf prospectus and the documents incorporated by reference herein and therein. 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the Company faces; risks and uncertainties not currently known to the Company or that the Company currently deems to be immaterial may also materially and adversely affect the Company’s business, financial condition, results of operations and prospects. You should also refer to the other information set forth or incorporated by reference in this prospectus supplement and the accompanying base shelf prospectus, including the Company’s 2023 AIF, the 2023 MD&amp;A and annual financial statements and the related notes, and the Q3 2024 MD&amp;A and interim financial statements and the related notes. A prospective investor should carefully consider the risk factors set out below along with the other matters set out or incorporated by reference in this prospectus.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Stronghold Merger</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when or if the Stronghold Merger will be completed, and regulatory approvals may not be received, may take longer than expected or may impose conditions that are not presently anticipated or cannot be met.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completion of the Stronghold Merger is subject to satisfaction or waiver of certain customary mutual closing conditions, including (i) the approval of the Stronghold Merger proposal by the holders of Stronghold common stock, (ii) the absence of any governmental order or law that makes consummation of the Stronghold Merger illegal or otherwise prohibited, (iii) receipt of certain approvals and consents from specified governmental entities, including, if applicable, the expiration or termination of the applicable waiting period under the Hart-Scott-Rodino Antitrust Improvements Act of 1976, (iv) the effectiveness of a registration statement on Form F-4, pursuant to which the Company’s Common Shares to be issued in connection with the Stronghold Merger are registered with the SEC and (v) the authorization for listing of the Company’s Common Shares to be issued in connection with the Stronghold Merger on the TSX and Nasdaq, subject to customary conditions and official notice of issuance. The obligation of each party to consummate the Stronghold Merger is also conditioned upon, among other things, (1) the other party’s representations and warranties being true and correct (subject to applicable materiality and de minimis standards), (2) the other party having performed in all material respects its obligations required to be performed by it under the Stronghold Merger Agreement at or prior to the effective time, (3) the absence of a material adverse effect on the other party and (4) certain conditions pertaining to Stronghold’s mining facilities. There can be no assurance as to when these conditions will be satisfied or waived, if at all, or that other events will not intervene to delay or result in the failure to complete the Stronghold Merger.</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Stronghold and the Company have each agreed to, promptly following the execution of the Stronghold Merger Agreement, prepare and file certain filings, submissions and notices and obtain consents, orders and approvals necessary to complete the Stronghold Merger and the other transactions contemplated by the Stronghold Merger Agreement. No assurance can be given that the required consents, orders and approvals will be obtained or that the required conditions to the completion of the Stronghold Merger will be satisfied and an adverse development in either party’s regulatory standing or other factors could result in an inability to obtain one or more of the required regulatory approvals or delay receipt of required approvals. Even if all such consents, orders and approvals are obtained and such conditions are satisfied, no assurance can be given as to the terms, conditions and timing of such consents, orders and approvals. For example, these consents, orders and approvals may impose conditions on or require divestitures relating to the divisions, operations or assets of Stronghold and the Company or may impose requirements, limitations or costs or place restrictions on the conduct of Stronghold’s or the Company’ business, and if such consents, orders or approvals require an extended period of time to be obtained, such extended period of time could increase the chance that a material adverse event occurs with respect to Stronghold or the Company. Such extended period of time also may increase the chance that other adverse effects with respect to Stronghold or the Company could occur. Each party’s obligation to complete the Stronghold Merger is also subject to the accuracy of the representations and warranties of the other party (subject to certain qualifications and exceptions) and the performance in all material respects of the other party’s covenants under the Stronghold Merger Agreement. As a result of these conditions, the Company cannot provide assurance that the Stronghold Merger will be completed on the terms or timeline currently contemplated, or at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Stronghold Merger could adversely affect the Company’s business, results of operations and financial condition.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announcement and pendency of the Stronghold Merger could cause disruptions in and create uncertainty surrounding the Company’s business, including affecting the Company’s relationships with its existing and future business partners, suppliers and employees, which could have an adverse effect on the Company’s business, results of operations and financial condition, regardless of whether the Stronghold Merger is completed.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Stronghold Merger is not completed, the trading prices of the Company’s Common Shares may fall to the extent that the current prices reflect a market assumption that the Stronghold Merger will be completed. In addition, the failure to complete the Stronghold Merger may result in negative publicity or a negative impression of Stronghold and/or the Company in the investment community and may affect the Company’s relationship with employees, suppliers and other partners in the business community.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 will incur substantial transaction fees and costs in connection with the Stronghold Merger.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incurred and expects to incur additional material non-recurring expenses in connection with the Stronghold Merger and completion of the transactions contemplated by the Stronghold Merger Agreement, including costs relating to obtaining required approvals. The Company has incurred significant legal, advisory and financial services fees in connection with the process of negotiating and evaluating the terms of the Stronghold Merger. Additional significant unanticipated costs may be incurred in the course of coordinating the businesses of Stronghold and the Company after completion of the Stronghold Merger. Even if the Stronghold Merger is not completed, the Company will be required to pay certain costs relating to the Stronghold Merger incurred prior to the date the Stronghold Merger was abandoned, such as legal, accounting, financial advisory, filing and printing fees. Such costs may be significant and could have an adverse effect on the Company’s future results of operations, cash flows and financial condition.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Significant demands will be placed on the Company as a result of the Stronghold Merger.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expended, and continues to expend, significant management resources in an effort to complete the Stronghold Merger, which are being diverted from the Company’s day-to-day operations. In addition, as a result of the completion of the Stronghold Merger, significant demands will be placed on the managerial, operational and financial personnel and systems of the Company. The Company cannot assure that their systems, procedures and controls will be adequate to support the expansion of operations following and resulting from the Stronghold Merger. The future operating results of the combined company will be affected by the ability of its officers and key employees to manage changing business conditions and to implement and expand its operational and financial controls and reporting systems in response to the Stronghold Merger.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of Stronghold and the Company is presented for illustrative purposes only and may not be indicative of the results of operations or financial condition of the combined company following the Stronghold Merger.</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included as Schedule “A-1” of this prospectus supplement has been prepared using the consolidated historical financial statements of the Company and Stronghold, respectively, is presented for illustrative purposes only and should not be considered to be an indication of the results of operations or financial condition of the combined company following the Stronghold Merger. In addition,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included as Schedule “A-1” hereto is based in part on certain assumptions regarding the Stronghold Merger. These assumptions may not prove to be accurate, and other factors may affect the combined company’s results of operations or financial condition following the Stronghold Merger. Accordingly, the historical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included herein does not necessarily represent the combined company’s results of operations and financial condition had Stronghold and the Company operated as a combined entity during the periods presented, or of the combined company’s results of operations and financial condition following completion of the Stronghold Merger. The combined company’s potential for future business success and operating profitability must be considered in light of the risks, uncertainties, expenses and difficulties inherent in the Company’s and Stronghold’s respective businesses, as well as those typically encountered by recently combined companies.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preparing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herein, the Company has given effect to, among other items, the completion of the Stronghold Merger and related transactions, the payment of the Stronghold Merger consideration and the indebtedness of the Company on a combined basis after giving effect to the Stronghold Merger, including the indebtedness of Stronghold.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does not reflect all of the costs that are expected to be incurred by Stronghold and the Company in connection with the Stronghold Merger. In addition, the Stronghold Merger is based on a share exchange ratio with the result that the purchase price recorded upon completion of the acquisition will not be known until that time and cannot be predicted due to volatility of prices in the trading of Company’s Common Shares. For more information, see the section entitled “</w:t>
      </w:r>
      <w:r>
        <w:rPr>
          <w:rFonts w:ascii="Times New Roman" w:cs="Times New Roman" w:eastAsia="Times New Roman" w:hAnsi="Times New Roman"/>
          <w:sz w:val="18"/>
          <w:szCs w:val="18"/>
          <w:i w:val="1"/>
          <w:iCs w:val="1"/>
          <w:color w:val="auto"/>
        </w:rPr>
        <w:t>PROBABLE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Stronghold Merger Agreement is in effect, the Company and its respective subsidiaries’ businesses are subject to restrictions on its business activities.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Stronghold Merger Agreement, the Company is subject to certain restrictions on the conduct of its business and generally must operate its business in the ordinary course prior to completing the Stronghold Merger (unless the Company obtains Stronghold’s written consent, which is not to be unreasonably withheld, delayed or conditioned), which may restrict the Company’s ability to exercise certain of its business strategies. These restrictions may prevent the Company from pursuing otherwise attractive business opportunities, making certain investments or acquisitions, selling assets, engaging in capital expenditures in excess of certain agreed limits or incurring indebtedness prior to the completion of the Stronghold Merger or termination of the Stronghold Merger Agreement, as applicable. These restrictions could have an adverse effect on the Company’s businesses, financial results, financial condition or share price.</w:t>
      </w:r>
    </w:p>
    <w:p>
      <w:pPr>
        <w:spacing w:after="0" w:line="18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the Stronghold Merger Agreement could negatively impact the Company and, in certain circumstances, could require Stronghold or the Company to pay certain termination fees.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Stronghold Merger Agreement is subject to a number of customary closing conditions that must be fulfilled in order to complete the Stronghold Merger and contains certain termination rights for both Stronghold and the Company, which, if exercised, would result in the Stronghold Merger not being completed. If the Stronghold Merger is not completed for any reason, including as a result of Stronghold stockholders failing to approve the Stronghold Merger proposal or if the Stronghold Merger Agreement is terminated in accordance with its terms, the ongoing business of the Company may be adversely affected and, without realizing any of the anticipated benefits of having completed the Stronghold Merger, the Company would be subject to a number of risks, including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the financial markets, including a decline of its share price (which may reflect a market assumption that the Stronghold Merger will be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or irreparable reputational harm as perceived by the Company’s investment community, suppliers, peers regulators, employees, partners in the business community and any other third party whether presently known or unknown;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a material adverse effect on the Company’s businesses, operations, earnings and financial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If the Stronghold Merger Agreement is terminated under circumstances specified in the Stronghold Merger Agreement, Stronghold may be required to pay the Company a termination fee of $5,000,000 and the Company may be required to pay Stronghold a reverse termination fee of $12,500,000 (minus the amount of the deposit, as defined in the hosting agreement between Stronghold and the Company dated September 12, 2024 (the “</w:t>
      </w:r>
      <w:r>
        <w:rPr>
          <w:rFonts w:ascii="Times New Roman" w:cs="Times New Roman" w:eastAsia="Times New Roman" w:hAnsi="Times New Roman"/>
          <w:sz w:val="18"/>
          <w:szCs w:val="18"/>
          <w:b w:val="1"/>
          <w:bCs w:val="1"/>
          <w:color w:val="auto"/>
        </w:rPr>
        <w:t>hosting agreement</w:t>
      </w:r>
      <w:r>
        <w:rPr>
          <w:rFonts w:ascii="Times New Roman" w:cs="Times New Roman" w:eastAsia="Times New Roman" w:hAnsi="Times New Roman"/>
          <w:sz w:val="18"/>
          <w:szCs w:val="18"/>
          <w:color w:val="auto"/>
        </w:rPr>
        <w:t>”), held by Stronghold and not yet returned to the Company under the hosting agreement as of the date of the termination of the Stronghold Merger Agreement, such deposit amount being up to a maximum of $5,000,000), in the form of cash and/or Bitcoin (at the election of the Company), depending on the circumstances surrounding the termination. There is no guarantee that Stronghold or the Company will have sufficient funds to make these contractually required payments to the other party, as applicable.</w:t>
      </w:r>
    </w:p>
    <w:p>
      <w:pPr>
        <w:spacing w:after="0" w:line="18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be the target of securities class action and derivative lawsuits which could result in substantial costs and may delay or prevent the Stronghold Merger from being completed.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Additionally, if a plaintiff is successful in obtaining an injunction prohibiting consummation of the Stronghold Merger, then that injunction may delay or prevent the Stronghold Merger from being completed.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value of the Company’s Common Shares may decline as a result of the Stronghold Merger.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consideration to be paid by the Company pursuant to the Stronghold Merger Agreement consists primarily of the Company’s Common Shares, and the market value of the Company’s Common Shares may decline as a result of the Stronghold Merger if, among other things, the combined company is unable to achieve the expected growth in earnings or if the transaction costs related to the Stronghold Merger are greater than expected. The market value also may decline if the combined company does not achieve the perceived benefits of the Stronghold Merger as rapidly or to the extent anticipated by the market or if the effect of the Stronghold Merger on the combined company’s business, financial position, results of operations or cash flows is not consistent with the expectations of financial or industry analysts. See also “RISK FACTORS – Risks Related to the Offering of Securities – You may suffer dilution in this Offering or other offerings of the Company’s securities”.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may not realize all of the anticipated benefits of the Stronghold Merger.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the Stronghold Merger will provide benefits to the combined company. However, there is a risk that some or all of the expected benefits of the Stronghold Merger may fail to materialize, or may not occur within the time periods anticipated by the Company. The realization of such benefits may be affected by a number of factors, including regulatory considerations and decisions, many of which are beyond the control of the Company. The challenge of coordinating previously independent businesses makes evaluating the business and future financial prospects of the combined company following the Stronghold Merger difficult. Stronghold and the Company have operated and, until completion of the Stronghold Merger, will continue to operate, independently. The success of the Stronghold Merger, including anticipated benefits, will depend, in part, on the ability to successfully integrate the operations of both companies. The past financial performance of each of Stronghold and the Company may not be indicative of their future financial performance. Realization of the anticipated benefits in the Stronghold Merger will depend, in part, on the combined company’s ability to successfully integrate Stronghold and the Company’s businesses. The combined company will be required to devote significant management attention and resources to integrating its business practices and support functions. The diversion of management’s attention and any delays or difficulties encountered in connection with the Stronghold Merger and the coordination of the two companies’ operations could have an adverse effect on the business, financial results, financial condition or the share price of the combined company following the Stronghold Merger. The coordination process may also result in additional and unforeseen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realize all of the anticipated benefits of the merger may impact the financial performance of the combined company and the price of the combined company’s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of the Common Shares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in the process of resolving SEC comments relating to the Company’s Annual Report on Form 40-F for the fiscal year ended December 31, 2023 regarding certain accounting and financial disclosure matters, which could result in changes to existing accounting and financial disclosure.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recently received comments from the staff of the SEC’s Division of Corporation Finance (the “Staff”) relating to the Company’s Annual Report on Form 40-F for the fiscal year ended December 31, 2023 (the “2023 Annual Report”). The Staff’s comments are focused on the Company’s accounting of its Bitcoin-related operations and related accounting policies. Because of the limited precedent available and a lack of formal accounting guidance for cryptocurrencies under certain applicable accounting standards, including, among other things, revenue recognition, there is uncertainty associated with how Bitcoin miners (in particular, non-U.S. companies such as the Company that report in accordance with IFRS Accounting Standards) may be required to account for cryptocurrency operations, transactions and assets and related revenue recognition.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that the consolidated financial statements for the fiscal years ended December 31, 2023 and 2022 and the related management’s discussion and analysis for the year ended December 31, 2023, as well as the unaudited interim condensed consolidated financial statements for the three and nine months ended September 30, 2024 and 2023 and the related management’s discussion and analysis for the three and nine months ended September 30, 2024, should be restated in response to the Staff’s comments and to correct a material error in the classification of proceeds derived from the sale of digital assets. The Company is committed to addressing any additional Staff questions. However, until these comments are resolved, or until any additional comments raised by the Staff in this process are resolved, the Company cannot provide assurance that it will not be required to further amend or restate its 2023 Annual Report or other public disclosures or make any material changes to the accounting or financial disclosures contained in the 2023 Annual Report or other public disclosures, the Company’s accounting policies, or related disclosures made in any future filings.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its management will have broad discretion in the use of proceeds from the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intends to allocate the net proceeds it will receive from the Offering, if any,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 However, the Company and its management will have broad discretion in the actual application of the net proceeds, as well as the timing of their expenditures, and there can be no assurance as to such net proceeds will be allocated. The Company may elect to allocate the net proceeds differently from the allocation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 if management believes it would be in the Company’s best interests to do so. The Company’s investors may not agree with the manner in which the Company chooses to allocate and spend the net proceeds from the Offering. The failure by the Company to apply these funds effectively could have a material adverse effect on the business of the Company and cause the price of Common Shares to decline. Pending their use, the Company may invest the net proceeds from the Offering in a manner that does not produce income or that loses value.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There is no certainty regarding the net proceeds to the Company of the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certainty that any Offered Shares will be sold in the Offering or that gross proceeds of $86,913,570 will be raised in the Offering. The Agent has agreed to use its commercially reasonable efforts to sell, on the Company’s behalf, the Offered Shares designated by the Company, but the Company is not required to request the sale of the maximum amount offered or any amount and, if the Company requests a sale, the Agent is not obligated to purchase any unsold Offered Shares as principal. As a result of the Offering being made on a commercially reasonable efforts basis with no minimum, and only as requested by the Company, the Company may raise substantially less than the maximum total offering amount or nothing at all.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Investors will likely pay different prices in the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who purchase Offered Shares in this Offering at different times will likely pay different prices, and as a result may experience different outcomes in their investment results. The Company will have discretion, subject to market demand, to vary the timing, prices and numbers of Offered Shares sold, and there is no minimum or maximum sales price. Investors may experience a decline in the value of their Offered Shares as a result of Common Share sales made at prices lower than the prices they paid or for other reasons. Moreover, if the prevailing market price for the Common Shares declines, then the Corporation will be able to issue more Offered Shares under the Offering and investors may suffer greater dilution.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 a Company organized in Canada, it may be difficult to bring and enforce suits against the Company in the United States.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It may be difficult to bring and enforce suits against the Company in the United States because the Company is organized pursuant to the laws of the Province of Ontario, Canada, the Company is governed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most of the Company’s assets are located outside the United States. It may not be possible for an investor to effect service of process within the United States on, or enforce judgments obtained in the United States courts against, the Company or certain of the Company’s directors and officers based upon the civil liability provisions of United States federal securities laws or the securities laws of any state of the United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 substantial portion of the assets of the Company are located outside of Canada, it may also not be possible for investors in the securities of the Company to collect on judgments obtained in courts in Canada predicated on the civil liability provisions of securities legislation of certain of the provinces and territories of Canada. In the event a judgment is obtained in a Canadian court against one or more of the Company’s directors or officers for violations of applicable securities laws or otherwise, it may not be possible to enforce such judgment against those directors and officers not resident in Canada.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above, there is doubt as to whether (i) a judgment of a United States court based solely upon the civil liability provisions of United States federal or state securities laws would be enforceable in Canada against the Company or the Company’s directors and officers, and (ii) an original action could be brought in Canada against the Company or its directors and officers to enforce liabilities based solely upon United States federal or state securities laws.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You may suffer dilution in this Offering or other offerings of the Company’s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number of Common Shares that the Company is authorized to issue is unlimited. The Company will, pursuant to the Stronghold Merger Agreement, and may, in its sole discretion, as part of future offerings, issue additional Common Shares and/or securities convertible into or exercisable for Common Shares from time to time subject to the rules of any applicable stock exchange on which the Common Shares are then listed and applicable securities law. The Company cannot predict the size or price of future issuances of Common Shares or the size or terms of future issuances of debt instruments or other securities convertible into Common Shares, or the effect, if any, that such future issuances and sales will have on the market price of the Common Shares. The issuance of any additional Common Shares and/or securities convertible into or exercisable for Common Shares may have a dilutive effect on the interests of holders of the Company’s Common Shares. The Offering may result in substantial dilution on a per Common Share basis to the Company’s net income and certain other financial measures used by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return on your investment is not guaranteed.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regarding the amount of income to be generated by the Company. Common Shares are equity securities of the Company and are not fixed income securities. Unlike fixed income securities, there is no obligation of the Company to distribute to shareholders a fixed amount or any amount at all, or to return the initial purchase price of the Common Shares on any date in the future. The market value of the Common Shares may deteriorate if the Company is unable to generate sufficient positive returns, and that deterioration may be significant.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Common Shares may be volatile and your investment could suffer or decline in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many of which the Company cannot control and many of which have not necessarily been related to the operating performance, underlying asset values or prospects of the Company. In particular, the trading price of the Common Shares is in many cases directly tied to the price of Bitcoin. Other factors that may impact the trading price of the Common Shares include:</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 and elsewhere in this prospectus supplement and the documents incorporated by reference herein.</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been brought against that company. The Company may become the target of in this type of litigation in the future. Litigation of this type may be expensive to defend and may divert management’s attention and resources from the operation of the Company’s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decreased or unfavorable security analyst and news media coverage. These factors could contribute to lower prices and larger spreads in the bid and ask prices for the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Investors who are U.S. persons may face potential adverse United States federal income tax consequences.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the Common Shares, such person may be treated as a “United States shareholder” with respect to each “controlled foreign corporation” in the Company’s group. A United States shareholder of a controlled foreign corporation may be required to report annually and include in its U.S. taxable income its pro rata share of “Subpart F income,” “global intangible low-taxed income,” and investments in United States property by controlled foreign corporations, regardless of whether the Company makes any distributions. An individual who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toll the statute of limitations with respect to such shareholder’s U.S. federal income tax return for the year for which reporting was due. The Company cannot provide any assurances that it will assist investors in determining whether any of the Company’s non-U.S. subsidiaries are treated as a controlled foreign corporation or whether any investor is treated as a United States shareholder with respect to any such controlled foreign corporation or furnish to any United States shareholders information that may be necessary to comply with the aforementioned reporting and tax paying obligations. A United States investor should consult its advisors regarding the potential application of these rules to an investment in the Common Shares.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cross-border transactions among the entities within the company group in relation to various aspects of the Company’s business. Canadian and U.S. transfer pricing regulations, as well as regulations applicable in other countries in which the Company operates, require that any international transaction involving associated enterprises be on arm’s-length terms and conditions. The Company views the transactions entered into among the Company and the Company’s subsidiaries to be priced on arm’s length terms and conditions and to be in accordance with the relevant transfer pricing regulations. If, however, a tax authority in any jurisdiction successfully challenges the Company’s position and asserts that the terms and conditions of such transactions are not on arm’s length terms and conditions, or that other income of the Company’s subsidiaries should be taxed in that jurisdiction, the Company may incur increased tax liability, including accrued interest and penalties, which would cause our tax expense to increase, possibly materially, thereby reducing profitability and cash flows, which in turn could have a material adverse effect on future cash flows, future earnings and financial condition.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a “passive foreign investment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Although not free from doubt, the Company does not believe it was a PFIC for 2023 and does not expect to be a PFIC for 2024. However, the determination as to whether a non-U.S. corporation is a PFIC is a factual determination made on an annual basis after the close of each taxable year. This determination is based on the application of complex U.S. federal income tax rules, which are subject to differing interpretations, and the determination will depend on, among other things, the composition of the non-U.S. corporation’s income, expenses and assets, as well as the relative value of its assets (which may fluctuate with the non-U.S. corporation’s market capitalization), from time to time and the nature of its activities. Moreover, the application of the PFIC rules to cryptocurrency such as bitcoin and transactions related thereto is subject to uncertainty. Accordingly, there can be no assurance that the Company will not be classified as a PFIC for any future taxable year.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is a PFIC for any taxable year during which a United States person holds the Common Shares, it would continue to be treated as a PFIC with respect to that United States person for such taxable year and, unless the United States person makes certain elections, for future years even if the Company ceases to be a PFIC. If the Company is characterized as a PFIC, United States holders of the Common Shares may suffer adverse tax consequences, including the treatment of gains realized on the sale of the Common Shares as ordinary income, rather than as capital gain, the loss of the preferential income tax rate applicable to dividends received on the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election (“QEF Election”), or, to a lesser extent, a mark-to-market election. However, the Company does not intend to provide the information necessary for U.S. Holders to make a QEF Election if the Company is classified as a PFIC.</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proceeds from the Offering, if any, are not determinable in light of the nature of the distribution. The net proceeds of any given distribution of Offered Shares pursuant to the Sales Agreement will represent the gross proceeds after deducting the applicable compensation payable to the Agent under the Sales Agreement and the expenses of the distribution. The proceeds actually received by the Company will depend on the number of Offered Shares actually sold and the offering price of such Offered Shares.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proceeds from the Offering, if any, are expected to be used by the Company primarily on capital expenditures to support the growth and development of the Company’s Mining operations as well as for working capital and general corporate purposes.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intends to apply the net proceeds to the objectives set forth above, there may be circumstances where a reallocation of funds may be deemed prudent or necessary, and the ultimate use of proceeds from the Offering may vary materially from that set forth above. For example, the operations of the Company may continue to be adversely impacted by international supply chain disruptions, which have already reduced the availability of and affected the timing of delivery of Mining equipment. Further, when Mining equipment does become available, the Company anticipates that it may be subject to increased equipment costs and increased shipping costs. Accordingly, a variety of factors may result in the management of the Company exercising discretion in applying the net proceeds from the Offering. See “</w:t>
      </w:r>
      <w:r>
        <w:rPr>
          <w:rFonts w:ascii="Times New Roman" w:cs="Times New Roman" w:eastAsia="Times New Roman" w:hAnsi="Times New Roman"/>
          <w:sz w:val="18"/>
          <w:szCs w:val="18"/>
          <w:i w:val="1"/>
          <w:iCs w:val="1"/>
          <w:color w:val="auto"/>
        </w:rPr>
        <w:t>RISK FACTORS – Risks Related to the Offering of Securities – The Company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its management will have broad discretion in the use of proceeds from the Offering.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Company’s consolidated capitalization since the date of the 2023 Annual Financial Statements which have not been disclosed in this prospectus supplement, the accompanying base shelf prospectus, or the documents incorporated by reference. As a result of the Offering, the shareholder’s equity of the Company will increase by the amount of the net proceeds, less expenses, of the Offering and the number of Common Shares issued and outstanding at the time of the Offering will increase by the number of Offered Shares issued under the Offering.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details of the Common Shares issued by the Company during the 12 months prior to the date of this prospectus supplement.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Borders>
              <w:bottom w:val="single" w:sz="8" w:color="CCEEFF"/>
            </w:tcBorders>
          </w:tcPr>
          <w:p>
            <w:pPr>
              <w:spacing w:after="0"/>
              <w:rPr>
                <w:sz w:val="21"/>
                <w:szCs w:val="21"/>
                <w:color w:val="auto"/>
              </w:rPr>
            </w:pPr>
          </w:p>
        </w:tc>
      </w:tr>
      <w:tr>
        <w:trPr>
          <w:trHeight w:val="257"/>
        </w:trPr>
        <w:tc>
          <w:tcPr>
            <w:tcW w:w="8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September 5, 2023</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439,004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1.28</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September 6, 2023</w:t>
            </w:r>
            <w:r>
              <w:rPr>
                <w:rFonts w:ascii="Times New Roman" w:cs="Times New Roman" w:eastAsia="Times New Roman" w:hAnsi="Times New Roman"/>
                <w:sz w:val="29"/>
                <w:szCs w:val="29"/>
                <w:color w:val="auto"/>
                <w:vertAlign w:val="superscript"/>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155,094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1.27</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November 28, 2023</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44,444,446</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1.35</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1,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6, 2023</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108,334</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12,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301,250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1.18</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14,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163,783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1.22</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15,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18,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0.60</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18, 2023</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4,962,963</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19,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243,562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0.73</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20, 2023</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1,166,667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1.23</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21,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60,640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1.44</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22,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341,235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0.83</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22, 2023</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1.23</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27, 2023</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27,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218,438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1.11</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28,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898,188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0.85</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January 2, 2024</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189,375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0.76</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January 3, 2024</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January 5, 2024</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13, 2024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111,111</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1.23</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February 23, 2024</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February 27, 2024</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February 28, 2024</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February 29, 2024</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11, 2024</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403,155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2.40</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March 12, 2024</w:t>
            </w:r>
            <w:r>
              <w:rPr>
                <w:rFonts w:ascii="Times New Roman" w:cs="Times New Roman" w:eastAsia="Times New Roman" w:hAnsi="Times New Roman"/>
                <w:sz w:val="29"/>
                <w:szCs w:val="29"/>
                <w:color w:val="auto"/>
                <w:vertAlign w:val="superscript"/>
              </w:rPr>
              <w:t>(6)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1,703,504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2.34</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13, 2024</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1,650,830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2.38</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March 14, 2024</w:t>
            </w:r>
            <w:r>
              <w:rPr>
                <w:rFonts w:ascii="Times New Roman" w:cs="Times New Roman" w:eastAsia="Times New Roman" w:hAnsi="Times New Roman"/>
                <w:sz w:val="29"/>
                <w:szCs w:val="29"/>
                <w:color w:val="auto"/>
                <w:vertAlign w:val="superscript"/>
              </w:rPr>
              <w:t>(6)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513,011</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2.23</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15, 2024</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2,675,770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2.26</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March 18, 2024</w:t>
            </w:r>
            <w:r>
              <w:rPr>
                <w:rFonts w:ascii="Times New Roman" w:cs="Times New Roman" w:eastAsia="Times New Roman" w:hAnsi="Times New Roman"/>
                <w:sz w:val="29"/>
                <w:szCs w:val="29"/>
                <w:color w:val="auto"/>
                <w:vertAlign w:val="superscript"/>
              </w:rPr>
              <w:t>(6)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1,028,414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2.26</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19, 2024</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2,296,320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2.22</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March 20, 2024</w:t>
            </w:r>
            <w:r>
              <w:rPr>
                <w:rFonts w:ascii="Times New Roman" w:cs="Times New Roman" w:eastAsia="Times New Roman" w:hAnsi="Times New Roman"/>
                <w:sz w:val="29"/>
                <w:szCs w:val="29"/>
                <w:color w:val="auto"/>
                <w:vertAlign w:val="superscript"/>
              </w:rPr>
              <w:t>(6)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2.38</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21, 2024</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1,484,550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2.48</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March 22, 2024</w:t>
            </w:r>
            <w:r>
              <w:rPr>
                <w:rFonts w:ascii="Times New Roman" w:cs="Times New Roman" w:eastAsia="Times New Roman" w:hAnsi="Times New Roman"/>
                <w:sz w:val="29"/>
                <w:szCs w:val="29"/>
                <w:color w:val="auto"/>
                <w:vertAlign w:val="superscript"/>
              </w:rPr>
              <w:t>(6)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2,097,578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2.32</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25, 2024</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635,781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2.38</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Borders>
              <w:bottom w:val="single" w:sz="8" w:color="CCEEFF"/>
            </w:tcBorders>
          </w:tcPr>
          <w:p>
            <w:pPr>
              <w:spacing w:after="0"/>
              <w:rPr>
                <w:sz w:val="21"/>
                <w:szCs w:val="2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25, 2024</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March 26,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708,372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March 27,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March 28,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3,508,443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2,656,341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2,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2,158,424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3,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1,615,839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4,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1,652,426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4, 2024</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5,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750,454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8,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1,830,209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8, 2024</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9,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801,882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9, 2024</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9, 2024</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10,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11,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856,288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12,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810,643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15,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739,695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16,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17,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1,990,557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18,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3,063,000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19,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2,332,855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22,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3,029,135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23,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1,657,089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24,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920,200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25,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974,500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29,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405,956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30,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505,857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May 1,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581,775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2,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1,060,649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May 3,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936,343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6,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1,832,807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May 7,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8,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1,148,487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May 15,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467,755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16,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775,900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May 17,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676,554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20,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May 21,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1,715,200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22,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3,134,871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May 23,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612,710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24,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2,205,562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May 27, 2024</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131,250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4, 2024</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2,783,401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39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5, 2024</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2,420,544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Borders>
              <w:bottom w:val="single" w:sz="8" w:color="CCEEFF"/>
            </w:tcBorders>
          </w:tcPr>
          <w:p>
            <w:pPr>
              <w:spacing w:after="0"/>
              <w:rPr>
                <w:sz w:val="21"/>
                <w:szCs w:val="2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6, 2024</w:t>
            </w:r>
            <w:r>
              <w:rPr>
                <w:rFonts w:ascii="Times New Roman" w:cs="Times New Roman" w:eastAsia="Times New Roman" w:hAnsi="Times New Roman"/>
                <w:sz w:val="29"/>
                <w:szCs w:val="29"/>
                <w:color w:val="auto"/>
                <w:vertAlign w:val="superscript"/>
              </w:rPr>
              <w:t>(6)</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1,693,101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2.50</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7,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1,526,500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2.51</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10,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603,829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2.32</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11,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1,618,521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2.26</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12,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3,809,000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2.43</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154,900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1.28</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0.26</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0.31</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1.79</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0.40</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20, 2024</w:t>
            </w:r>
            <w:r>
              <w:rPr>
                <w:rFonts w:ascii="Times New Roman" w:cs="Times New Roman" w:eastAsia="Times New Roman" w:hAnsi="Times New Roman"/>
                <w:sz w:val="29"/>
                <w:szCs w:val="29"/>
                <w:color w:val="auto"/>
                <w:vertAlign w:val="superscript"/>
              </w:rPr>
              <w:t>(3)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747,998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1.38</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June 21, 2024</w:t>
            </w:r>
            <w:r>
              <w:rPr>
                <w:rFonts w:ascii="Times New Roman" w:cs="Times New Roman" w:eastAsia="Times New Roman" w:hAnsi="Times New Roman"/>
                <w:sz w:val="29"/>
                <w:szCs w:val="29"/>
                <w:color w:val="auto"/>
                <w:vertAlign w:val="superscript"/>
              </w:rPr>
              <w:t>(2)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2,013,597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2.68</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2,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1,557,048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2.54</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3,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1,266,308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2.51</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3,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0.40</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4, 2024</w:t>
            </w:r>
            <w:r>
              <w:rPr>
                <w:rFonts w:ascii="Times New Roman" w:cs="Times New Roman" w:eastAsia="Times New Roman" w:hAnsi="Times New Roman"/>
                <w:sz w:val="29"/>
                <w:szCs w:val="29"/>
                <w:color w:val="auto"/>
                <w:vertAlign w:val="superscript"/>
              </w:rPr>
              <w:t>(3)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0.40</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5,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1,008,380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2.48</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8,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2.67</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8,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9,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936,525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2.58</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10,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614,666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2.44</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11,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1,160,356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2.49</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11, 2024</w:t>
            </w:r>
            <w:r>
              <w:rPr>
                <w:rFonts w:ascii="Times New Roman" w:cs="Times New Roman" w:eastAsia="Times New Roman" w:hAnsi="Times New Roman"/>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0.40</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12,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2,087,154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2.52</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15,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3,132,918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2.72</w:t>
            </w:r>
          </w:p>
        </w:tc>
      </w:tr>
      <w:tr>
        <w:trPr>
          <w:trHeight w:val="256"/>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15, 2024</w:t>
            </w:r>
            <w:r>
              <w:rPr>
                <w:rFonts w:ascii="Times New Roman" w:cs="Times New Roman" w:eastAsia="Times New Roman" w:hAnsi="Times New Roman"/>
                <w:sz w:val="29"/>
                <w:szCs w:val="29"/>
                <w:color w:val="auto"/>
                <w:vertAlign w:val="superscript"/>
              </w:rPr>
              <w:t>(2)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16,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4,845,065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2.93</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18,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179,200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3.03</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19,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1,305,651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2.81</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22,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2,185,309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2.86</w:t>
            </w:r>
          </w:p>
        </w:tc>
      </w:tr>
      <w:tr>
        <w:trPr>
          <w:trHeight w:val="256"/>
        </w:trPr>
        <w:tc>
          <w:tcPr>
            <w:tcW w:w="8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July 23, 2024</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134,100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2.85</w:t>
            </w:r>
          </w:p>
        </w:tc>
      </w:tr>
      <w:tr>
        <w:trPr>
          <w:trHeight w:val="257"/>
        </w:trPr>
        <w:tc>
          <w:tcPr>
            <w:tcW w:w="8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24, 2024</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1,500,900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2.73</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5"/>
        </w:trPr>
        <w:tc>
          <w:tcPr>
            <w:tcW w:w="8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Borders>
              <w:bottom w:val="single" w:sz="8" w:color="CCEEFF"/>
            </w:tcBorders>
          </w:tcPr>
          <w:p>
            <w:pPr>
              <w:spacing w:after="0"/>
              <w:rPr>
                <w:sz w:val="21"/>
                <w:szCs w:val="21"/>
                <w:color w:val="auto"/>
              </w:rPr>
            </w:pPr>
          </w:p>
        </w:tc>
      </w:tr>
      <w:tr>
        <w:trPr>
          <w:trHeight w:val="256"/>
        </w:trPr>
        <w:tc>
          <w:tcPr>
            <w:tcW w:w="84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August 26, 2024</w:t>
            </w:r>
            <w:r>
              <w:rPr>
                <w:rFonts w:ascii="Times New Roman" w:cs="Times New Roman" w:eastAsia="Times New Roman" w:hAnsi="Times New Roman"/>
                <w:sz w:val="29"/>
                <w:szCs w:val="29"/>
                <w:color w:val="auto"/>
                <w:vertAlign w:val="superscript"/>
              </w:rPr>
              <w:t>(7)</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1,532,745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1.96</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September 17, 2024</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41,666</w:t>
            </w:r>
          </w:p>
        </w:tc>
        <w:tc>
          <w:tcPr>
            <w:tcW w:w="300" w:type="dxa"/>
            <w:vAlign w:val="bottom"/>
          </w:tcPr>
          <w:p>
            <w:pPr>
              <w:spacing w:after="0"/>
              <w:rPr>
                <w:sz w:val="22"/>
                <w:szCs w:val="22"/>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September 23, 2024</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October 7, 2024</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2.01</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October 8, 2024</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595,860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1.88</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October 9, 2024</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1.79</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October 10, 2024</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851,390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1.75</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October 11, 2024</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1,185,859</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October 14, 2024</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640,607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1.91</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October 15, 2024</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1.91</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October 16, 2024</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1,153,900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1.91</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October 17, 2024</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775,757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1.88</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October 18, 2024</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2,822,251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2.02</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October 24, 2024</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1,142,750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2.00</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October 25, 2024</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504,300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2.01</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October 28, 2024</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2.10</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October 29, 2024</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2.29</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November 1, 2024</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336,651</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1.99</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November 29, 2024</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39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11, 2024</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20" w:right="100" w:hanging="515"/>
        <w:spacing w:after="0" w:line="261"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at the market offering agreement dated August 16, 2021 between the Company and the Agent and the Company’s prospectus supplement dated August 16, 2021 to the short form base shelf prospectus of the Company dated August 12, 2021.</w:t>
      </w:r>
    </w:p>
    <w:p>
      <w:pPr>
        <w:ind w:left="620" w:hanging="515"/>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conversion of RSUs.</w:t>
      </w:r>
    </w:p>
    <w:p>
      <w:pPr>
        <w:spacing w:after="0" w:line="9" w:lineRule="exact"/>
        <w:rPr>
          <w:rFonts w:ascii="Times New Roman" w:cs="Times New Roman" w:eastAsia="Times New Roman" w:hAnsi="Times New Roman"/>
          <w:sz w:val="18"/>
          <w:szCs w:val="18"/>
          <w:color w:val="auto"/>
        </w:rPr>
      </w:pPr>
    </w:p>
    <w:p>
      <w:pPr>
        <w:ind w:left="620" w:hanging="515"/>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exercise of stock options.</w:t>
      </w:r>
    </w:p>
    <w:p>
      <w:pPr>
        <w:spacing w:after="0" w:line="9" w:lineRule="exact"/>
        <w:rPr>
          <w:rFonts w:ascii="Times New Roman" w:cs="Times New Roman" w:eastAsia="Times New Roman" w:hAnsi="Times New Roman"/>
          <w:sz w:val="18"/>
          <w:szCs w:val="18"/>
          <w:color w:val="auto"/>
        </w:rPr>
      </w:pPr>
    </w:p>
    <w:p>
      <w:pPr>
        <w:ind w:left="620" w:hanging="515"/>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connection with private placements.</w:t>
      </w:r>
    </w:p>
    <w:p>
      <w:pPr>
        <w:spacing w:after="0" w:line="9" w:lineRule="exact"/>
        <w:rPr>
          <w:rFonts w:ascii="Times New Roman" w:cs="Times New Roman" w:eastAsia="Times New Roman" w:hAnsi="Times New Roman"/>
          <w:sz w:val="18"/>
          <w:szCs w:val="18"/>
          <w:color w:val="auto"/>
        </w:rPr>
      </w:pPr>
    </w:p>
    <w:p>
      <w:pPr>
        <w:ind w:left="620" w:hanging="515"/>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exercise of warrants.</w:t>
      </w:r>
    </w:p>
    <w:p>
      <w:pPr>
        <w:spacing w:after="0" w:line="9" w:lineRule="exact"/>
        <w:rPr>
          <w:rFonts w:ascii="Times New Roman" w:cs="Times New Roman" w:eastAsia="Times New Roman" w:hAnsi="Times New Roman"/>
          <w:sz w:val="18"/>
          <w:szCs w:val="18"/>
          <w:color w:val="auto"/>
        </w:rPr>
      </w:pPr>
    </w:p>
    <w:p>
      <w:pPr>
        <w:ind w:left="620" w:hanging="515"/>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Sales Agreement and the March Supplement.</w:t>
      </w:r>
    </w:p>
    <w:p>
      <w:pPr>
        <w:spacing w:after="0" w:line="9" w:lineRule="exact"/>
        <w:rPr>
          <w:rFonts w:ascii="Times New Roman" w:cs="Times New Roman" w:eastAsia="Times New Roman" w:hAnsi="Times New Roman"/>
          <w:sz w:val="18"/>
          <w:szCs w:val="18"/>
          <w:color w:val="auto"/>
        </w:rPr>
      </w:pPr>
    </w:p>
    <w:p>
      <w:pPr>
        <w:ind w:left="620" w:hanging="515"/>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connection with the Company’s entering into of a definitive lease agreement at its data center in Sharon, Pennsylvania.</w:t>
      </w:r>
    </w:p>
    <w:p>
      <w:pPr>
        <w:spacing w:after="0" w:line="9" w:lineRule="exact"/>
        <w:rPr>
          <w:rFonts w:ascii="Times New Roman" w:cs="Times New Roman" w:eastAsia="Times New Roman" w:hAnsi="Times New Roman"/>
          <w:sz w:val="18"/>
          <w:szCs w:val="18"/>
          <w:color w:val="auto"/>
        </w:rPr>
      </w:pPr>
    </w:p>
    <w:p>
      <w:pPr>
        <w:ind w:left="620" w:hanging="515"/>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Sales Agreement and the October Supplement.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details of the stock options to purchase Common Shares issued by the Company during the 12-month period prior to the date of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per Option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6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3.83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22, 2024</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330,000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23, 2024</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5, 2024</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following table summarizes details of the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issued by the Company during the 12-month period prior to the date of this prospectus supplement: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28, 2024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9, 2024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531,000</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Shares are listed and posted for trading on the TSX and Nasdaq under the symbol “BITF”. The following table sets forth the reported intraday high and low prices and trading volumes of the Common Shares on the TSX and Nasdaq on a monthly basis for the 12-month period prior to the date of this prospectus supplement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Price and Volume – TSX</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High (CAD)</w:t>
            </w: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Low (CAD)</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16 2024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2.73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112,729,200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62,025,200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49,992,100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60,412,900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78,971,600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88,336,100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52,617,900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49,440,500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77,728,700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137,207,000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94,076,600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147,494,900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50,363,700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28,614,700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21,720,300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33,094,600</w:t>
            </w: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Price and Volume – Nasdaq</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2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16 2024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532,458,400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976,201,500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559,689,200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293,274,900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368,725,200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519,509,900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508,198,600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352,722,300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359,737,800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457,380,500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603,354,700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519,958,700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878,618,400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302,926,800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151,281,100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117,176,200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183,225,800</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PROBABLE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Stronghold is a vertically integrated crypto-asset mining company focused on mining Bitcoin and environmental remediation and reclamation services. As of November 8, 2024, Stronghold’s mining capacity was approximately 3.2 exahash per second and it owns two merchant power plants (the Scrubgrass and Panther Creek facilities in Pennsylvania) which have more than 165 MW of power generation capacity. The consideration to be paid by the Company in connection with the Stronghold Merger is described in the Company’s material change report dated August 27, 2024, which is incorporated by reference in this prospectus supplement.</w:t>
      </w:r>
    </w:p>
    <w:p>
      <w:pPr>
        <w:spacing w:after="0" w:line="3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Stronghold Merger is expected to constitute a “significant acquisition” for the purposes of Part 8 of National Instrument 51-102 – </w:t>
      </w:r>
      <w:r>
        <w:rPr>
          <w:rFonts w:ascii="Times New Roman" w:cs="Times New Roman" w:eastAsia="Times New Roman" w:hAnsi="Times New Roman"/>
          <w:sz w:val="18"/>
          <w:szCs w:val="18"/>
          <w:i w:val="1"/>
          <w:iCs w:val="1"/>
          <w:color w:val="auto"/>
        </w:rPr>
        <w:t>Continuous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Obligations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51-102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be required to file a business acquisition report in respect of and following the completion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Merger.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Stronghold Merger are disclosed in the press release of the Company dated August 21, 2024. Under the terms of the Stronghold Merger Agreement, the Company will acquire Stronghold in a stock-for-stock merger transaction. Stronghold shareholders will receive 2.52 shares of Bitfarms for each share of Stronghold they own, representing consideration per share of U.S. $6.02 and a 71% premium to the Stronghold 90-day volume-weighted average price on Nasdaq as of August 16, 2024. The total value of the consideration is approximately $125,000,000, plus approximately $50,000,000 relating to the satisfaction of obligations under Stronghold’s existing credit agreement. At close, Stronghold’s stockholders are expected to own just under 10% of the combined company, based on the current issued and outstanding shares of each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Financial Position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Securities regulation in Canada requires that an issuer describe a proposed acquisition in a prospectus if the proposed acquisition has progressed to a state where a reasonable person would believe that the likelihood of the issuer completing the acquisition is high and where the proposed acquisition would be a “significant acquisition” for the purposes of NI 51-102 if completed as of the date of such prospectus.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Stronghold Merger would be a significant acquisition for the purposes of NI 51-102 if completed as of the date of this prospectus supplement. Accordingly, certain unaudited pro forma combined financial statements of the Company and Stronghold are included in this prospectus supplement in Schedule “A” hereto, composed of the following: (i) unaudited pro forma condensed combined statement of financial position as at September 30 2024; (ii) unaudited pro forma condensed combined statement of earnings (loss) for the nine months ended September 30, 2024; and (iii) unaudited pro forma condensed combined statement of earnings (loss) for the year ended December 31, 2023. The unaudited pro forma financial statements have been prepared to give effect to the Stronghold Merger as if Stronghold was a subsidiary of the Company during the periods presented, and may not be indicative of either the results that actually would have occurred if Stronghold were a subsidiary of the Company during such period, or of the future financial position or results of the Company. In addition, the audited consolidated financial statements of Stronghold for the years ended December 31, 2023 and 2022 and the restated unaudited consolidated financial statements of Stronghold for the three and nine months ended September 30, 2024 and 2023 are included in this prospectus supplement in Schedule A-2 and A-3, respectively. The audited and restated interim consolidated financial statements of Stronghold are stated in U.S. dollars and have been prepared in accordance with U.S. generally accepted accounting standards and not IFRS. IFRS differs in certain respects from U.S. GAAP and thus the audited and restated interim consolidated financial statements of Stronghold included in this prospectus supplement may not be comparable to financial statements of Canadian companies prepared in accordance with IFRS. In making an investment decision, investors must rely upon their own examination of the terms of this Offering and the other information contained in or incorporated by reference into this prospectus supplement. Potential investors should consult with their own professional advisors for an understanding of the differences between IFRS and U.S. GAAP, and of how those differences might affect the presented financial information.</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completion of the Stronghold Merger is subject to the receipt of all applicable regulatory approvals and there can be no assurance that the Company will complete the Stronghold Merger. See </w:t>
      </w:r>
      <w:r>
        <w:rPr>
          <w:rFonts w:ascii="Times New Roman" w:cs="Times New Roman" w:eastAsia="Times New Roman" w:hAnsi="Times New Roman"/>
          <w:sz w:val="18"/>
          <w:szCs w:val="18"/>
          <w:i w:val="1"/>
          <w:iCs w:val="1"/>
          <w:color w:val="auto"/>
        </w:rPr>
        <w:t>“Risk Factors – Risks Related to the Stronghold Merger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currently have any plans or proposals for material changes in the business of Stronghold that may have a significant impact on the financial performance and financial position of the Company, including any proposal to sell, lease or exchange all or substantially all or a substantial part of the business of Stronghold or to make any material changes to Stronghold’s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knowledge of the Company, there has not been any valuation opinion obtained within the last 12 months by the Company or Stronghold and required by securities legislation or a Canadian exchange or market. Stronghold is not an informed person, associate or affiliate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 without par value. As of the date hereof, there are 472,551,346 Common Shares and no preferred shares issued and outstanding. For a summary of certain material attributes and characteristics of the Common Shares, see “</w:t>
      </w:r>
      <w:r>
        <w:rPr>
          <w:rFonts w:ascii="Times New Roman" w:cs="Times New Roman" w:eastAsia="Times New Roman" w:hAnsi="Times New Roman"/>
          <w:sz w:val="18"/>
          <w:szCs w:val="18"/>
          <w:i w:val="1"/>
          <w:iCs w:val="1"/>
          <w:color w:val="auto"/>
        </w:rPr>
        <w:t>DESCRIPTION OF SHARE CAPITAL – Common Shares</w:t>
      </w:r>
      <w:r>
        <w:rPr>
          <w:rFonts w:ascii="Times New Roman" w:cs="Times New Roman" w:eastAsia="Times New Roman" w:hAnsi="Times New Roman"/>
          <w:sz w:val="18"/>
          <w:szCs w:val="18"/>
          <w:color w:val="auto"/>
        </w:rPr>
        <w:t>” in the accompanying base shelf prospectus.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Distribution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entered into the Sales Agreement with the Agent pursuant to which the Company may offer and sell the Offered Shares having an aggregate sales price of up to $86,913,570 from the date hereof, from time to time through the Agent. The Agent is not required to sell any specific number or dollar amount of Common Shares but will use its commercially reasonable efforts, consistent with its normal sales and trading practices, to sell the Offered Shares under the terms and conditions of the Sales Agreement. Sales of Offered Shares, if any, will be made by any method that is deemed to be an “at-the-market distribution” or an “at-the-market” offering under applicable securities laws, including, without limitation, sales made directly on Nasdaq or other existing trading markets for the Common Shares in the United States. The sales, if any, of Offered Shares made under the Sales Agreement will be made by means of ordinary brokers’ transactions on Nasdaq or another existing trading market in the United States at market prices, or as otherwise agreed upon by the Company and the Agent. No Offered Shares will be offered or sold in Canada, on the TSX or on any other trading market in Canada. Neither the Company nor the Agent will undertake any act, advertisement, solicitation, conduct or negotiation directly or indirectly in furtherance of the sale of the Offered Shares in Canada. Under the terms of the Offering, prices may vary as between purchasers and during the period of distribution. The Agent will not engage in any transactions that stabilize the price of the Common Shares.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designate the maximum number or amount of Offered Shares to be sold through the Agent on a daily basis or otherwise as the Company and the Agent agree and the minimum price per Offered Share at which such Offered Shares may be sold. Subject to the terms and conditions of the Sales Agreement, the Agent will use reasonable efforts to sell on the Company’s behalf the maximum number or amount of Offered Shares so designated. The Company may instruct the Agent not to sell any Offered Shares if the sales cannot be effected at or above the minimum price designated by the Company in any such instruction. The Company or the Agent, may suspend the offering of the Offered Shares at any time and from time to time by notifying the other parties.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the right to terminate the provisions of the Sales Agreement relating to solicitations of offers to purchase Offered Shares in its sole discretion upon written notice to the Agent as specified in the Sales Agreement, and the Agent has the right to terminate the provisions of the Sales Agreement relating to solicitations of offers to purchase Offered Shares, by giving written notice as specified in the Sales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Agent has agreed in the Sales Agreement to provide to the Company written confirmation following the close of trading on Nasdaq on each day in which Offered Shares are sold under the Sales Agreement. Each confirmation will include the number of Offered Shares sold on that day, the gross sales proceeds and the net proceeds to the Company. The Company will report at least quarterly the number of Offered Shares sold through the Agent under the Sales Agreement, the net proceeds to the Company and the Broker Fee payable to the Agent in connection with the sales of the Offered Shares.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pay the Agent a Broker Fee of 3.0% of the gross sales price per Offered Share sold through the Agent as the Company’s agent under the Sales Agreement. Because there is no minimum offering amount required as a condition of the Offering, the actual total public offering amount, Broker Fees and proceeds to the Company, if any, are not determinable at this time. The Company has agreed to reimburse the Agent for the fees and expenses of its legal counsel, in an amount not to exceed $100,000. Additionally, pursuant to the terms of the Sales Agreement, the Company agreed to reimburse the Agent for the fees of its legal counsel incurred in connection with the Agent’s ongoing due diligence requirements arising from the transactions contemplated by the Sales Agreement in an amount not to exceed $2,500 in the aggregate per calendar quarter. All expenses relating to the Offering and any compensation paid to the Agent will be paid out of the proceeds from the sale of Offered Shares, unless otherwise stated in the applicable prospectus supplement.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Settlement for sales of Offered Shares will occur, unless the parties agree otherwise, on the first trading day (or such shorter settlement cycle as may be in effect under Exchange Act Rule 15c6-1 from time to time) following the date on which any sales were made in return for payment of the net proceeds to the Company. There is no arrangement for funds to be received in an escrow, trust or similar arrangement. Sales of Offered Shares will be settled through the facilities of The Depository Trust Company or by such other means as the Company and the Agent may agree upon.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The Agent is not registered as a dealer in any Canadian jurisdiction and, accordingly, is not permitted to and will not, directly or indirectly, advertise or solicit offers to purchase any of the Offered Shares in Canada.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of Offered Shares pursuant to the Sales Agreement will terminate upon the earliest of (i) the sale of all Offered Shares subject to the Sales Agreement; and (ii) the termination of the Sales Agreement as provided therein.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Offered Shares on the Company’s behalf, the Agent may be deemed to be an “underwriter” within the meaning of the U.S. Securities Act, and the compensation paid to such Agent may be deemed to be underwriting commissions or discounts. The Company has agreed to provide indemnification and contribution to the Agent against certain liabilities, including liabilities under the U.S. Securities Act. The Agent will not engage in any transactions that stabilize the price of the Common Shares. No underwriter or dealer involved in the distribution, no affiliate of such an underwriter or dealer and no person or company acting jointly or in concert with such an underwriter or dealer has over-allotted, or will over-allot, Common Shares in connection with the distribution or effect any other transactions that are intended to stabilize or maintain the market price of the Common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applied to list the Offered Shares on the TSX. Listing is subject to the approval of the TSX in accordance with its applicable listing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 Outside of the United States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the Company that would permit a public offering of the Offered Shares in any jurisdiction outside the United States where action for that purpose is required. The Offered Shares may not be offered or sold, directly or indirectly, nor may this prospectus supplement or any other offering material or advertisements in connection with the offer and sale of any such Offered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Offered Shares in any jurisdiction in which such an offer or a solicitation is unlawful.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summary describes, as of the date hereof, the principal Canadian federal income tax considerations under the Tax Act, generally applicable to a holder who acquires, as beneficial owner, Common Shares pursuant to the Offering, and who, for the purposes of the Tax Act and at all relevant times, holds Common Shares as capital property and deals at arm’s length and is not affiliated with the Company, the Agent and any subsequent purchaser of such securities. A holder who meets all of the foregoing requirements is referred to as a “Holder” herein, and this summary only addresses such Holders. Generally, Common Shares will be considered to be capital property to a Holder, provided the Holder does not hold Common Shares in the course of carrying on a business of trading or dealing in securities and has not acquired them in one or more transactions considered to be an adventure or concern in the nature of trade.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is not applicable to a holder (i) that is a “financial institution”, as defined in the Tax Act for the purposes of the mark-to-market rules in the Tax Act, (ii) that is a “specified financial institution”, as defined in the Tax Act, (iii) of an interest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with respect to the Common Shares, or (vi) that receives dividends on Common Shares under or as part of a “dividend rental arrangement”, as defined in the Tax Act. Any such holder should consult its own tax advisor with respect to an investment in Common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considerations, not discussed herein, may be applicable to a Holder that is a corporation resident in Canada and is (or does not deal at arm’s length with a corporation resident in Canada for purposes of the Tax Act that is), or becomes, controlled by a non-resident corporation for purposes of the “foreign affiliate dumping” rules in section 212.3 of the Tax Act. Such Holders should consult their tax advisors with respect to the consequences of acquiring Common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is based upon the provisions of the Tax Act and the regulations thereunder in force as of the date hereof, all specific proposals to amend the Tax Act and the regulations thereunder that have been publicly and officially announced by or on behalf of the Minister of Finance (Canada) prior to the date hereof (the “Proposed Amendments”) and counsel’s understanding of the current administrative policies and assessing practices of the Canada Revenue Agency (the “CRA”), published in writing by it prior to the date hereof. This summary assumes the Proposed Amendments will be enacted in the form proposed. However, no assurance can be given that the Proposed Amendments will be enacted in their current form, or at all.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is not exhaustive of all possible Canadian federal income tax considerations and, except for the Proposed Amendments, does not take into account or anticipate any changes in the law or any changes in the CRA’s administrative policies and assessing practices, whether by legislative, governmental or judicial action or decision, nor does it take into account or anticipate any other federal or any provincial, territorial or foreign tax considerations, which may differ significantly from those discussed herein. This summary is not intended to be, nor should it be construed to be, legal or tax advice to any particular Holder, and no representations with respect to the income tax consequences to any Holder are made. Consequently, Holders should consult their own tax advisors with respect to the tax consequences applicable to them, having regard to their own particular circumstances.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the Tax Act, all amounts relating to the acquisition, holding or disposition of the Common Shares (including dividends, adjusted cost base and proceeds of disposition) must generally be expressed in Canadian dollars. Amounts denominated in any other currency must be converted into Canadian dollars generally based on the exchange rate quoted by the Bank of Canada for the date such amounts arise and in accordance with the detailed rules in the Tax Act. As a result, the amount of dividends required to be included in the income of, and capital gains or capital losses realized by, a Holder may be affected by fluctuations in the Canadian dollar/United States dollar exchange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Resident 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portion of this summary applies to Holders (as defined above) who, for the purposes of the Tax Act, are or are deemed to be resident in Canada at all relevant times (herein, “</w:t>
      </w:r>
      <w:r>
        <w:rPr>
          <w:rFonts w:ascii="Times New Roman" w:cs="Times New Roman" w:eastAsia="Times New Roman" w:hAnsi="Times New Roman"/>
          <w:sz w:val="18"/>
          <w:szCs w:val="18"/>
          <w:b w:val="1"/>
          <w:bCs w:val="1"/>
          <w:color w:val="auto"/>
        </w:rPr>
        <w:t>Resident Holders</w:t>
      </w:r>
      <w:r>
        <w:rPr>
          <w:rFonts w:ascii="Times New Roman" w:cs="Times New Roman" w:eastAsia="Times New Roman" w:hAnsi="Times New Roman"/>
          <w:sz w:val="18"/>
          <w:szCs w:val="18"/>
          <w:color w:val="auto"/>
        </w:rPr>
        <w:t>”) and this portion of the summary only addresses such Resident Holders. Certain Resident Holders who might not be considered to hold their Common Shares as capital property may, in certain circumstances, be entitled to have them and any other “Canadian security” (as defined in the Tax Act) be treated as capital property by making the irrevocable election permitted by subsection 39(4) of the Tax Act. Resident Holders contemplating such election should consult their own tax advisors for advice as to whether it is available and, if available, whether it is advisable in their particular circumstances.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including the enhanced gross-up and dividend tax credit provisions where the Company designates the dividend as an “eligible dividend” in accordance with the provisions of the Tax Act. There may be restrictions on the ability of the Company to designate any particular dividend as an “eligible dividend”.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A corporation that is a “private corporation” or a “subject corporation” (each as defined in the Tax Act), generally will be liable to pay an additional tax (refundable under certain circumstances) under Part IV of the Tax Act on dividends received or deemed to be received on the Common Shares in a year to the extent such dividends are deductible in computing taxable income for the year.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Disposition of Common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Resident Holder who disposes, or is deemed to dispose, of a Common Share generally will realize a capital gain (or capital loss) equal to the amount, if any, by which the proceeds of disposition, net of any reasonable costs of disposition, exceed (or are exceeded by) the adjusted cost base to the Resident Holder of such Common Shares, as the case may be, immediately before the disposition or deemed disposition. The taxation of capital gains and losses is generally described below under the heading “</w:t>
      </w:r>
      <w:r>
        <w:rPr>
          <w:rFonts w:ascii="Times New Roman" w:cs="Times New Roman" w:eastAsia="Times New Roman" w:hAnsi="Times New Roman"/>
          <w:sz w:val="18"/>
          <w:szCs w:val="18"/>
          <w:i w:val="1"/>
          <w:iCs w:val="1"/>
          <w:color w:val="auto"/>
        </w:rPr>
        <w:t>Capital Gains and Capital Losses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i w:val="1"/>
          <w:iCs w:val="1"/>
          <w:color w:val="auto"/>
        </w:rPr>
        <w:t>Capital Gains and Capital Losses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a Resident Holder is required to include in computing income for a taxation year one-half of the amount of any capital gain (a “taxable capital gain”) realized by the Resident Holder in such taxation year. Subject to and in accordance with the rules contained in the Tax Act, a Resident Holder is required to deduct one-half of the amount of any capital loss (an “allowable capital loss”) realized in a particular taxation year against taxable capital gains realized by the Resident Holder in the year.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Common Shares, to the extent and under the circumstances described in the Tax Act. Similar rules may apply where a Resident Holder that is a corporation is a member of a partnership or a beneficiary of a trust that owns Common Shares, directly or indirectly, through a partnership or trust. Resident Holders to whom these rules may be relevant should consult their own tax advisors.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Resident Holder that is throughout the relevant taxation year a “Canadian-controlled private corporation” (as defined in the Tax Act) may be liable to pay an additional tax (refundable in certain circumstances) on certain investment income, including amounts in respect of net taxable capital gains. Such Resident Holders should consult their own tax advisors. If certain Proposed Amendments are enacted, this refundable tax will also apply to a “substantive CCPC” (within the meaning of the Proposed Amendments and for the purposes of the Tax Act).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Alternative Minimum Tax</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gains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Non-Resident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portion of this summary is generally applicable to Holders who, for the purposes of the Tax Act and at all relevant times: (i) are neither resident nor deemed to be resident in Canada, and (ii) do not use or hold Common Shares in the course of business carried on or deemed to be carried on in Canada. Holders who meet all of the foregoing requirements are referred to herein as “Non-Resident Holders”, and this portion of the summary only addresses such Non-Resident Holders. Special rules, which are not discussed in this summary, may apply to a Non-Resident Holder that is an insurer carrying on business in Canada and elsewhere. Such Non-Resident Holders should consult their own tax advisors.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Receipt of Dividends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paid or credited or deemed to be paid or credited to a Non-Resident Holder by the Company are subject to Canadian withholding tax at the rate of 25% of the gross amount of the dividend unless reduced by the terms of an applicable tax treaty or convention between Canada and the country in which the Non-Resident Holder is resident. For example, under the Canada-United States Tax Convention (1980), as amended (the “Treaty”), the rate of withholding tax on dividends paid or credited to a Non-Resident Holder who is resident in the United States for purposes of the Treaty and entitled to full benefits under the Treaty (a “U.S. Holder”) is generally reduced to 15% of the gross amount of the dividend (or 5% in the case of a U.S. Holder that is a company beneficially owning at least 10% of the Common Shares). Non-Resident Holders should consult their own tax advisors in this regard.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Disposition of Common Shares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Non-Resident Holder generally will not be subject to tax under the Tax Act in respect of a capital gain realized on the disposition or deemed disposition of a Common Share unless such Common Share constitutes “taxable Canadian property” (as defined in the Tax Act) of the Non-Resident Holder at the time of disposition and the gain is not exempt from tax pursuant to the terms of an applicable tax treaty or convention.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Provided the Common Shares are listed on a “designated stock exchange”, as defined in the Tax Act (which currently includes the TSX) at the time of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Company; and (ii) more than 50% of the fair market value of the Common Shares 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Notwithstanding the foregoing, in certain circumstances set out in the Tax Act, the Common Shares may be deemed to be taxable Canadian property.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 Common Shares are taxable Canadian property of a Non-Resident Holder, such Non-Resident Holder may be exempt from tax under the Tax Act on the disposition of such Common Shares by virtue of an applicable income tax treaty or convention. In cases where a Non-Resident Holder disposes, or is deemed to dispose, of a Common Share that is taxable Canadian property of that Non-Resident Holder, and the Non-Resident Holder is not entitled to an exemption from tax under the Tax Act or pursuant to the terms of an applicable income tax treaty or convention, the consequences under the heading “</w:t>
      </w:r>
      <w:r>
        <w:rPr>
          <w:rFonts w:ascii="Times New Roman" w:cs="Times New Roman" w:eastAsia="Times New Roman" w:hAnsi="Times New Roman"/>
          <w:sz w:val="18"/>
          <w:szCs w:val="18"/>
          <w:i w:val="1"/>
          <w:iCs w:val="1"/>
          <w:color w:val="auto"/>
        </w:rPr>
        <w:t>CERTAIN CANADIAN FEDERAL INCOME TAX CONSIDERATIONS – Taxation of Resident Holders – Capital Gains and Capital Losses</w:t>
      </w:r>
      <w:r>
        <w:rPr>
          <w:rFonts w:ascii="Times New Roman" w:cs="Times New Roman" w:eastAsia="Times New Roman" w:hAnsi="Times New Roman"/>
          <w:sz w:val="18"/>
          <w:szCs w:val="18"/>
          <w:color w:val="auto"/>
        </w:rPr>
        <w:t>” will generally be applicable to such disposition. Non-Resident Holders who may hold Common Shares as taxable Canadian property should consult their own tax advisors.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generally applicable to a U.S. Holder (as defined below) of the ownership and disposition of the Common Shares. This discussion addresses only holders who acquire the Common Shares pursuant to this Offering and hold such Common Shares as “capital assets” (generally, assets held for investment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U.S. Treasury regulations, administrative pronouncements and rulings of the United States Internal Revenue Service (the “IRS”), and the Convention, all as in effect on the date hereof, and all of which may be repealed, revoked or modified (possibly with retroactive effect) so as to result in U.S. federal income tax consequences different from those discussed below. This summary does not describe any state, local or foreign tax law considerations, or any aspect of U.S. federal tax law other than income taxation (e.g., alternative minimum tax, the 3.8% Medicare tax on certain net investment income, or estate or gift tax). Except as specifically set forth below, this summary does not discuss applicable income tax reporting requirements. U.S. Holders should consult their own tax advisers regarding such matters.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ruling from the IRS has been requested, or will be obtained, regarding the U.S. federal income tax consequences of the ownership or disposition of the Common Shares. This summary is not binding on the IRS, and the IRS is not precluded from taking a position that is different from, and contrary to, the discussion set forth in this summary. In addition, because the authorities on which this summary is based are subject to various interpretations, the IRS and U.S. courts could disagree with one or more of the positions taken in this summary.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summary does not purport to address all U.S. federal income tax consequences that may be relevant to a U.S. Holder as a result of the ownership and disposition of the Common Shares, nor does it take into account the specific circumstances of any particular holder, some of which may be subject to special tax rules, including, but not limited to, tax exempt organizations, partnerships and other pass-through entities and their owners, banks or other financial institutions, insurance companies, regulated investment companies, real estate investment trusts, qualified retirement plans, individual retirement accounts or other tax-deferred accounts, persons that hold the Common Shares as part of a straddle, hedging transaction, conversion transaction, constructive sale or other similar arrangements, persons that acquired the Common Shares in connection with the exercise of employee share options or otherwise as compensation for services, persons that are resident or ordinarily resident in or have permanent establishment in a jurisdiction outside the United States, brokers, dealers or traders in securities or foreign currencies, traders in securities electing to mark to market, U.S. persons whose functional currency (as defined in the Code) is not the U.S. dollar, U.S. expatriates, or persons that own directly, indirectly or by application of the constructive ownership rules of the Code 10% or more of the Company’s shares by voting power or by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As used herein, a “U.S. Holder” is a beneficial owner of the Common Shares who, for U.S. federal income tax purposes, is: (1) an individual who is a citizen or resident of the United States; (2) a corporation (or other entity treated as a corporation for U.S. federal income tax purposes) that is created or organized in or under the laws of the United States, any state thereof, or the District of Columbia, (3) an estate whose income is subject to U.S. federal income tax regardless of its source, or (4) a trust (A) if a U.S. court is able to exercise primary supervision over the administration of the trust and one or more U.S. persons have the authority to control all substantial decisions of the trust, or (B) that has validly elected to be treated as a U.S. person for U.S. federal income tax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Common Shares, the tax treatment of a partner in or owner of the partnership or other entity or arrangement will generally depend upon the status of the partner or owner and the activities of the entity. Prospective investors who are partners in partnerships (or other entities or arrangements treated as partnerships for U.S. federal income tax purposes) that are beneficial owners of the Common Shares are urged to consult their own tax advisors regarding the tax consequences of the ownership and disposition of the Common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summary is of a general nature only and is not intended to be tax advice to any prospective investor, and no representation with respect to the tax consequences to any particular investor is made. </w:t>
      </w:r>
      <w:r>
        <w:rPr>
          <w:rFonts w:ascii="Times New Roman" w:cs="Times New Roman" w:eastAsia="Times New Roman" w:hAnsi="Times New Roman"/>
          <w:sz w:val="18"/>
          <w:szCs w:val="18"/>
          <w:b w:val="1"/>
          <w:bCs w:val="1"/>
          <w:color w:val="auto"/>
        </w:rPr>
        <w:t>Prospective investors are urged to consult their own tax advisors regarding the application of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federal income tax laws to their particular circumstances, as well as any state, provincial, local, non-U.S. and other tax consequences of investing in the Common Shares and acquiring, holding or disposing of the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foreign corporation will generally be considered a PFIC for any taxable year in which (1) 75% or more of its gross income is “passive income” under the PFIC rules or (2) 50% or more of the average quarterly value of its assets produce, (or are held for the production of) “passive income.” For this purpose, “passive income” generally includes dividends, interest, certain rents and royalties and certain gains, including the excess of gains over losses from certain commodities transactions. Net gains from commodities transactions are generally treated as passive income unless such gains are active business gains from the sale of commodities and “substantially all” of the corporation’s commodities are stock in trade or inventory, depreciable property used in a trade or business, or supplies regularly used or consumed in a trade or business. Moreover, for purposes of determining if the foreign corporation is a PFIC, if the foreign corporation owns, directly or indirectly, at least 25%, by value, of the shares of another corporation, it will be treated as if it directly holds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not free from doubt, the Company does not believe it was a PFIC for 2023 and does not expect to be a PFIC for 2024. The Company’s status as a PFIC in any taxable year, however, requires a factual determination that can only be made annually after the close of each taxable year. Moreover, the application of the PFIC rules to cryptocurrency such as bitcoin and transactions related thereto is subject to uncertainty. Accordingly, there can be no assurance that the Company will not be classified as a PFIC for any future taxable year. Prospective U.S. Holders contemplating an investment in the Common Shares are urged to consult their tax advisors regarding the Company’s status as a PFIC and the U.S. federal income tax consequences that may apply if the Company is determined to be a PFIC in any taxable year.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classified as a PFIC, a U.S. Holder that does not make any of the elections described below would be required to report any gain on the disposition of the Common Shares as ordinary income, rather than as capital gain, and to compute the tax liability on the gain and any “Excess Distribution” (as defined below) received in respect of Common Shares as if such items had been earned ratably over each day in the U.S. Holder’s holding period (or a portion thereof) for Common Shares. The amounts allocated to the taxable year during which the gain is realized or distribution is made, and to any taxable years in such U.S. Holder’s holding period that are before the first taxable year in which the Company is treated as a PFIC with respect to the U.S. Holder, would be included in the U.S. Holder’s gross income as ordinary income for the taxable year of the gain or distribution. The amount allocated to each other taxable year would be taxed as ordinary income in the taxable year during which the gain is realized or distribution is made at the highest tax rate in effect for the U.S. Holder in that other taxable year and would be subject to an interest charge as if the income tax liabilities had been due with respect to each such prior year. For purposes of these rules, gifts, exchanges pursuant to corporate reorganizations and use of Common Shares as security for a loan may be treated as a taxable disposition of Common Shares. An “Excess Distribution” is the amount by which distributions during a taxable year in respect of a common share exceed 125% of the average amount of distributions in respect thereof during the three preceding taxable years (or, if shorter, the U.S. Holder’s holding period for Common Shares).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Certain additional adverse tax rules will apply to a U.S. Holder for any taxable year in which the Company is treated as a PFIC with respect to such U.S. Holder and any of the Company’s subsidiaries is also treated as a PFIC (a “Subsidiary PFIC”). In such a case, the U.S. Holder will generally be deemed to own its proportionate interest (by value) in any Subsidiary PFIC and be subject to the PFIC rules described above with respect to the Subsidiary PFIC regardless of such U.S. Holder’s percentage ownership in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adverse tax consequences described above may be mitigated if a U.S. Holder makes a timely QEF Election with respect to its interest in the PFIC. Consequently, if the Company is classified as a PFIC, it may be advantageous for a U.S. Holder to elect to treat the Company as a “qualified electing fund” with respect to such U.S. Holder in the first year in which it holds Common Shares. If a U.S. Holder makes a timely QEF Election with respect to the Company, provided that the necessary information is provided by the Company, the electing U.S. Holder would be required in each taxable year that the Company is considered a PFIC to include in gross income (i) as ordinary income, the U.S. Holder’s pro rata share of the ordinary earnings of the Company and (ii) as capital gain, the U.S. Holder’s pro rata share of the net capital gain (if any) of the Company, whether or not the ordinary earnings or net capital gain are distributed. An electing U.S. Holder’s basis in Common Shares will be increased to reflect the amount of any taxed but undistributed income. Distributions of income that had previously been taxed will result in a corresponding reduction of basis in Common Shares and will not be taxed again as distributions to the U.S. Holder.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QEF Election made with respect to the Company will not apply to any Subsidiary PFIC; a QEF Election must be made separately for each Subsidiary PFIC (in which case the treatment described above would apply to such Subsidiary PFIC). If a U.S. Holder makes a timely QEF Election with respect to a Subsidiary PFIC, it would be required in each taxable year to include in gross income its pro rata share of the ordinary earnings and net capital gain of such Subsidiary PFIC, but may not receive a distribution of such income. Such a U.S. Holder may, subject to certain limitations, elect to defer payment of current U.S. federal income tax on such amounts, subject to an interest charge (which would not be deductible for U.S. federal income tax purposes if the U.S. Holder were an individual).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on any gain from the disposition of Common Shares or from the receipt of Excess Distributions may be greater than the tax if a timely QEF Election is made. U.S. Holders should be aware that the Company does not intend to provide the information necessary for U.S. Holders to make a QEF Election if the Company is classified as a PFIC for any year. U.S. Holders are urged to consult their own tax advisors about the U.S. federal income tax consequences to them if they are unable to make a timely and valid QEF Election for any taxable year in which the Company is treated as PFIC.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Alternatively, if the Company were to be classified as a PFIC, a U.S. Holder could also avoid certain of the rules described above by making a mark-to-market election (a “Mark-to-Market Election”), instead of a QEF Election, provided the Common Shares are treated as regularly traded on a qualified exchange or other market within the meaning of the applicable U.S. Treasury Regulations. However, a U.S. Holder will not be permitted to make a Mark-to-Market Election with respect to a Subsidiary PFIC. U.S. Holders should consult their own tax advisers regarding the potential availability and consequences of a Mark-to-Market Election, as well as the advisability of making a protective QEF Election in case the Company is classified as a PFIC in any taxable year.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any taxable year in which the Company or any Subsidiary PFIC is classified as a PFIC with respect to a U.S. Holder, that U.S. Holder generally must file IRS Form 8621. U.S. Holders should consult their own tax advisers concerning annual filing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subject to the PFIC rules discussed above, the gross amount of any distribution received by a U.S. Holder with respect to the Common Shares (including amounts withheld to pay Canadian withholding taxes) will be included in the gross income of the U.S. Holder as dividend income to the extent attributable to the Company’s current or accumulated earnings and profits, as determined under U.S. federal income tax principles. Because the Company does not expect to maintain calculations of the Company’s earnings and profits in accordance with U.S. federal income tax principles, U.S. Holders should expect that a distribution will generally be treated as a dividend for U.S. federal income tax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any distributions paid in Canadian dollars will equal the U.S. dollar value of such distributions determined by reference to the exchange rate on the day they are received by the U.S. Holder (with the value of such distributions computed before any reduction for any Canadian withholding tax), regardless of whether the payment is in fact converted into U.S. dollars at that time. A U.S. Holder will have a tax basis in Canadian dollars equal to their U.S. dollar value on the date of receipt. If the Canadian dollars received are converted into U.S. dollars on the date of receipt, the U.S. Holder should generally not be required to recognize foreign currency gain or loss in respect of the distribution. If the Canadian dollars received are not converted into U.S. dollars on the date of receipt, a U.S. Holder may recognize foreign currency gain or loss on a subsequent conversion or other disposition of the Canadian dollars. Such gain or loss generally will be treated as U.S. source ordinary income or loss.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and provided the Company is eligible for the benefits of the Canada-U.S. Tax Convention or the Common Shares are readily tradable on a United States securities market, dividends paid by the Company to non-corporate US Holders, including individuals, generally will be eligible for the preferential tax rates applicable to long-term capital gains for dividends, provided certain holding period and other conditions are satisfied, including that the Company is not classified as a PFIC in the tax year of distribution or in the preceding tax year. Any amount of distributions treated as dividends generally will not be eligible for the dividends received deduction available to certain corporate U.S. Holders in respect of dividends received from U.S. corporations.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Distributions to a U.S. Holder with respect to the Common Shares may be subject to Canadian non-resident withholding tax. See “</w:t>
      </w:r>
      <w:r>
        <w:rPr>
          <w:rFonts w:ascii="Times New Roman" w:cs="Times New Roman" w:eastAsia="Times New Roman" w:hAnsi="Times New Roman"/>
          <w:sz w:val="18"/>
          <w:szCs w:val="18"/>
          <w:i w:val="1"/>
          <w:iCs w:val="1"/>
          <w:color w:val="auto"/>
        </w:rPr>
        <w:t>Certain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w:t>
      </w:r>
      <w:r>
        <w:rPr>
          <w:rFonts w:ascii="Times New Roman" w:cs="Times New Roman" w:eastAsia="Times New Roman" w:hAnsi="Times New Roman"/>
          <w:sz w:val="18"/>
          <w:szCs w:val="18"/>
          <w:color w:val="auto"/>
        </w:rPr>
        <w:t>” above. Any Canadian withholding tax paid will not reduce the amount treated as received by the U.S. Holder for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purposes. However, subject to limitations imposed by U.S. law, a U.S. Holder may be eligible to receive a foreign tax credit for the Canadian withholding tax. For purposes of calculating a U.S. Holder’s foreign tax credit, dividends received by such U.S. Holder with respect to the shares of a foreign corporation, including the Common Shares, generally constitute foreign source income. However, and subject to certain exceptions, a portion of the dividends paid by a foreign corporation will be treated as U.S. source income for U.S. foreign tax credit purposes, in proportion to its U.S. source earnings and profits, if U.S. persons collectively own, directly, or indirectly, 50% or more of the voting power or value of the foreign corporation’s shares. If a portion of any dividends paid with respect to the Common Shares are treated as U.S. source income under these rules, it may limit the ability of a U.S. Holder to claim a foreign tax credit for any Canadian withholding taxes imposed in respect of such dividend, although certain elections under the Code and the Convention may be available to mitigate these effects. Dividends received by a U.S. Holder with respect to the Common Shares will generally constitute “passive category income” for purposes of the foreign tax credit. The rules governing the foreign tax credit are complex. U.S. Holders are urged to consult their own tax advisors regarding the availability of the foreign tax credit under their particular circumstances, including the impact of, and any exception available to, the special income sourcing rule described in this paragraph. U.S. Holders who do not elect to claim a foreign tax credit may be able to claim an ordinary income tax deduction for Canadian income tax withheld, but only for a taxable year in which the U.S. Holder elects to do so with respect to all non-U.S. income taxes paid or accrued in such taxable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Disposition of Common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PFIC rules discussed above, upon a sale, exchange or other taxable disposition of the Common Shares, a U.S. Holder will generally recognize a capital gain or loss equal to the difference between the amount realized on such sale, exchange or other taxable disposition (or, if the amount realized is denominated in Canadian dollars, its U.S. dollar equivalent, determined by reference to the spot rate of exchange on the date of disposition) and the adjusted tax basis of such Common Shares. If any foreign tax is imposed on the sale, exchange or other disposition of the Common Shares, a U.S. Holder’s amount realized will include the gross amount of the proceeds of the disposition before deduction of the tax. A U.S. Holder’s initial tax basis in the Common Shares generally will equal the cost of such Common Shares. Such gain or loss will be a long-term capital gain or loss if the Common Shares have been held for more than one year and will be a short-term gain or loss if the holding period is equal to or less than one year. Such gain or loss generally will be considered U.S. source gain or loss for U.S. foreign tax credit purposes. Long-term capital gains of certain non-corporate U.S. Holders are eligible for reduced rates of taxation. For both corporate and non-corporate U.S. Holders, limitations apply to the deductibility of capital losses. If a U.S. Holder receives any foreign currency on the sale of the Common Shares, the U.S. Holder may recognize ordinary income or loss as a result of currency fluctuations between the date of the sale of the Common Shares and the date the sale proceeds are converted into U.S. dollars.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Disclosure with Respect to Foreign Financial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U.S. Holders are required to report information relating to an interest in the Common Shares, subject to certain exceptions (including an exception for Common Shares held in accounts maintained by certain financial institutions), by attaching a completed IRS Form 8938 with their tax return for each year in which they hold an interest in the Common Shares. U.S. Holders are urged to consult their own tax advisors regarding information reporting requirements relating to their ownership of the Common Shares.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EACH PROSPECTIVE UNITED STATES INVESTOR IS URGED TO CONSULT ITS OWN TAX ADVISORS ABOUT THE U. S. TAX CONSEQUENCES TO IT OF AN INVESTMENT IN THE COMPANY’S COMMON SHARES IN LIGHT OF THE INVESTOR’S OWN CIRCUMSTANCES.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on behalf of the Company by Peterson McVicar LLP, with respect to Canadian legal matters, and Skadden, Arps, Slate, Meagher &amp; Flom LLP, with respect to United States legal matters. H.C. Wainwright &amp; Co., LLC is being represented in connection with this offering by Ellenoff Grossman &amp; Schole LLP.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hereof, Peterson McVicar LLP, and its partners and associates beneficially own, directly or indirectly, less than 1% of any class of outstanding securities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NAMES OF 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Stronghold’s independent registered public accounting firm is Urish Popeck &amp; Co., LLC, who have issued a Report of Independent Registered Public Accounting Firm dated March 8, 2024 in respect of Stronghold’s consolidated financial statements as at December 31, 2023 and 2022 and for the years ended December 31, 2023 and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the Company is PricewaterhouseCoopers LLP at its offices located at PwC Tower, 18 York Street, Suite 2500, Toronto, Ontario, Canada M5J 0B2.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of the Company is TSX Trust Company at its offices located at 100 Adelaide St W #301, Toronto, ON M5H 1S3.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AGENT FOR SERVICE OF PROCESS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Prospective investors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directors and officers of the Company reside outside of Canada. Benjamin Gagnon, Edith M. Hofmeister, Fanny Philip, Jeffrey Lucas and Andrew Chang have appointed the following agent for service of process: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Address of Agent</w:t>
            </w:r>
          </w:p>
        </w:tc>
        <w:tc>
          <w:tcPr>
            <w:tcW w:w="0" w:type="dxa"/>
            <w:vAlign w:val="bottom"/>
          </w:tcPr>
          <w:p>
            <w:pPr>
              <w:spacing w:after="0"/>
              <w:rPr>
                <w:sz w:val="1"/>
                <w:szCs w:val="1"/>
                <w:color w:val="auto"/>
              </w:rPr>
            </w:pP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17"/>
                <w:szCs w:val="17"/>
                <w:color w:val="auto"/>
              </w:rPr>
            </w:pPr>
          </w:p>
        </w:tc>
        <w:tc>
          <w:tcPr>
            <w:tcW w:w="5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Bitfarms Ltd.</w:t>
            </w:r>
          </w:p>
        </w:tc>
        <w:tc>
          <w:tcPr>
            <w:tcW w:w="0" w:type="dxa"/>
            <w:vAlign w:val="bottom"/>
          </w:tcPr>
          <w:p>
            <w:pPr>
              <w:spacing w:after="0"/>
              <w:rPr>
                <w:sz w:val="1"/>
                <w:szCs w:val="1"/>
                <w:color w:val="auto"/>
              </w:rPr>
            </w:pPr>
          </w:p>
        </w:tc>
      </w:tr>
      <w:tr>
        <w:trPr>
          <w:trHeight w:val="10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110 Yonge Street, Suite 1601,</w:t>
            </w:r>
          </w:p>
        </w:tc>
        <w:tc>
          <w:tcPr>
            <w:tcW w:w="0" w:type="dxa"/>
            <w:vAlign w:val="bottom"/>
          </w:tcPr>
          <w:p>
            <w:pPr>
              <w:spacing w:after="0"/>
              <w:rPr>
                <w:sz w:val="1"/>
                <w:szCs w:val="1"/>
                <w:color w:val="auto"/>
              </w:rPr>
            </w:pPr>
          </w:p>
        </w:tc>
      </w:tr>
      <w:tr>
        <w:trPr>
          <w:trHeight w:val="10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5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40" w:type="dxa"/>
            <w:vAlign w:val="bottom"/>
            <w:gridSpan w:val="2"/>
            <w:vMerge w:val="continue"/>
          </w:tcPr>
          <w:p>
            <w:pPr>
              <w:spacing w:after="0"/>
              <w:rPr>
                <w:sz w:val="9"/>
                <w:szCs w:val="9"/>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Toronto, ON M5C 1T4</w:t>
            </w:r>
          </w:p>
        </w:tc>
        <w:tc>
          <w:tcPr>
            <w:tcW w:w="0" w:type="dxa"/>
            <w:vAlign w:val="bottom"/>
          </w:tcPr>
          <w:p>
            <w:pPr>
              <w:spacing w:after="0"/>
              <w:rPr>
                <w:sz w:val="1"/>
                <w:szCs w:val="1"/>
                <w:color w:val="auto"/>
              </w:rPr>
            </w:pPr>
          </w:p>
        </w:tc>
      </w:tr>
      <w:tr>
        <w:trPr>
          <w:trHeight w:val="126"/>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5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740" w:type="dxa"/>
            <w:vAlign w:val="bottom"/>
            <w:gridSpan w:val="2"/>
            <w:vMerge w:val="continue"/>
          </w:tcPr>
          <w:p>
            <w:pPr>
              <w:spacing w:after="0"/>
              <w:rPr>
                <w:sz w:val="7"/>
                <w:szCs w:val="7"/>
                <w:color w:val="auto"/>
              </w:rPr>
            </w:pPr>
          </w:p>
        </w:tc>
        <w:tc>
          <w:tcPr>
            <w:tcW w:w="5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Chang</w:t>
            </w: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has filed with the SEC, concurrently with the Registration Statement, an appointment of agent for service of process on Form F-X. Under the Form F-X, the Company appointed Cogency Global Inc., with an address at 122 E. 42nd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EXEMPTIONS UNDER SECURITIES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decision of the Autorité des Marchés Financiers, the securities regulatory authority in the Province of Québec, dated June 22, 2023, the Company was granted relief from the requirement that the base shelf prospectus and all documents incorporated by reference therein, as well as any prospectus supplement thereto that relates to any future “at-the-market” distribution, must be in both the French and English languages. The Company is not required to file French versions of the base shelf prospectus, the documents incorporated by reference therein or any prospectus supplement relating to an “at-the-market” distribution. This exemption was granted on the condition that the base shelf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 FORMA FINANCIAL INFORMATION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Ltd. (“Bitfarms” or the “Company”) was incorporated under the Canada Business Corporations Act on October 11, 2018 and continued under the Business Corporations Act (Ontario) on August 27, 2021. The common shares of the Company are listed on Nasdaq and the Toronto Stock Exchange (NASDAQ/TSX: BITF). Bitfarms’ registered office is located on 110 Yonge Street, Suite 1601, Toronto, Ontario, Canada, M5C 1T4. Bitfarms owns and operates data centers housing computers (referred to as “Miners”) designed for the purpose of validating transactions on the Bitcoin Blockchain (referred to as “Mining”). It provides a service to perform hash calculations for the Mining pool operator in exchange for noncash consideration in the form of Bitcoin under formula driven rates.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 Digital Mining, Inc. ("Stronghold") was incorporated as a Delaware corporation on March 19, 2021. The Stronghold Class A common stock is listed on Nasdaq. Stronghold is a vertically integrated Bitcoin mining company with an emphasis on environmentally beneficial operations. Stronghold wholly owns and operates two coal refuse power generation facilities.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August 21, 2024, Bitfarms entered into a definitive agreement and plan of merger (as amended by amendment no. 1, dated September 12, 2024 and as may be further amended, the “merger agreement”) with Stronghold, Backbone Mining Solutions, LLC, (“BMS”) an indirect, wholly-owned subsidiary of Bitfarms and HPC &amp; AI Megacorp, Inc. (“Merger Sub”), a Delaware corporation and a wholly-owned subsidiary of BMS, pursuant to which Merger Sub will merge with and into Stronghold, with Stronghold surviving the merger as an indirect wholly-owned subsidiary of Bitfarms (the “merger”). Upon completion of the merger, Merger Sub will cease to exist as a separate entity. See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xml:space="preserve"> for additional information on the merger.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statements presents the combination of the financial statements of Bitfarms and Stronghold adjusted to give effect to the merger. The unaudited pro forma condensed combined statement of financial position as at September 30, 2024 includes the pro forma effect of this transaction as if it had occurred on September 30, 2024. The unaudited pro forma condensed combined statement of income for the nine months ended September 30, 2024 and the year ended December 31, 2023 includes the pro forma effect of this transaction as if it had occurred on January 1, 2023. The assumptions and estimates underlying the unaudited pro forma adjustments set forth in the unaudited pro forma condensed combined financial statements are described in the accompanying notes. The unaudited pro forma condensed combined financial statements were presented for illustrative purposes only and are not necessarily indicative of the operating results and financial position that would have been achieved had the merger occurred on the dates indicated. Further, the unaudited pro forma condensed combined financial statements do not purport to project the future operating results or financial position following the completion of the merger.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13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U.S. GAAP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IFRS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Pro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Stronghold</w:t>
            </w: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Bitfarms</w:t>
            </w:r>
          </w:p>
        </w:tc>
        <w:tc>
          <w:tcPr>
            <w:tcW w:w="1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(Note 3)</w:t>
            </w: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0" w:type="dxa"/>
            <w:vAlign w:val="bottom"/>
          </w:tcPr>
          <w:p>
            <w:pPr>
              <w:spacing w:after="0"/>
              <w:rPr>
                <w:sz w:val="21"/>
                <w:szCs w:val="21"/>
                <w:color w:val="auto"/>
              </w:rPr>
            </w:pP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72,913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(53,468)</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23,936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11,440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15,918</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72,629</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6,996</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6,107</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6,107</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189,047</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12,819</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148,398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246,514</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126,675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373,189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23,955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905</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4(b)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24,755</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Long-term deposits, equipment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122,901</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(7,125)</w:t>
            </w:r>
          </w:p>
        </w:tc>
        <w:tc>
          <w:tcPr>
            <w:tcW w:w="6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116,697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72,721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5(c)</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72,721</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586,625</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141,365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vMerge w:val="continue"/>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12,128</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740,013</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26,058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5(j)</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19,567</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(19,567)</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14,327</w:t>
            </w:r>
          </w:p>
        </w:tc>
        <w:tc>
          <w:tcPr>
            <w:tcW w:w="0" w:type="dxa"/>
            <w:vAlign w:val="bottom"/>
          </w:tcPr>
          <w:p>
            <w:pPr>
              <w:spacing w:after="0"/>
              <w:rPr>
                <w:sz w:val="1"/>
                <w:szCs w:val="1"/>
                <w:color w:val="auto"/>
              </w:rPr>
            </w:pPr>
          </w:p>
        </w:tc>
      </w:tr>
      <w:tr>
        <w:trPr>
          <w:trHeight w:val="23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Non-current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33,880</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(33,880)</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19,974</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357</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20,331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1,117</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16,765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17,008</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5(b)</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(16,765)</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10,501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(7,800)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5(f)</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74,601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110,299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common stock</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Class V; $ 0.0001 par</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value; 50,000,000 shares authorized;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2,405,760 shares issued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4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11,536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(11,536)</w:t>
            </w:r>
          </w:p>
        </w:tc>
        <w:tc>
          <w:tcPr>
            <w:tcW w:w="6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redeemable common stock</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801,637</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(4,059)</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5(a)</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905,296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103,439</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5(b)</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Contributed surplus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63,785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376,235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(376,235)</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63,785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(356,709)</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(360,764)</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4(b)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360,869</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5(a)</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(358,754)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455</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5(f)</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5(j)</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surplus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512,024</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19,530</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82,189</w:t>
            </w:r>
          </w:p>
        </w:tc>
        <w:tc>
          <w:tcPr>
            <w:tcW w:w="22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613,638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586,625</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141,365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12,128</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740,013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900" w:right="339" w:bottom="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1"/>
          <w:szCs w:val="21"/>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19050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c>
          <w:tcPr>
            <w:tcW w:w="80" w:type="dxa"/>
            <w:vAlign w:val="bottom"/>
          </w:tcPr>
          <w:p>
            <w:pPr>
              <w:spacing w:after="0"/>
              <w:rPr>
                <w:sz w:val="18"/>
                <w:szCs w:val="18"/>
                <w:color w:val="auto"/>
              </w:rPr>
            </w:pPr>
          </w:p>
        </w:tc>
        <w:tc>
          <w:tcPr>
            <w:tcW w:w="118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8"/>
                <w:szCs w:val="18"/>
                <w:color w:val="auto"/>
              </w:rPr>
            </w:pPr>
          </w:p>
        </w:tc>
        <w:tc>
          <w:tcPr>
            <w:tcW w:w="118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IFRS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0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Stronghold</w:t>
            </w:r>
          </w:p>
        </w:tc>
        <w:tc>
          <w:tcPr>
            <w:tcW w:w="126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Forma</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Bitfarms</w:t>
            </w:r>
          </w:p>
        </w:tc>
        <w:tc>
          <w:tcPr>
            <w:tcW w:w="120" w:type="dxa"/>
            <w:vAlign w:val="bottom"/>
          </w:tcPr>
          <w:p>
            <w:pPr>
              <w:spacing w:after="0"/>
              <w:rPr>
                <w:sz w:val="21"/>
                <w:szCs w:val="21"/>
                <w:color w:val="auto"/>
              </w:rPr>
            </w:pPr>
          </w:p>
        </w:tc>
        <w:tc>
          <w:tcPr>
            <w:tcW w:w="9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80" w:type="dxa"/>
            <w:vAlign w:val="bottom"/>
          </w:tcPr>
          <w:p>
            <w:pPr>
              <w:spacing w:after="0"/>
              <w:rPr>
                <w:sz w:val="21"/>
                <w:szCs w:val="21"/>
                <w:color w:val="auto"/>
              </w:rPr>
            </w:pPr>
          </w:p>
        </w:tc>
        <w:tc>
          <w:tcPr>
            <w:tcW w:w="118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7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7"/>
              </w:rPr>
              <w:t>Pro Forma</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136,718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54,649</w:t>
            </w:r>
          </w:p>
        </w:tc>
        <w:tc>
          <w:tcPr>
            <w:tcW w:w="12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3,892</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195,259</w:t>
            </w: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(170,464)</w:t>
            </w:r>
          </w:p>
        </w:tc>
        <w:tc>
          <w:tcPr>
            <w:tcW w:w="120" w:type="dxa"/>
            <w:vAlign w:val="bottom"/>
          </w:tcPr>
          <w:p>
            <w:pPr>
              <w:spacing w:after="0"/>
              <w:rPr>
                <w:sz w:val="20"/>
                <w:szCs w:val="20"/>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(55,945)</w:t>
            </w:r>
          </w:p>
        </w:tc>
        <w:tc>
          <w:tcPr>
            <w:tcW w:w="12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(394)</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(226,803)</w:t>
            </w:r>
          </w:p>
        </w:tc>
        <w:tc>
          <w:tcPr>
            <w:tcW w:w="0" w:type="dxa"/>
            <w:vAlign w:val="bottom"/>
          </w:tcPr>
          <w:p>
            <w:pPr>
              <w:spacing w:after="0"/>
              <w:rPr>
                <w:sz w:val="1"/>
                <w:szCs w:val="1"/>
                <w:color w:val="auto"/>
              </w:rPr>
            </w:pPr>
          </w:p>
        </w:tc>
      </w:tr>
      <w:tr>
        <w:trPr>
          <w:trHeight w:val="236"/>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(31,544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(53,198)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(40,146)</w:t>
            </w:r>
          </w:p>
        </w:tc>
        <w:tc>
          <w:tcPr>
            <w:tcW w:w="12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508</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638</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4(c)</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4,358</w:t>
            </w:r>
          </w:p>
        </w:tc>
        <w:tc>
          <w:tcPr>
            <w:tcW w:w="12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(4,878)</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198"/>
        </w:trPr>
        <w:tc>
          <w:tcPr>
            <w:tcW w:w="39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 property, plant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 and deposits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20"/>
                <w:szCs w:val="20"/>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(2,683)</w:t>
            </w:r>
          </w:p>
        </w:tc>
        <w:tc>
          <w:tcPr>
            <w:tcW w:w="12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and assets held for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3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(91,178)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17,367</w:t>
            </w:r>
          </w:p>
        </w:tc>
        <w:tc>
          <w:tcPr>
            <w:tcW w:w="12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1,671</w:t>
            </w:r>
          </w:p>
        </w:tc>
        <w:tc>
          <w:tcPr>
            <w:tcW w:w="12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4(b)</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6,753</w:t>
            </w:r>
          </w:p>
        </w:tc>
        <w:tc>
          <w:tcPr>
            <w:tcW w:w="7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5(i)</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25,706</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(73,811)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6,753</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4,583</w:t>
            </w:r>
          </w:p>
        </w:tc>
        <w:tc>
          <w:tcPr>
            <w:tcW w:w="120" w:type="dxa"/>
            <w:vAlign w:val="bottom"/>
          </w:tcPr>
          <w:p>
            <w:pPr>
              <w:spacing w:after="0"/>
              <w:rPr>
                <w:sz w:val="19"/>
                <w:szCs w:val="19"/>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213</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7"/>
        </w:trPr>
        <w:tc>
          <w:tcPr>
            <w:tcW w:w="3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3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(69,228</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(38,095</w:t>
            </w:r>
          </w:p>
        </w:tc>
        <w:tc>
          <w:tcPr>
            <w:tcW w:w="140" w:type="dxa"/>
            <w:vAlign w:val="bottom"/>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00" w:type="dxa"/>
            <w:vAlign w:val="bottom"/>
            <w:vMerge w:val="continue"/>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6,753</w:t>
            </w: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(100,677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7"/>
              </w:rPr>
              <w:t>396,423,169</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444,522,037</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12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IFRS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8"/>
                <w:szCs w:val="18"/>
                <w:color w:val="auto"/>
              </w:rPr>
            </w:pPr>
          </w:p>
        </w:tc>
        <w:tc>
          <w:tcPr>
            <w:tcW w:w="11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Stronghold</w:t>
            </w:r>
          </w:p>
        </w:tc>
        <w:tc>
          <w:tcPr>
            <w:tcW w:w="12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Bitfarms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(Note 3)</w:t>
            </w:r>
          </w:p>
        </w:tc>
        <w:tc>
          <w:tcPr>
            <w:tcW w:w="12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7"/>
              </w:rPr>
              <w:t>Pro Forma</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146,366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74,966</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221,332</w:t>
            </w: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(77,831)</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(486)</w:t>
            </w:r>
          </w:p>
        </w:tc>
        <w:tc>
          <w:tcPr>
            <w:tcW w:w="5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4(b)</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(246,185)</w:t>
            </w:r>
          </w:p>
        </w:tc>
        <w:tc>
          <w:tcPr>
            <w:tcW w:w="0" w:type="dxa"/>
            <w:vAlign w:val="bottom"/>
          </w:tcPr>
          <w:p>
            <w:pPr>
              <w:spacing w:after="0"/>
              <w:rPr>
                <w:sz w:val="1"/>
                <w:szCs w:val="1"/>
                <w:color w:val="auto"/>
              </w:rPr>
            </w:pPr>
          </w:p>
        </w:tc>
      </w:tr>
      <w:tr>
        <w:trPr>
          <w:trHeight w:val="236"/>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(50,388)</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629</w:t>
            </w:r>
          </w:p>
        </w:tc>
        <w:tc>
          <w:tcPr>
            <w:tcW w:w="5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4(b)</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(1,388)</w:t>
            </w:r>
          </w:p>
        </w:tc>
        <w:tc>
          <w:tcPr>
            <w:tcW w:w="760" w:type="dxa"/>
            <w:vAlign w:val="bottom"/>
            <w:gridSpan w:val="3"/>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5(e)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(3,340)</w:t>
            </w:r>
          </w:p>
        </w:tc>
        <w:tc>
          <w:tcPr>
            <w:tcW w:w="5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4(c)</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7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5(f)</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3"/>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5(g)</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7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5(j)</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968</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(1,887)</w:t>
            </w:r>
          </w:p>
        </w:tc>
        <w:tc>
          <w:tcPr>
            <w:tcW w:w="5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198"/>
        </w:trPr>
        <w:tc>
          <w:tcPr>
            <w:tcW w:w="40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 property, plant and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(3,766)</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and right-of-use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(5,422)</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0" w:type="dxa"/>
            <w:vAlign w:val="bottom"/>
          </w:tcPr>
          <w:p>
            <w:pPr>
              <w:spacing w:after="0"/>
              <w:rPr>
                <w:sz w:val="1"/>
                <w:szCs w:val="1"/>
                <w:color w:val="auto"/>
              </w:rPr>
            </w:pPr>
          </w:p>
        </w:tc>
      </w:tr>
      <w:tr>
        <w:trPr>
          <w:trHeight w:val="237"/>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0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(910)</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910</w:t>
            </w:r>
          </w:p>
        </w:tc>
        <w:tc>
          <w:tcPr>
            <w:tcW w:w="5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(62,383)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(142,378)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(39,441)</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w:t>
            </w:r>
          </w:p>
        </w:tc>
        <w:tc>
          <w:tcPr>
            <w:tcW w:w="5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4(b)</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9,755</w:t>
            </w:r>
          </w:p>
        </w:tc>
        <w:tc>
          <w:tcPr>
            <w:tcW w:w="7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5(i)</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(67,042)</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(109,323)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(101,824)</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(4,336)</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(209,420)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9"/>
                <w:szCs w:val="19"/>
                <w:color w:val="auto"/>
              </w:rPr>
            </w:pPr>
          </w:p>
        </w:tc>
        <w:tc>
          <w:tcPr>
            <w:tcW w:w="5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4(a)</w:t>
            </w: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7"/>
        </w:trPr>
        <w:tc>
          <w:tcPr>
            <w:tcW w:w="4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4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(101,824</w:t>
            </w:r>
          </w:p>
        </w:tc>
        <w:tc>
          <w:tcPr>
            <w:tcW w:w="200" w:type="dxa"/>
            <w:vAlign w:val="bottom"/>
            <w:vMerge w:val="continue"/>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220" w:type="dxa"/>
            <w:vAlign w:val="bottom"/>
            <w:vMerge w:val="continue"/>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6,063</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(208,759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262,237,117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310,335,985</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Transaction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August 21, 2024, Bitfarms entered into the merger agreement with Stronghold, BMS and Merger Sub, pursuant to which Merger Sub will merge with and into Stronghold, with Stronghold surviving the merger as an indirect, wholly-owned subsidiary of Bitfarms. Upon completion of the merger, Merger Sub will cease to exist as a separate entity. The merger is considered to be a business combination under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(“IFRS 3”) with Bitfarms as the acquirer and Stronghold as the acquired entity. The unaudited pro forma condensed combined financial statements have been prepared using the acquisition method of accounting in accordance with IFRS 3. In order to effect the merger, the companies will take the following steps: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Immediately prior to the merger:</w:t>
      </w:r>
    </w:p>
    <w:p>
      <w:pPr>
        <w:spacing w:after="0" w:line="225" w:lineRule="exact"/>
        <w:rPr>
          <w:sz w:val="20"/>
          <w:szCs w:val="20"/>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Series C preferred stock issued and outstanding shall convert into 250 shares of Stronghold Class A common stock and all shares of Stronghold Series C preferred stock shall cease to exist.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require each member of Stronghold Digital Mining Holdings, LLC, a Delaware limited liability company (“Company Holdco”), other than Stronghold and its wholly-owned subsidiaries, to exchange all of the issued and outstanding Company Holdco common units held by such member, together with the surrender for cancellation of a corresponding number of shares of Stronghold Class V common stock, for a corresponding number of shares of Stronghold Class A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 accordance with the terms of the merger agreement:</w:t>
      </w:r>
    </w:p>
    <w:p>
      <w:pPr>
        <w:spacing w:after="0" w:line="225" w:lineRule="exact"/>
        <w:rPr>
          <w:sz w:val="20"/>
          <w:szCs w:val="20"/>
          <w:color w:val="auto"/>
        </w:rPr>
      </w:pPr>
    </w:p>
    <w:p>
      <w:pPr>
        <w:jc w:val="both"/>
        <w:ind w:left="980" w:hanging="324"/>
        <w:spacing w:after="0" w:line="255"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A common stock issued and outstanding immediately prior to the date of closing the merger (the “closing”) shall be converted into the right to receive 2.520 (the “exchange ratio”) Bitfarms common shares (“merger consideration”). No fractional Bitfarms common shares will be issued upon the conversion of Stronghold Class A common stock pursuant to the merger. Any Stronghold stockholder who would otherwise be entitled to receive a fractional Bitfarms common share pursuant to the merger shall receive in lieu thereof an amount of cash, without interest, equal to such fractional Bitfarms common share multiplied by the closing price per share of Bitfarms common shares on the business day immediately prior to closing. Each share of Stronghold Class A common stock, when so converted, shall cease to be outstanding and shall automatically be cancelled and cease to exist.</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V common stock issued and outstanding immediately prior to closing shall be surrendered for cancellation and shall cease to exist and no payment shall be made.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Interim Stronghold RSUs (as defined below), each Stronghold restricted stock unit (“RSU”) award that is outstanding immediately prior to closing will immediately vest in full, and such Stronghold RSU shall be treated as a share of Stronghold Class A common stock for all purposes of the merger agreement, including the right to receive the merger consideration.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RSU that is granted between the date of execution of the Merger Agreement and Closing (the “Interim Stronghold RSUs”) will be assumed by Bitfarms and converted into a number of Bitfarms RSUs on substantially the same terms and conditions. The number of Bitfarms RSUs will be adjusted based on the exchange ratio, rounded to the nearest whole share. As at September 30, 2024, there were no Interim Stronghold RSUs.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other than any such option that is held by a former employee or former non-employee director of, or former other service provider to Stronghold or its subsidiaries shall be automatically converted into an option to acquire a number of Bitfarms common shares on substantially the same terms and conditions. The number of Bitfarms common shares and exercise price for the new options will be adjusted based on the exchange ratio.</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equal to the product of (i) the number of Stronghold Class A common stock subject to the option immediately prior to closing and (ii) (a) the excess, if any, of the merger consideration value (as defined herein) over the exercise price per share of Stronghold Class A common stock, divided by (b) the product obtained by multiplying the exchange ratio by the volume-weighted average price of the Bitfarms common shares for the five consecutive trading day period ending on the trading day immediately prior to closing (the “merger consideration value”).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each outstanding and unexercised warrant to purchase Stronghold Class A common stock will be converted into a warrant to acquire a number of Bitfarms common shares on substantially the same terms and conditions. The number of Bitfarms common shares and exercise price for the new warrants will be adjusted based on the exchange ratio.</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Bitfarms, Stronghold will, at Bitfarms’ expense, use reasonable best efforts to promptly obtain any consents or amendments as necessary to permit the consummation of the merger under Stronghold’s credit agreement (the “COC Amendment”). If the COC Amendment is not obtained on or prior to closing, Bitfarms will satisfy all outstanding obligations under such credit agreement and certain other debt instruments of Stronghold prior to or substantially concurrently with the consummation of the merger.</w:t>
      </w:r>
    </w:p>
    <w:p>
      <w:pPr>
        <w:spacing w:after="0" w:line="18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Bitfarms does not expect to request Stronghold to obtain the COC Amendment on or prior to closing. As a result, in accordance with the merger agreement, Bitfarms expects to settle Stronghold’s outstanding debt obligations immediately prior to closing with cash on hand. The unaudited pro forma condensed combined financial statements have been prepared based on the assumption that Bitfarms does not assume the outstanding debt of Stronghold. Cash paid by Bitfarms to settle Stronghold’s outstanding debt immediately prior to closing of the merger will be recognized as a component of purchase consideration and an assumed liability for the outstanding debt would not be recognized in acquisition accounting.</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Bitfarms has not yet completed a valuation analysis of the fair market value of Stronghold’s assets to be acquired and liabilities to be assumed. The estimated purchase price allocation is based on management’s best estimate of the fair value based on currently available information. The final purchase price allocation will be determined following the completion of the detailed valuation, other studies, and necessary calculations. The final purchase price allocation could differ materially from the estimated purchase price allocation used to prepare the pro forma adjustments.</w:t>
      </w:r>
    </w:p>
    <w:p>
      <w:pPr>
        <w:spacing w:after="0" w:line="176"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unaudited pro forma condensed combined statement of financial position as at September 30, 2024, and the unaudited pro forma condensed combined statement of income for the nine months ended September 30, 2024 and the year ended December 31, 2023 have been prepared by management for the purpose of presenting the impact of the merger, as described herein. While this transaction has not closed as of the date of this prospectus supplement, the unaudited pro forma condensed combined statement of financial position includes the pro forma effect of this transaction as if it had occurred on September 30, 2024. The unaudited pro forma condensed combined statement of income for the nine months ended September 30, 2024 and the year ended December 31, 2023, include the pro forma effect of this transaction as if it had occurred on January 1, 2023.</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policies used in the preparation of these unaudited pro forma condensed combined financial statements incorporate the accounting policies used by Bitfarms for the respective periods in the consolidated financial statements incorporated by reference in this prospectus supplement. Pro forma adjustments reflected in the unaudited pro forma condensed combined financial statements are based on certain currently available information and assumptions and methodologies that Bitfarms believes are appropriate under the circumstances. The unaudited pro forma condensed combined financial statements include all adjustments necessary for the fair presentation of the combined company’s pro forma financial position and results of operations following the closing of the merger as of and for the periods indicated.</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dollar amounts, except for per share information, or unless otherwise specified are expressed in thousands of U.S. dollars (“USD” or “$”) which is the presentation currency of Bitfarms.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Bitfarms’ unaudited pro forma condensed combined financial statements have been prepared using information derived from:</w:t>
      </w:r>
    </w:p>
    <w:p>
      <w:pPr>
        <w:spacing w:after="0" w:line="225" w:lineRule="exact"/>
        <w:rPr>
          <w:rFonts w:ascii="Times New Roman" w:cs="Times New Roman" w:eastAsia="Times New Roman" w:hAnsi="Times New Roman"/>
          <w:sz w:val="18"/>
          <w:szCs w:val="18"/>
          <w:b w:val="1"/>
          <w:bCs w:val="1"/>
          <w:color w:val="auto"/>
        </w:rPr>
      </w:pPr>
    </w:p>
    <w:p>
      <w:pPr>
        <w:jc w:val="both"/>
        <w:ind w:left="980" w:hanging="324"/>
        <w:spacing w:after="0" w:line="261"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unaudited restated interim condensed consolidated financial statements as at September 30, 2024 and September 30, 2023 and for the three and nine months ended September 30, 2024 and 2023 prepared in accordance with International Financial Reporting Standards (“IFRS”) as issued by the International Accounting Standards Board (“IASB”), including International Accounting Standards 34 (“IAS 34”) which are incorporated by reference in this prospectus supplement.</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audited restated consolidated financial statements as at and for the years ended December 31, 2023 and 2022, prepared in accordance with IFRS as issued by the IASB and incorporated by reference in this prospectus supplement.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98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unaudited restated interim condensed consolidated financial statements as at September 30, 2024 and September 30, 2023 and for the three months and nine months ended September 30, 2024 and 2023 prepared in accordance with generally accepted accounting principles in the United States (“U.S. GAAP”) and included elsewhere in this prospectus supplement.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 IFRS Adjustments to the Historical Financial Statements of Stronghold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audited consolidated financial statements as at and for the years ended December 31, 2023 and 2022, prepared in accordance with U.S. GAAP and included elsewhere in this prospectus supplement.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 IFRS Adjustments to the Historical Financial Statements of Stronghold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including the notes thereto, should be read in conjunction with Bitfarms’ and Stronghold’s historical financial statements, and respective Management’s Discussion and Analysis of Financial Condition and Results of Operations included elsewhere or incorporated by reference in this prospectus supplement.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statements were prepared to depict the accounting for business combinations (“Transaction Accounting Adjustments”) in the unaudited pro forma condensed combined financial statements. The pro forma condensed combined financial statements apply the pro forma requirements of National Instrument 44-101 </w:t>
      </w:r>
      <w:r>
        <w:rPr>
          <w:rFonts w:ascii="Times New Roman" w:cs="Times New Roman" w:eastAsia="Times New Roman" w:hAnsi="Times New Roman"/>
          <w:sz w:val="18"/>
          <w:szCs w:val="18"/>
          <w:i w:val="1"/>
          <w:iCs w:val="1"/>
          <w:color w:val="auto"/>
        </w:rPr>
        <w:t>Short Form Prospectus Distributions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 xml:space="preserve">Bitfarms entered into two Hosting Agreements with Stronghold on September 12, 2024 and October 29, 2024. Simultaneously with the execution of the Hosting Agreements, Bitfarms provided Stronghold with two deposits of $7.8 million each and a pro forma adjustment was made to eliminate activities between the companies in the historical financial statements. Upon closing of the merger, Bitfarms would effectively settle these pre-existing relationships and would recognize a gain or loss in the unaudited pro forma condensed combined statement of earnings (loss) for the year ended December 31, 2023, based on the unfavourable element of the contracts and the carrying amount of the related asset previously recognized by Bitfarms (see Note 5f), </w:t>
      </w:r>
      <w:r>
        <w:rPr>
          <w:rFonts w:ascii="Times New Roman" w:cs="Times New Roman" w:eastAsia="Times New Roman" w:hAnsi="Times New Roman"/>
          <w:sz w:val="18"/>
          <w:szCs w:val="18"/>
          <w:i w:val="1"/>
          <w:iCs w:val="1"/>
          <w:color w:val="auto"/>
        </w:rPr>
        <w:t>Pro forma Adjustments and Assumptions for the Merger — Hosting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presented for illustrative purposes only and are not necessarily indicative of the operating results or financial position that would have been achieved had the merger occurred on the dates assumed, nor are they indicative of Bitfarms’ future operating results or financial position. Because these unaudited pro forma condensed combined financial statements have been prepared based upon preliminary estimates, the impact of the merger and the timing thereof could cause material differences from the information presented herein.</w:t>
      </w:r>
    </w:p>
    <w:p>
      <w:pPr>
        <w:spacing w:after="0" w:line="18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pro forma adjustments are based upon information and assumptions available at the time of the filing of this prospectus supplement as set forth in the notes to the unaudited pro forma condensed combined financial statements.</w:t>
      </w:r>
    </w:p>
    <w:p>
      <w:pPr>
        <w:spacing w:after="0" w:line="158"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 Adjustments to Historical Financial Information of Stronghold</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historical balances were derived from Stronghold’s historical consolidated financial statements as described above and are presented in accordance with U.S. GAAP.</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Presentation and reclassification adjustments have been made to Stronghold’s historical financial information to conform with Bitfarms’ presentation, which resulted in a net impact of $nil on the net loss for the periods presented and a net impact of $nil on the unaudited interim condensed consolidated balance sheet information as at September 30, 2024.</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line="12"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STRONGHOLD INTERIM CONDENSED CONSOLIDATED BALANCE SHEET INFORMATION</w:t>
      </w:r>
    </w:p>
    <w:p>
      <w:pPr>
        <w:spacing w:after="0" w:line="31"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As at September 30, 2024</w:t>
      </w:r>
    </w:p>
    <w:p>
      <w:pPr>
        <w:spacing w:after="0" w:line="9"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Stronghold</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Historical as</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Stronghold Line Items</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0" w:type="dxa"/>
            <w:vAlign w:val="bottom"/>
          </w:tcPr>
          <w:p>
            <w:pPr>
              <w:spacing w:after="0"/>
              <w:rPr>
                <w:sz w:val="21"/>
                <w:szCs w:val="21"/>
                <w:color w:val="auto"/>
              </w:rPr>
            </w:pPr>
          </w:p>
        </w:tc>
        <w:tc>
          <w:tcPr>
            <w:tcW w:w="3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Bitfarms Line Items</w:t>
            </w:r>
          </w:p>
        </w:tc>
        <w:tc>
          <w:tcPr>
            <w:tcW w:w="0" w:type="dxa"/>
            <w:vAlign w:val="bottom"/>
          </w:tcPr>
          <w:p>
            <w:pPr>
              <w:spacing w:after="0"/>
              <w:rPr>
                <w:sz w:val="1"/>
                <w:szCs w:val="1"/>
                <w:color w:val="auto"/>
              </w:rPr>
            </w:pPr>
          </w:p>
        </w:tc>
      </w:tr>
      <w:tr>
        <w:trPr>
          <w:trHeight w:val="41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currencies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1,669</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1,898</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 (ii)</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124,972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2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(iii), (iv)</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(iv)</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(1,748)</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(iii)</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Road bond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(v)</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(v)</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(v)</w:t>
            </w:r>
          </w:p>
        </w:tc>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deposits, equipment</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(v)</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prepayments and other</w:t>
            </w:r>
          </w:p>
        </w:tc>
        <w:tc>
          <w:tcPr>
            <w:tcW w:w="0" w:type="dxa"/>
            <w:vAlign w:val="bottom"/>
          </w:tcPr>
          <w:p>
            <w:pPr>
              <w:spacing w:after="0"/>
              <w:rPr>
                <w:sz w:val="1"/>
                <w:szCs w:val="1"/>
                <w:color w:val="auto"/>
              </w:rPr>
            </w:pPr>
          </w:p>
        </w:tc>
      </w:tr>
      <w:tr>
        <w:trPr>
          <w:trHeight w:val="27"/>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0" w:type="dxa"/>
            <w:vAlign w:val="bottom"/>
          </w:tcPr>
          <w:p>
            <w:pPr>
              <w:spacing w:after="0" w:line="20" w:lineRule="exact"/>
              <w:rPr>
                <w:sz w:val="1"/>
                <w:szCs w:val="1"/>
                <w:color w:val="auto"/>
              </w:rPr>
            </w:pPr>
          </w:p>
        </w:tc>
      </w:tr>
      <w:tr>
        <w:trPr>
          <w:trHeight w:val="250"/>
        </w:trPr>
        <w:tc>
          <w:tcPr>
            <w:tcW w:w="3300" w:type="dxa"/>
            <w:vAlign w:val="bottom"/>
            <w:gridSpan w:val="2"/>
            <w:vMerge w:val="continue"/>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141,365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414"/>
        </w:trPr>
        <w:tc>
          <w:tcPr>
            <w:tcW w:w="330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11,259</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14,799</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13,847</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(13,847)</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 net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discounts and issuance fees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0" w:type="dxa"/>
            <w:vAlign w:val="bottom"/>
          </w:tcPr>
          <w:p>
            <w:pPr>
              <w:spacing w:after="0"/>
              <w:rPr>
                <w:sz w:val="1"/>
                <w:szCs w:val="1"/>
                <w:color w:val="auto"/>
              </w:rPr>
            </w:pPr>
          </w:p>
        </w:tc>
      </w:tr>
      <w:tr>
        <w:trPr>
          <w:trHeight w:val="255"/>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47,679</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0" w:type="dxa"/>
            <w:vAlign w:val="bottom"/>
          </w:tcPr>
          <w:p>
            <w:pPr>
              <w:spacing w:after="0"/>
              <w:rPr>
                <w:sz w:val="1"/>
                <w:szCs w:val="1"/>
                <w:color w:val="auto"/>
              </w:rPr>
            </w:pPr>
          </w:p>
        </w:tc>
      </w:tr>
      <w:tr>
        <w:trPr>
          <w:trHeight w:val="41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 of discounts and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fees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33,880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0" w:type="dxa"/>
            <w:vAlign w:val="bottom"/>
          </w:tcPr>
          <w:p>
            <w:pPr>
              <w:spacing w:after="0"/>
              <w:rPr>
                <w:sz w:val="1"/>
                <w:szCs w:val="1"/>
                <w:color w:val="auto"/>
              </w:rPr>
            </w:pPr>
          </w:p>
        </w:tc>
      </w:tr>
      <w:tr>
        <w:trPr>
          <w:trHeight w:val="255"/>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110,299</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0" w:type="dxa"/>
            <w:vAlign w:val="bottom"/>
          </w:tcPr>
          <w:p>
            <w:pPr>
              <w:spacing w:after="0"/>
              <w:rPr>
                <w:sz w:val="1"/>
                <w:szCs w:val="1"/>
                <w:color w:val="auto"/>
              </w:rPr>
            </w:pPr>
          </w:p>
        </w:tc>
      </w:tr>
      <w:tr>
        <w:trPr>
          <w:trHeight w:val="41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Redeemable common stock</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 Class V; $0.0001 par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 Class V; $0.0001 par</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 50,000,000 shares authorized;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value; 50,000,000 shares authorized;</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2,405,760 shares issued and outstanding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2,405,760 shares issued and outstanding</w:t>
            </w:r>
          </w:p>
        </w:tc>
        <w:tc>
          <w:tcPr>
            <w:tcW w:w="0" w:type="dxa"/>
            <w:vAlign w:val="bottom"/>
          </w:tcPr>
          <w:p>
            <w:pPr>
              <w:spacing w:after="0"/>
              <w:rPr>
                <w:sz w:val="1"/>
                <w:szCs w:val="1"/>
                <w:color w:val="auto"/>
              </w:rPr>
            </w:pPr>
          </w:p>
        </w:tc>
      </w:tr>
      <w:tr>
        <w:trPr>
          <w:trHeight w:val="255"/>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of September 30, 2024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of September 30, 2024</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redeemable common stock</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redeemable common stock</w:t>
            </w:r>
          </w:p>
        </w:tc>
        <w:tc>
          <w:tcPr>
            <w:tcW w:w="0" w:type="dxa"/>
            <w:vAlign w:val="bottom"/>
          </w:tcPr>
          <w:p>
            <w:pPr>
              <w:spacing w:after="0"/>
              <w:rPr>
                <w:sz w:val="1"/>
                <w:szCs w:val="1"/>
                <w:color w:val="auto"/>
              </w:rPr>
            </w:pPr>
          </w:p>
        </w:tc>
      </w:tr>
      <w:tr>
        <w:trPr>
          <w:trHeight w:val="41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 Class A; $0.0001 par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 238,000,000 shares authorized;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14,737,601 shares issued and outstanding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of September 30, 2024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(vii)</w:t>
            </w: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convertible preferred stock;</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$0.0001 par value; 23,102 shares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authorized; 5,990 shares issued and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2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(vii)</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0" w:type="dxa"/>
            <w:vAlign w:val="bottom"/>
          </w:tcPr>
          <w:p>
            <w:pPr>
              <w:spacing w:after="0"/>
              <w:rPr>
                <w:sz w:val="1"/>
                <w:szCs w:val="1"/>
                <w:color w:val="auto"/>
              </w:rPr>
            </w:pPr>
          </w:p>
        </w:tc>
      </w:tr>
      <w:tr>
        <w:trPr>
          <w:trHeight w:val="232"/>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(360,764)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-7936230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-7661910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-7387590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-6247130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-5972810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-4926965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-4652645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-4241165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-3649980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-3375660</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-1369695</wp:posOffset>
            </wp:positionV>
            <wp:extent cx="7132320" cy="548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-1661160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-2372360</wp:posOffset>
            </wp:positionV>
            <wp:extent cx="7132320" cy="5740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9">
                      <a:extLst>
                        <a:ext uri="{28A0092B-C50C-407E-A947-70E740481C1C}"/>
                      </a:extLst>
                    </a:blip>
                    <a:srcRect/>
                    <a:stretch>
                      <a:fillRect/>
                    </a:stretch>
                  </pic:blipFill>
                  <pic:spPr bwMode="auto">
                    <a:xfrm>
                      <a:off x="0" y="0"/>
                      <a:ext cx="7132320" cy="5740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-2663825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-2964180</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-3958590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-5227320</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-5698490</wp:posOffset>
            </wp:positionV>
            <wp:extent cx="713232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-6812915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-7113270</wp:posOffset>
            </wp:positionV>
            <wp:extent cx="713232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60"/>
        <w:spacing w:after="0" w:line="274" w:lineRule="auto"/>
        <w:rPr>
          <w:sz w:val="20"/>
          <w:szCs w:val="20"/>
          <w:color w:val="auto"/>
        </w:rPr>
      </w:pPr>
      <w:r>
        <w:rPr>
          <w:rFonts w:ascii="Times New Roman" w:cs="Times New Roman" w:eastAsia="Times New Roman" w:hAnsi="Times New Roman"/>
          <w:sz w:val="17"/>
          <w:szCs w:val="17"/>
          <w:b w:val="1"/>
          <w:bCs w:val="1"/>
          <w:color w:val="auto"/>
        </w:rPr>
        <w:t>Stronghold Reclassified Historical</w:t>
      </w:r>
    </w:p>
    <w:p>
      <w:pPr>
        <w:spacing w:after="0" w:line="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14605</wp:posOffset>
            </wp:positionV>
            <wp:extent cx="6343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7">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4,491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614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1,241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2,815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2,532</w:t>
      </w:r>
    </w:p>
    <w:p>
      <w:pPr>
        <w:spacing w:after="0" w:line="2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1,126</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12,819</w:t>
      </w:r>
    </w:p>
    <w:p>
      <w:pPr>
        <w:spacing w:after="0" w:line="25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126,675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905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921</w:t>
      </w:r>
    </w:p>
    <w:p>
      <w:pPr>
        <w:spacing w:after="0" w:line="5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141,365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19685</wp:posOffset>
            </wp:positionV>
            <wp:extent cx="6343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8">
                      <a:extLst>
                        <a:ext uri="{28A0092B-C50C-407E-A947-70E740481C1C}"/>
                      </a:extLst>
                    </a:blip>
                    <a:srcRect/>
                    <a:stretch>
                      <a:fillRect/>
                    </a:stretch>
                  </pic:blipFill>
                  <pic:spPr bwMode="auto">
                    <a:xfrm>
                      <a:off x="0" y="0"/>
                      <a:ext cx="63436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26,058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19,567</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605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1,449</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47,679</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1,117</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16,765</w:t>
      </w:r>
    </w:p>
    <w:p>
      <w:pPr>
        <w:spacing w:after="0" w:line="20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33,880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357</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10,501</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110,299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11,536</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11,536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4,059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(360,764)</w:t>
      </w:r>
    </w:p>
    <w:p>
      <w:pPr>
        <w:spacing w:after="0" w:line="27" w:lineRule="exact"/>
        <w:rPr>
          <w:sz w:val="20"/>
          <w:szCs w:val="20"/>
          <w:color w:val="auto"/>
        </w:rPr>
      </w:pPr>
    </w:p>
    <w:p>
      <w:pPr>
        <w:sectPr>
          <w:pgSz w:w="11900" w:h="16851" w:orient="portrait"/>
          <w:cols w:equalWidth="0" w:num="2">
            <w:col w:w="10020" w:space="160"/>
            <w:col w:w="1060"/>
          </w:cols>
          <w:pgMar w:left="320" w:top="900" w:right="339" w:bottom="0" w:gutter="0" w:footer="0" w:header="0"/>
        </w:sectPr>
      </w:pPr>
    </w:p>
    <w:tbl>
      <w:tblPr>
        <w:tblLayout w:type="fixed"/>
        <w:tblInd w:w="0" w:type="dxa"/>
        <w:tblCellMar>
          <w:top w:w="0" w:type="dxa"/>
          <w:left w:w="0" w:type="dxa"/>
          <w:bottom w:w="0" w:type="dxa"/>
          <w:right w:w="0" w:type="dxa"/>
        </w:tblCellMar>
      </w:tblPr>
      <w:tr>
        <w:trPr>
          <w:trHeight w:val="23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380,293</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(4,058)</w:t>
            </w: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(vii)</w:t>
            </w: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Contributed surplus</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376,235</w:t>
            </w:r>
          </w:p>
        </w:tc>
      </w:tr>
      <w:tr>
        <w:trPr>
          <w:trHeight w:val="210"/>
        </w:trPr>
        <w:tc>
          <w:tcPr>
            <w:tcW w:w="33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19,530</w:t>
            </w:r>
          </w:p>
        </w:tc>
        <w:tc>
          <w:tcPr>
            <w:tcW w:w="22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CCEEFF"/>
              <w:bottom w:val="single" w:sz="8" w:color="CCEEFF"/>
            </w:tcBorders>
          </w:tcPr>
          <w:p>
            <w:pPr>
              <w:spacing w:after="0"/>
              <w:rPr>
                <w:sz w:val="18"/>
                <w:szCs w:val="18"/>
                <w:color w:val="auto"/>
              </w:rPr>
            </w:pPr>
          </w:p>
        </w:tc>
        <w:tc>
          <w:tcPr>
            <w:tcW w:w="35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19,530</w:t>
            </w:r>
          </w:p>
        </w:tc>
        <w:tc>
          <w:tcPr>
            <w:tcW w:w="100" w:type="dxa"/>
            <w:vAlign w:val="bottom"/>
            <w:tcBorders>
              <w:top w:val="single" w:sz="8" w:color="CCEEFF"/>
              <w:bottom w:val="single" w:sz="8" w:color="CCEEFF"/>
            </w:tcBorders>
          </w:tcPr>
          <w:p>
            <w:pPr>
              <w:spacing w:after="0"/>
              <w:rPr>
                <w:sz w:val="18"/>
                <w:szCs w:val="18"/>
                <w:color w:val="auto"/>
              </w:rPr>
            </w:pPr>
          </w:p>
        </w:tc>
      </w:tr>
      <w:tr>
        <w:trPr>
          <w:trHeight w:val="180"/>
        </w:trPr>
        <w:tc>
          <w:tcPr>
            <w:tcW w:w="3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 liabilities, redeemable common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86"/>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 and stockholders’ equity</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141,365</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4"/>
                <w:szCs w:val="24"/>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141,365</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ectPr>
          <w:pgSz w:w="11900" w:h="16851" w:orient="portrait"/>
          <w:cols w:equalWidth="0" w:num="1">
            <w:col w:w="11240"/>
          </w:cols>
          <w:pgMar w:left="320" w:top="900" w:right="339" w:bottom="0" w:gutter="0" w:footer="0" w:header="0"/>
          <w:type w:val="continuous"/>
        </w:sectPr>
      </w:pPr>
    </w:p>
    <w:bookmarkStart w:id="52" w:name="page53"/>
    <w:bookmarkEnd w:id="52"/>
    <w:p>
      <w:pPr>
        <w:ind w:left="340" w:right="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reported information is derived from the Stronghold unaudited interim condensed consolidated financial statements for the three months and nine months ended September 30, 2024 included elsewhere in this prospectus supplement.</w:t>
      </w:r>
    </w:p>
    <w:p>
      <w:pPr>
        <w:spacing w:after="0" w:line="162"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a portion of other current assets to short-term prepaid deposits to align with Bitfarms’ presentation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due from related parties to other assets to align with Bitfarms’ presentation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land to property, plant and equipment align with Bitfarms’ presentation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a portion of property, plant and equipment relating to software to intangible assets to align with Bitfarms’ presentation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road bond, security deposits and other noncurrent assets to long-term deposits, equipment prepayments and other to align with Bitfarms’ presentation</w:t>
      </w:r>
    </w:p>
    <w:p>
      <w:pPr>
        <w:ind w:left="340" w:right="2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reclassify accrued liabilities and financed insurance premiums to trade payables and accrued liabilities to align with Bitfarms’ presentation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(vii)Adjustment to reclassify common stock – Class A and a portion of additional paid-in-capital to share capital to align with Bitfarms’ presentation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STRONGHOLD INTERIM CONDENSED CONSOLIDATED STATEMENT OF OPERATIONS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Stronghold</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Stronghold</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Historical as</w:t>
            </w:r>
          </w:p>
        </w:tc>
        <w:tc>
          <w:tcPr>
            <w:tcW w:w="80" w:type="dxa"/>
            <w:vAlign w:val="bottom"/>
          </w:tcPr>
          <w:p>
            <w:pPr>
              <w:spacing w:after="0"/>
              <w:rPr>
                <w:sz w:val="18"/>
                <w:szCs w:val="18"/>
                <w:color w:val="auto"/>
              </w:rPr>
            </w:pPr>
          </w:p>
        </w:tc>
        <w:tc>
          <w:tcPr>
            <w:tcW w:w="14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Presentation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Reclassified</w:t>
            </w:r>
          </w:p>
        </w:tc>
      </w:tr>
      <w:tr>
        <w:trPr>
          <w:trHeight w:val="230"/>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48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Stronghold Line Items</w:t>
            </w:r>
          </w:p>
        </w:tc>
        <w:tc>
          <w:tcPr>
            <w:tcW w:w="124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80" w:type="dxa"/>
            <w:vAlign w:val="bottom"/>
          </w:tcPr>
          <w:p>
            <w:pPr>
              <w:spacing w:after="0"/>
              <w:rPr>
                <w:sz w:val="21"/>
                <w:szCs w:val="21"/>
                <w:color w:val="auto"/>
              </w:rPr>
            </w:pPr>
          </w:p>
        </w:tc>
        <w:tc>
          <w:tcPr>
            <w:tcW w:w="14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Bitfarms Line Items</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4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44,989</w:t>
            </w: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(44,989)</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(i)</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8,048</w:t>
            </w:r>
          </w:p>
        </w:tc>
        <w:tc>
          <w:tcPr>
            <w:tcW w:w="14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(8,048)</w:t>
            </w:r>
          </w:p>
        </w:tc>
        <w:tc>
          <w:tcPr>
            <w:tcW w:w="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(i)</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1,424</w:t>
            </w: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(1,424)</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(i)</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188</w:t>
            </w:r>
          </w:p>
        </w:tc>
        <w:tc>
          <w:tcPr>
            <w:tcW w:w="14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(188)</w:t>
            </w:r>
          </w:p>
        </w:tc>
        <w:tc>
          <w:tcPr>
            <w:tcW w:w="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(i)</w:t>
            </w: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41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revenues</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54,649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(54,649)</w:t>
            </w:r>
          </w:p>
        </w:tc>
        <w:tc>
          <w:tcPr>
            <w:tcW w:w="2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54,649</w:t>
            </w:r>
          </w:p>
        </w:tc>
        <w:tc>
          <w:tcPr>
            <w:tcW w:w="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(i)</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54,649</w:t>
            </w:r>
          </w:p>
        </w:tc>
      </w:tr>
      <w:tr>
        <w:trPr>
          <w:trHeight w:val="237"/>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(55,945)</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(ii)</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(55,945)</w:t>
            </w:r>
          </w:p>
        </w:tc>
      </w:tr>
      <w:tr>
        <w:trPr>
          <w:trHeight w:val="223"/>
        </w:trPr>
        <w:tc>
          <w:tcPr>
            <w:tcW w:w="4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19,709</w:t>
            </w: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(19,709)</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22,322</w:t>
            </w:r>
          </w:p>
        </w:tc>
        <w:tc>
          <w:tcPr>
            <w:tcW w:w="14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(8,807)</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(13,474)</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(iii)</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(v)</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26,672</w:t>
            </w: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(26,672)</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(iii)</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(40,146)</w:t>
            </w:r>
          </w:p>
        </w:tc>
        <w:tc>
          <w:tcPr>
            <w:tcW w:w="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(iii)</w:t>
            </w:r>
          </w:p>
        </w:tc>
        <w:tc>
          <w:tcPr>
            <w:tcW w:w="2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(40,146)</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27,429</w:t>
            </w: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(27,429)</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(ii)</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2,189</w:t>
            </w:r>
          </w:p>
        </w:tc>
        <w:tc>
          <w:tcPr>
            <w:tcW w:w="14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(2,189)</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(iv)</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Loss on disposition of property,</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plant and equipment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(2,683)</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(iv)</w:t>
            </w: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(4,358)</w:t>
            </w:r>
          </w:p>
        </w:tc>
        <w:tc>
          <w:tcPr>
            <w:tcW w:w="14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 on</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4,358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4,358</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 on digital currencies</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digital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currencies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sale of miner assets</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494</w:t>
            </w:r>
          </w:p>
        </w:tc>
        <w:tc>
          <w:tcPr>
            <w:tcW w:w="14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(494)</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(iv)</w:t>
            </w: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94,456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55,986</w:t>
            </w:r>
          </w:p>
        </w:tc>
        <w:tc>
          <w:tcPr>
            <w:tcW w:w="20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3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(39,807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(6,748)</w:t>
            </w: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6,748</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8,445</w:t>
            </w:r>
          </w:p>
        </w:tc>
        <w:tc>
          <w:tcPr>
            <w:tcW w:w="14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(8,445)</w:t>
            </w:r>
          </w:p>
        </w:tc>
        <w:tc>
          <w:tcPr>
            <w:tcW w:w="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(v)</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1,671</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1,671</w:t>
            </w:r>
          </w:p>
        </w:tc>
      </w:tr>
      <w:tr>
        <w:trPr>
          <w:trHeight w:val="25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(v)</w:t>
            </w: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 income</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3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(38,095</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reported information is derived from the Stronghold unaudited interim condensed consolidated financial statements for the three months and nine months ended September 30, 2024 included elsewhere in this prospectus supplement.</w:t>
      </w:r>
    </w:p>
    <w:p>
      <w:pPr>
        <w:spacing w:after="0" w:line="16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cryptocurrency mining, cryptocurrency hosting, energy and other to revenues to align with Bitfarms’ presentation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fuel, depreciation and amortization and a portion of operations and maintenance to cost of revenues to align with Bitfarms’ presentation</w:t>
      </w: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a portion of operations and maintenance to general and administrative expenses to align with Bitfarms’ presentation</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loss on disposal of fixed assets and realized gain on sale of miner assets to loss on disposition of property, plant and equipment and deposits to align with Bitfarms’ presentation</w:t>
      </w:r>
    </w:p>
    <w:p>
      <w:pPr>
        <w:ind w:left="340" w:hanging="332"/>
        <w:spacing w:after="0" w:line="26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interest expense, changes in fair value of warrant liabilities, other and a portion of operations and maintenance to net financial expenses (income) to align with Bitfarms’ presentation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12"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STRONGHOLD CONSOLIDATED STATEMENT OF OPERATIONS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100" w:type="dxa"/>
            <w:vAlign w:val="bottom"/>
            <w:gridSpan w:val="10"/>
          </w:tcPr>
          <w:p>
            <w:pPr>
              <w:ind w:left="880"/>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Stronghold</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Stronghold</w:t>
            </w:r>
          </w:p>
        </w:tc>
      </w:tr>
      <w:tr>
        <w:trPr>
          <w:trHeight w:val="216"/>
        </w:trPr>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Historical as</w:t>
            </w: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Reclassified</w:t>
            </w:r>
          </w:p>
        </w:tc>
      </w:tr>
      <w:tr>
        <w:trPr>
          <w:trHeight w:val="229"/>
        </w:trPr>
        <w:tc>
          <w:tcPr>
            <w:tcW w:w="2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r>
      <w:tr>
        <w:trPr>
          <w:trHeight w:val="245"/>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Stronghold Line Items</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2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Bitfarms Line Items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r>
      <w:tr>
        <w:trPr>
          <w:trHeight w:val="216"/>
        </w:trPr>
        <w:tc>
          <w:tcPr>
            <w:tcW w:w="26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2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52,885</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(52,885)</w:t>
            </w: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(i)</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2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14,615</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(14,615)</w:t>
            </w:r>
          </w:p>
        </w:tc>
        <w:tc>
          <w:tcPr>
            <w:tcW w:w="9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(i)</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Energy</w:t>
            </w:r>
          </w:p>
        </w:tc>
        <w:tc>
          <w:tcPr>
            <w:tcW w:w="2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5,814</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(5,814)</w:t>
            </w: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(i)</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Capacity</w:t>
            </w:r>
          </w:p>
        </w:tc>
        <w:tc>
          <w:tcPr>
            <w:tcW w:w="2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(1,442)</w:t>
            </w:r>
          </w:p>
        </w:tc>
        <w:tc>
          <w:tcPr>
            <w:tcW w:w="9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(i)</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(i)</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(74,966)</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74,966</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74,966</w:t>
            </w:r>
          </w:p>
        </w:tc>
      </w:tr>
      <w:tr>
        <w:trPr>
          <w:trHeight w:val="249"/>
        </w:trPr>
        <w:tc>
          <w:tcPr>
            <w:tcW w:w="6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(77,831)</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(77,831)</w:t>
            </w:r>
          </w:p>
        </w:tc>
      </w:tr>
      <w:tr>
        <w:trPr>
          <w:trHeight w:val="210"/>
        </w:trPr>
        <w:tc>
          <w:tcPr>
            <w:tcW w:w="684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2620" w:type="dxa"/>
            <w:vAlign w:val="bottom"/>
            <w:tcBorders>
              <w:top w:val="single" w:sz="8" w:color="CCEEFF"/>
              <w:bottom w:val="single" w:sz="8" w:color="CCEEFF"/>
            </w:tcBorders>
          </w:tcPr>
          <w:p>
            <w:pPr>
              <w:ind w:left="160"/>
              <w:spacing w:after="0" w:line="203" w:lineRule="exact"/>
              <w:rPr>
                <w:sz w:val="20"/>
                <w:szCs w:val="20"/>
                <w:color w:val="auto"/>
              </w:rPr>
            </w:pPr>
            <w:r>
              <w:rPr>
                <w:rFonts w:ascii="Times New Roman" w:cs="Times New Roman" w:eastAsia="Times New Roman" w:hAnsi="Times New Roman"/>
                <w:sz w:val="18"/>
                <w:szCs w:val="18"/>
                <w:b w:val="1"/>
                <w:bCs w:val="1"/>
                <w:color w:val="auto"/>
              </w:rPr>
              <w:t>Gross (loss) profit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(2,865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0" w:gutter="0" w:footer="0" w:header="0"/>
        </w:sect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Fuel</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28,590</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(28,590)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32,836</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(13,826)</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(18,958)</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(iii)</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31,430</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(31,430)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(iii)</w:t>
            </w:r>
          </w:p>
        </w:tc>
        <w:tc>
          <w:tcPr>
            <w:tcW w:w="2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(50,388)</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(iii)</w:t>
            </w:r>
          </w:p>
        </w:tc>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35,415</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(35,415)</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3,818</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(3,818)</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(iv)</w:t>
            </w:r>
          </w:p>
        </w:tc>
        <w:tc>
          <w:tcPr>
            <w:tcW w:w="2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Loss on disposition of property,</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(3,766)</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(iv)</w:t>
            </w:r>
          </w:p>
        </w:tc>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plant and equipment</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Reversal of revaluation loss on</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digital assets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 on sale of miner assets</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(iv)</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910</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w:t>
            </w:r>
          </w:p>
        </w:tc>
        <w:tc>
          <w:tcPr>
            <w:tcW w:w="600" w:type="dxa"/>
            <w:vAlign w:val="bottom"/>
          </w:tcPr>
          <w:p>
            <w:pPr>
              <w:spacing w:after="0"/>
              <w:rPr>
                <w:sz w:val="20"/>
                <w:szCs w:val="20"/>
                <w:color w:val="auto"/>
              </w:rPr>
            </w:pPr>
          </w:p>
        </w:tc>
        <w:tc>
          <w:tcPr>
            <w:tcW w:w="2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Impairments on digital</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w:t>
            </w:r>
          </w:p>
        </w:tc>
        <w:tc>
          <w:tcPr>
            <w:tcW w:w="600" w:type="dxa"/>
            <w:vAlign w:val="bottom"/>
          </w:tcPr>
          <w:p>
            <w:pPr>
              <w:spacing w:after="0"/>
              <w:rPr>
                <w:sz w:val="18"/>
                <w:szCs w:val="18"/>
                <w:color w:val="auto"/>
              </w:rPr>
            </w:pPr>
          </w:p>
        </w:tc>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currencies</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5,422</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(5,422)</w:t>
            </w:r>
          </w:p>
        </w:tc>
        <w:tc>
          <w:tcPr>
            <w:tcW w:w="600" w:type="dxa"/>
            <w:vAlign w:val="bottom"/>
          </w:tcPr>
          <w:p>
            <w:pPr>
              <w:spacing w:after="0"/>
              <w:rPr>
                <w:sz w:val="20"/>
                <w:szCs w:val="20"/>
                <w:color w:val="auto"/>
              </w:rPr>
            </w:pPr>
          </w:p>
        </w:tc>
        <w:tc>
          <w:tcPr>
            <w:tcW w:w="2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Impairment on short-term</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deposits, equipment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construction</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property, plant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equipment and right-of-</w:t>
            </w:r>
          </w:p>
        </w:tc>
        <w:tc>
          <w:tcPr>
            <w:tcW w:w="0" w:type="dxa"/>
            <w:vAlign w:val="bottom"/>
          </w:tcPr>
          <w:p>
            <w:pPr>
              <w:spacing w:after="0"/>
              <w:rPr>
                <w:sz w:val="1"/>
                <w:szCs w:val="1"/>
                <w:color w:val="auto"/>
              </w:rPr>
            </w:pPr>
          </w:p>
        </w:tc>
      </w:tr>
      <w:tr>
        <w:trPr>
          <w:trHeight w:val="255"/>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(5,422)</w:t>
            </w:r>
          </w:p>
        </w:tc>
        <w:tc>
          <w:tcPr>
            <w:tcW w:w="600" w:type="dxa"/>
            <w:vAlign w:val="bottom"/>
          </w:tcPr>
          <w:p>
            <w:pPr>
              <w:spacing w:after="0"/>
              <w:rPr>
                <w:sz w:val="22"/>
                <w:szCs w:val="22"/>
                <w:color w:val="auto"/>
              </w:rPr>
            </w:pPr>
          </w:p>
        </w:tc>
        <w:tc>
          <w:tcPr>
            <w:tcW w:w="2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use assets</w:t>
            </w: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137,401</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77,883</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0" w:type="dxa"/>
            <w:vAlign w:val="bottom"/>
          </w:tcPr>
          <w:p>
            <w:pPr>
              <w:spacing w:after="0"/>
              <w:rPr>
                <w:sz w:val="1"/>
                <w:szCs w:val="1"/>
                <w:color w:val="auto"/>
              </w:rPr>
            </w:pPr>
          </w:p>
        </w:tc>
      </w:tr>
      <w:tr>
        <w:trPr>
          <w:trHeight w:val="414"/>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(9,846)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2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(28,961)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28,961</w:t>
            </w:r>
          </w:p>
        </w:tc>
        <w:tc>
          <w:tcPr>
            <w:tcW w:w="2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(39,441)</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Net financial (expenses) income</w:t>
            </w:r>
          </w:p>
        </w:tc>
        <w:tc>
          <w:tcPr>
            <w:tcW w:w="0" w:type="dxa"/>
            <w:vAlign w:val="bottom"/>
          </w:tcPr>
          <w:p>
            <w:pPr>
              <w:spacing w:after="0"/>
              <w:rPr>
                <w:sz w:val="1"/>
                <w:szCs w:val="1"/>
                <w:color w:val="auto"/>
              </w:rPr>
            </w:pPr>
          </w:p>
        </w:tc>
      </w:tr>
      <w:tr>
        <w:trPr>
          <w:trHeight w:val="24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-4868545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-4319905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-3222625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-2536825</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-2125345</wp:posOffset>
            </wp:positionV>
            <wp:extent cx="7132320" cy="8489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3">
                      <a:extLst>
                        <a:ext uri="{28A0092B-C50C-407E-A947-70E740481C1C}"/>
                      </a:extLst>
                    </a:blip>
                    <a:srcRect/>
                    <a:stretch>
                      <a:fillRect/>
                    </a:stretch>
                  </pic:blipFill>
                  <pic:spPr bwMode="auto">
                    <a:xfrm>
                      <a:off x="0" y="0"/>
                      <a:ext cx="7132320" cy="848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(50,388)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(3,766)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968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(910)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(5,422)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(62,383)</w:t>
      </w:r>
    </w:p>
    <w:p>
      <w:pPr>
        <w:spacing w:after="0" w:line="200" w:lineRule="exact"/>
        <w:rPr>
          <w:sz w:val="20"/>
          <w:szCs w:val="20"/>
          <w:color w:val="auto"/>
        </w:rPr>
      </w:pPr>
    </w:p>
    <w:p>
      <w:pPr>
        <w:spacing w:after="0" w:line="2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(39,441)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ectPr>
          <w:pgSz w:w="11900" w:h="16838" w:orient="portrait"/>
          <w:cols w:equalWidth="0" w:num="2">
            <w:col w:w="9900" w:space="680"/>
            <w:col w:w="660"/>
          </w:cols>
          <w:pgMar w:left="320" w:top="900" w:right="339" w:bottom="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tcBorders>
              <w:top w:val="single" w:sz="8" w:color="CCEEFF"/>
              <w:bottom w:val="single" w:sz="8" w:color="CCEEFF"/>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29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(101,824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w:t>
            </w:r>
          </w:p>
        </w:tc>
        <w:tc>
          <w:tcPr>
            <w:tcW w:w="29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(101,824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0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reported information is derived from the Stronghold audited consolidated financial statements for the year ended December 31, 2023 included elsewhere in this prospectus supplement.</w:t>
      </w:r>
    </w:p>
    <w:p>
      <w:pPr>
        <w:spacing w:after="0" w:line="16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cryptocurrency mining, cryptocurrency hosting, energy, capacity and other to revenues to align with Bitfarms’ presentation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fuel, depreciation and amortization and a portion of operations and maintenance to cost of revenues to align with Bitfarms’ presentation</w:t>
      </w: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a portion of operations and maintenance to general and administrative expenses to align with Bitfarms’ presentation</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loss on disposal of fixed assets and realized (gain) loss on sale of miner assets to loss on disposition of property, plant and equipment to align with Bitfarms’ presentation</w:t>
      </w:r>
    </w:p>
    <w:p>
      <w:pPr>
        <w:ind w:left="340" w:right="20" w:hanging="332"/>
        <w:spacing w:after="0" w:line="26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reclassify interest expense, loss on debt extinguishment, changes in fair value of warrant liabilities, other and a portion of operations and maintenance to net financial expenses (income) to align with Bitfarms’ presentation</w:t>
      </w:r>
    </w:p>
    <w:p>
      <w:pPr>
        <w:sectPr>
          <w:pgSz w:w="11900" w:h="16838" w:orient="portrait"/>
          <w:cols w:equalWidth="0" w:num="1">
            <w:col w:w="11240"/>
          </w:cols>
          <w:pgMar w:left="320" w:top="900" w:right="339" w:bottom="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1"/>
          <w:szCs w:val="21"/>
          <w:color w:val="auto"/>
        </w:rPr>
        <w:t>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19050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6" w:name="page57"/>
    <w:bookmarkEnd w:id="56"/>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GAAP to IFRS Adjustments to the Historical Financial Statements of Stronghold</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historical consolidated financial statements of Stronghold incorporated elsewhere in this prospectus supplement are prepared in accordance with U.S. GAAP. IFRS differs in certain material respects from U.S. GAAP. The following pro forma adjustments have been made to reflect the historical financial information of Stronghold as if it had applied Bitfarms’ IFRS accounting policies for purposes of the unaudited pro forma condensed combined financial statements.</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U.S. GAAP, Stronghold adopted ASU 2023-08, </w:t>
      </w:r>
      <w:r>
        <w:rPr>
          <w:rFonts w:ascii="Times New Roman" w:cs="Times New Roman" w:eastAsia="Times New Roman" w:hAnsi="Times New Roman"/>
          <w:sz w:val="18"/>
          <w:szCs w:val="18"/>
          <w:i w:val="1"/>
          <w:iCs w:val="1"/>
          <w:color w:val="auto"/>
        </w:rPr>
        <w:t>Intangibles — Goodwill and Other — Crypto Assets (Subtopic 350-60)</w:t>
      </w:r>
      <w:r>
        <w:rPr>
          <w:rFonts w:ascii="Times New Roman" w:cs="Times New Roman" w:eastAsia="Times New Roman" w:hAnsi="Times New Roman"/>
          <w:sz w:val="18"/>
          <w:szCs w:val="18"/>
          <w:color w:val="auto"/>
        </w:rPr>
        <w:t xml:space="preserve"> as of January 1, 2024, which requires all entities holding crypto assets that meet certain requirements to subsequently measure in-scope crypto assets at fair value, with the remeasurement recorded in net income. Before adopting ASU 2023-08, Stronghold accounted for its crypto assets (digital currencies) as indefinite-lived intangible assets, which follow a cost-less-impairment accounting model that only reflects decreases, but not increases, in the fair value of crypto asset holdings until sold.</w:t>
      </w:r>
    </w:p>
    <w:p>
      <w:pPr>
        <w:spacing w:after="0" w:line="18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IFRS, Bitfarms accounts for crypto assets (digital assets), as indefinite-lived intangible assets initially measured at cost, and subsequently measured under the revaluation model. Under the revaluation model, increases in the crypto assets’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 asset is sold, the revaluation increase related to it is transferred from revaluation surplus to retained earnings.</w:t>
      </w:r>
    </w:p>
    <w:p>
      <w:pPr>
        <w:spacing w:after="0" w:line="18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IFRS crypto assets accounting requirements and to align to Bitfarms’ accounting policy to subsequently measure crypto assets under the revaluation model, the following adjustments were made to the unaudited pro forma condensed combined statement of earnings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(decrease)</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bl>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Bitcoin miner hosting revenue contracts</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Under U.S. GAAP, Stronghold is required to measure the estimated fair value of noncash consideration at contract inception, whereas IFRS 15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does not specify the measurement date for noncash consideration. The use of a measurement date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contract inception would not be precluded under IFRS and the Company will need to use judgement to determine the most appropriate measurement date. Under IFRS, the Company determined that it would measure its noncash consideration when received (i.e., on a daily basis, as each Bitcoin is awarded). To reflect the IFRS accounting requirements and to align to Bitfarms’ accounting policy, the following adjustments were made to the unaudited pro forma condensed combined statement of earnings (loss):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(decrease)</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0" w:lineRule="exact"/>
        <w:rPr>
          <w:rFonts w:ascii="Times New Roman" w:cs="Times New Roman" w:eastAsia="Times New Roman" w:hAnsi="Times New Roman"/>
          <w:sz w:val="18"/>
          <w:szCs w:val="18"/>
          <w:b w:val="1"/>
          <w:bCs w:val="1"/>
          <w:color w:val="auto"/>
        </w:rPr>
      </w:pPr>
    </w:p>
    <w:p>
      <w:pPr>
        <w:spacing w:after="0" w:line="24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U.S. GAAP, leases are classified as either finance or operating at lease commencement if specified criteria have been met, whereas IFRS does not distinguish between operating and finance leases. Rather, IFRS applies a single recognition and measurement model to all leases, which is similar to the treatment of finance leases under U.S. GAAP. To reflect the IFRS lease accounting requirements, the following adjustments were made to the unaudited pro forma condensed combined statement of financial 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(decrease)</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356" w:gutter="0" w:footer="0" w:header="0"/>
        </w:sectPr>
      </w:pPr>
    </w:p>
    <w:bookmarkStart w:id="57" w:name="page58"/>
    <w:bookmarkEnd w:id="57"/>
    <w:p>
      <w:pPr>
        <w:ind w:left="660"/>
        <w:spacing w:after="0" w:line="282" w:lineRule="auto"/>
        <w:rPr>
          <w:sz w:val="20"/>
          <w:szCs w:val="20"/>
          <w:color w:val="auto"/>
        </w:rPr>
      </w:pPr>
      <w:r>
        <w:rPr>
          <w:rFonts w:ascii="Times New Roman" w:cs="Times New Roman" w:eastAsia="Times New Roman" w:hAnsi="Times New Roman"/>
          <w:sz w:val="18"/>
          <w:szCs w:val="18"/>
          <w:color w:val="auto"/>
        </w:rPr>
        <w:t>To recognize the depreciation of the right-of-use assets and interest on lease liabilities in the unaudited pro forma condensed combined statement of earnings (loss), the following adjustments were made: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(decrease)</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9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U.S. GAAP, Stronghold elected to apply the straight-line approach to expense recognition for share awards that vests in increments when measuring share-based payment awards. Under IFRS, where awards vest in increments, a graded vesting approach is used, resulting in a higher proportion of cost being allocated to the earlier years.</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IFRS share-based payment accounting requirements, the following adjustments to share-based payment expense were made to the unaudited pro forma condensed combined statement of earnings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(decrease)</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Further review may identify additional U.S. GAAP to IFRS and accounting policy differences, that, when conformed, could have a material impact on the unaudited pro forma condensed combined financial statements of the combined company. At this time, Bitfarms is not aware of any other significant accounting policy differences that would have a material impact on the unaudited pro forma financial statements that are not reflected in the pro forma adjustments.</w:t>
      </w:r>
    </w:p>
    <w:p>
      <w:pPr>
        <w:spacing w:after="0" w:line="176"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 and Assumptions for the Merger</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pro forma condensed combined financial statements include the following pro forma assumptions and adjustments:</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Elimination of historical equity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 forma adjustment eliminates the historical equity accounts of Stronghold.</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consideration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estimated purchase consideration of $173,915 was determined based on Stronghold’s issued and outstanding share capital and equity awards outstanding under Stronghold’s incentive compensation plans as of September 30, 2024, that will be exchanged or ultimately be paid out in cash on closing. The number of Bitfarms common shares to be issued is based on the number of shares of Stronghold Class A common stock outstanding multiplied by the exchange ratio, adjusted for fractional shares. The stock price assumed for the total estimated purchase consideration reflected in the unaudited pro forma condensed combined financial statements is the closing price of Bitfarms’ common shares on Nasdaq as at November 18, 2024 ($2.16 per share).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the estimated purchase consideration: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consideration</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Stronghold Series C preferred stock to Stronghold Class A common stock</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10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Conversion of Company Holdco common units (together with cancellation of a corresponding number of Stronghold Class V common</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to Stronghold Class A common stock</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Pr>
          <w:p>
            <w:pPr>
              <w:spacing w:after="0"/>
              <w:rPr>
                <w:sz w:val="20"/>
                <w:szCs w:val="20"/>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RSUs outstanding that immediately vests in full</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Stronghold Class A common stock outstanding</w:t>
            </w:r>
          </w:p>
        </w:tc>
        <w:tc>
          <w:tcPr>
            <w:tcW w:w="3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14,738</w:t>
            </w:r>
          </w:p>
        </w:tc>
      </w:tr>
      <w:tr>
        <w:trPr>
          <w:trHeight w:val="216"/>
        </w:trPr>
        <w:tc>
          <w:tcPr>
            <w:tcW w:w="9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tcPr>
          <w:p>
            <w:pPr>
              <w:spacing w:after="0"/>
              <w:rPr>
                <w:sz w:val="20"/>
                <w:szCs w:val="20"/>
                <w:color w:val="auto"/>
              </w:rPr>
            </w:pP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Bitfarms common shares to be issued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common share price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9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10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Replacement employee options </w:t>
            </w:r>
            <w:r>
              <w:rPr>
                <w:rFonts w:ascii="Times New Roman" w:cs="Times New Roman" w:eastAsia="Times New Roman" w:hAnsi="Times New Roman"/>
                <w:sz w:val="29"/>
                <w:szCs w:val="29"/>
                <w:color w:val="auto"/>
                <w:vertAlign w:val="superscript"/>
              </w:rPr>
              <w:t>(i)</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r>
      <w:tr>
        <w:trPr>
          <w:trHeight w:val="290"/>
        </w:trPr>
        <w:tc>
          <w:tcPr>
            <w:tcW w:w="100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Settlement of pre-existing relationship </w:t>
            </w:r>
            <w:r>
              <w:rPr>
                <w:rFonts w:ascii="Times New Roman" w:cs="Times New Roman" w:eastAsia="Times New Roman" w:hAnsi="Times New Roman"/>
                <w:sz w:val="29"/>
                <w:szCs w:val="29"/>
                <w:color w:val="auto"/>
                <w:vertAlign w:val="superscript"/>
              </w:rPr>
              <w:t>(ii)</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r>
      <w:tr>
        <w:trPr>
          <w:trHeight w:val="210"/>
        </w:trPr>
        <w:tc>
          <w:tcPr>
            <w:tcW w:w="100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share consideration</w:t>
            </w: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10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Replacement warrants </w:t>
            </w:r>
            <w:r>
              <w:rPr>
                <w:rFonts w:ascii="Times New Roman" w:cs="Times New Roman" w:eastAsia="Times New Roman" w:hAnsi="Times New Roman"/>
                <w:sz w:val="29"/>
                <w:szCs w:val="29"/>
                <w:color w:val="auto"/>
                <w:vertAlign w:val="superscript"/>
              </w:rPr>
              <w:t>(iii)</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17,008</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Stronghold indebtedness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53,468</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173,915</w:t>
            </w:r>
          </w:p>
        </w:tc>
        <w:tc>
          <w:tcPr>
            <w:tcW w:w="80" w:type="dxa"/>
            <w:vAlign w:val="bottom"/>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3"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outstanding vested or unvested Stronghold employee options will be automatically converted into new Bitfarms options at closing on substantially the same terms and conditions.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(“IFRS 2”) Bitfarms will account for the portion of the estimated fair value of the Stronghold employee options attributable to the pre-combination service period as a component of estimated purchase consideration, and the remainder of the estimated fair value will be accounted for as post-combination expense by Bitfarms, subject to the grantees meeting the applicable vesting conditions. The number of Bitfarms common shares and exercise price of the new Bitfarms options is adjusted based on the exchange ratio. As the intent is for Stronghold employee options to be kept whole before and after the merger with no changes to the relevant terms and conditions, the Company does not expect there to be a material difference between the fair value of the Stronghold employee options and the new Bitfarms options at closing. The total estimated fair value of the new Bitfarms employee options as at November 18, 2024 is $23 and based on the vesting period completed was fully allocated to the estimated purchase consideration. The fair value of each new Bitfarms employee option ranges from $0.06 to $0.68 and has been calculated using the Black-Scholes model.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left="340" w:hanging="332"/>
        <w:spacing w:after="0" w:line="272" w:lineRule="auto"/>
        <w:tabs>
          <w:tab w:leader="none" w:pos="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accordance with IFRS 3 upon closing of the merger, Bitfarms would effectively settle the pre-existing contractual relationships between Bitfarms and Stronghold and would recognize a loss based on the unfavourable element of the Hosting Agreements and reduce estimated purchase consideration transferred for the merger. For a more detailed discussion, see Note 5f) </w:t>
      </w:r>
      <w:r>
        <w:rPr>
          <w:rFonts w:ascii="Times New Roman" w:cs="Times New Roman" w:eastAsia="Times New Roman" w:hAnsi="Times New Roman"/>
          <w:sz w:val="17"/>
          <w:szCs w:val="17"/>
          <w:i w:val="1"/>
          <w:iCs w:val="1"/>
          <w:color w:val="auto"/>
        </w:rPr>
        <w:t>Pro forma Adjustments and Assumptions for the Merger — Hosting Agreement</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jc w:val="both"/>
        <w:ind w:left="340" w:hanging="332"/>
        <w:spacing w:after="0" w:line="253"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IFRS 2 does not apply to share-based payments to acquire goods as part of a business combination in which IFRS 3 applies. As new Bitfarms warrants are issued as replacement of the Stronghold warrants, the exchange of warrants is accounted for in accordance with IAS 32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Presentations </w:t>
      </w:r>
      <w:r>
        <w:rPr>
          <w:rFonts w:ascii="Times New Roman" w:cs="Times New Roman" w:eastAsia="Times New Roman" w:hAnsi="Times New Roman"/>
          <w:sz w:val="18"/>
          <w:szCs w:val="18"/>
          <w:color w:val="auto"/>
        </w:rPr>
        <w:t>(“IAS 32”) and are classified as liabilities. The fair value of the new Bitfarms warrants issued to acquire Stronghold is a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purchase consideration. The estimated fair value of each new Bitfarms warrants as at November 18, 2024 is $1.70 and has been calculated using the Black-Scholes model.</w:t>
      </w:r>
    </w:p>
    <w:p>
      <w:pPr>
        <w:spacing w:after="0" w:line="186"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purchase consideration reflected in the unaudited pro forma condensed combined financial statements do not purport to represent what the actual consideration transferred will be when the merger is consummated. The fair value of the Bitfarms common shares to be delivered as part of the consideration transferred will be measured, at closing, based on the number of outstanding Stronghold Class A common stock multiplied by the exchange ratio, which could differ materially from the assumed value disclosed in the notes to these unaudited pro forma condensed combined financial statements. Further, no effect has been given to any other new Stronghold Class A common stock or other equity awards that may be issued or granted subsequent to the date of this prospectus supplement and before the closing as a result the number of outstanding Stronghold Class A common stock or other equity awards is subject to change. The actual consideration transferred will also depend on the market price of Bitfarms’ common shares when the merger is consummated. The Company believes that an 85% fluctuation in the market price of the Bitfarms common shares is reasonably possible based on historical volatility, and the potential effect on the estimated purchase consideration would be: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Bitfarms’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purchase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presented</w:t>
            </w: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2.16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85% increase</w:t>
            </w:r>
          </w:p>
        </w:tc>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262,417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 decrease</w:t>
            </w:r>
          </w:p>
        </w:tc>
        <w:tc>
          <w:tcPr>
            <w:tcW w:w="13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85,413</w:t>
            </w:r>
          </w:p>
        </w:tc>
      </w:tr>
    </w:tbl>
    <w:p>
      <w:pPr>
        <w:spacing w:after="0" w:line="19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Estimated purchase price allocation of consideration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estimated purchase price allocation is based on management’s best estimate of the fair value based on currently available information. Pro forma adjustments have been made to eliminate Stronghold’s historical carrying values and to reflect the allocation of the estimated purchase price where there is a difference between the carrying value and fair value.</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final IFRS 3 purchase price allocation will be determined when the Company has completed the detailed valuations and necessary calculations. The final purchase price allocation may include changes in allocations to property plant and equipment, intangible assets and goodwill based on the results of certain valuations and other studies that have yet to be completed and other changes to assets and liabilities.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allocation of the estimated purchase price: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of Stronghold acquired</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2,815</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126,675</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26,037</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10,501</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identifiable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72,721</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of redeemable common stock</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U.S. GAAP, Stronghold classified its outstanding shares of Stronghold Class V common stock as mezzanine equity. Under IFRS, there is no concept of “temporary equity” or “mezzanine classification” which would result in classification differences. However, as summarized above, each share of Stronghold Class V common stock issued and outstanding immediately prior to closing shall be surrendered for cancellation and shall cease to exist. As a result, a pro forma adjustment was made to the unaudited pro forma condensed combined statement of financial position to eliminate redeemable common stock of $11,536.</w:t>
      </w:r>
    </w:p>
    <w:p>
      <w:pPr>
        <w:spacing w:after="0" w:line="17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of Stronghold RSUs</w:t>
      </w:r>
    </w:p>
    <w:p>
      <w:pPr>
        <w:spacing w:after="0" w:line="229" w:lineRule="exact"/>
        <w:rPr>
          <w:rFonts w:ascii="Times New Roman" w:cs="Times New Roman" w:eastAsia="Times New Roman" w:hAnsi="Times New Roman"/>
          <w:sz w:val="18"/>
          <w:szCs w:val="18"/>
          <w:b w:val="1"/>
          <w:bCs w:val="1"/>
          <w:color w:val="auto"/>
        </w:rPr>
      </w:pPr>
    </w:p>
    <w:p>
      <w:pPr>
        <w:jc w:val="both"/>
        <w:ind w:left="6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the Interim Stronghold RSUs, each Stronghold RSU that is outstanding immediately prior to closing will immediately vest in full. As a result, a pro forma adjustment of $1,388 was made to the unaudited pro forma condensed combined statement of earnings (loss) for the year ended December 31, 2023, to increase share-based compensation expense recorded in general and administrative expenses related to the RSUs that will vest upon the consummation of the merger.</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Hosting Agreements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12, 2024, Bitfarms entered into a Hosting Agreement with Stronghold Digital Mining Hosting, LLC, a wholly-owned subsidiary of Stronghold. Simultaneously with the execution of the Hosting Agreement, Bitfarms provided Stronghold with a deposit of $7.8 million. In the historical financial statements, Bitfarms recorded the deposit as a financial asset initially recognized at fair value and subsequently recorded at amortized cost (within long-term deposits, equipment prepayments and other) and Stronghold recorded the deposit received as a contract liability, within other noncurrent liabilities. With the exception of the $7.8 million deposit, there were no other activities between the companies in the historical financial statements since the Bitmain T21 miners (owned by Bitfarms) has not yet been delivered to Stronghold’s Panther Creek mining facility as at September 30, 2024. To eliminate the activities between the companies in the historical financial statements, the following adjustments were made to the unaudited pro forma condensed combined statement of financial position: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(decrease)</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r>
    </w:tbl>
    <w:p>
      <w:pPr>
        <w:spacing w:after="0" w:line="17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October 29, 2024, Bitfarms entered into a second Hosting Agreement with Stronghold. In connection with the execution of the second Hosting Agreement, Bitfarms provided Stronghold with an additional deposit of $7.8 million. The two deposits bear interest at SOFR plus 1% and will be returned to Bitfarms at the end of the initial hosting term. The 1% spread on the deposits when compared with terms for current market transactions for same or similar items is unfavourable to Bitfarms. The Hosting Agreements were determined to be separate transactions from the merger and are considered a pre-existing contractual relationship between Bitfarms and Stronghold. Upon closing of the merger, Bitfarms would effectively settle the pre-existing relationship and would recognize a gain or loss based on the unfavourable element of the contracts. Whether Bitfarms had previously recognized an amount in its financial statements related to a preexisting relationship will affect the amount recognized as a gain or loss for the effective settlement of the relationship. As noted above, Bitfarms had recognized a financial asset related to the Hosting Agreement. Upon initial recognition of the financial asset, Bitfarms had previously recognized a $675 loss in the historical financial statements. Since the total unfavourable element of the contracts is only $478, a pro forma adjustment of $197 was made to the unaudited pro forma condensed combined statement of earnings (loss) for the year ended December 31, 2023, to decrease general and administrative expenses.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of Stronghold non-employee options for new Bitfarms options</w:t>
      </w:r>
    </w:p>
    <w:p>
      <w:pPr>
        <w:spacing w:after="0" w:line="229" w:lineRule="exact"/>
        <w:rPr>
          <w:rFonts w:ascii="Times New Roman" w:cs="Times New Roman" w:eastAsia="Times New Roman" w:hAnsi="Times New Roman"/>
          <w:sz w:val="18"/>
          <w:szCs w:val="18"/>
          <w:b w:val="1"/>
          <w:bCs w:val="1"/>
          <w:color w:val="auto"/>
        </w:rPr>
      </w:pPr>
    </w:p>
    <w:p>
      <w:pPr>
        <w:jc w:val="both"/>
        <w:ind w:left="30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merger agreement, at the effective time, 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on closing. Since the Stronghold non-employee options are out of the money, the Company does not expect to issue any additional Bitfarms common shares for these Stronghold non-employee options. As a result, a pro forma adjustment of $1 was made to the unaudited pro forma condensed combined statement of earnings (loss) for the year ended December 31, 2023, to increase share-based compensation expense recorded in general and administrative expenses related to the cancellation of the non-employee options upon the consummation of the merger.</w:t>
      </w:r>
    </w:p>
    <w:p>
      <w:pPr>
        <w:spacing w:after="0" w:line="184"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of Stronghold warrants for new Bitfarms warrants</w:t>
      </w:r>
    </w:p>
    <w:p>
      <w:pPr>
        <w:spacing w:after="0" w:line="229" w:lineRule="exact"/>
        <w:rPr>
          <w:rFonts w:ascii="Times New Roman" w:cs="Times New Roman" w:eastAsia="Times New Roman" w:hAnsi="Times New Roman"/>
          <w:sz w:val="18"/>
          <w:szCs w:val="18"/>
          <w:b w:val="1"/>
          <w:bCs w:val="1"/>
          <w:color w:val="auto"/>
        </w:rPr>
      </w:pPr>
    </w:p>
    <w:p>
      <w:pPr>
        <w:jc w:val="both"/>
        <w:ind w:left="32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Pursuant to the merger agreement, at the effective time, each outstanding and unexercised warrant to purchase Stronghold Class A common stock shall cease to represent a right to acquire Stronghold Class A common stock and shall be replaced with a warrant to acquire a number of Bitfarms common shares on substantially the same terms and conditions. As summarized above in Note 5b) </w:t>
      </w:r>
      <w:r>
        <w:rPr>
          <w:rFonts w:ascii="Times New Roman" w:cs="Times New Roman" w:eastAsia="Times New Roman" w:hAnsi="Times New Roman"/>
          <w:sz w:val="18"/>
          <w:szCs w:val="18"/>
          <w:i w:val="1"/>
          <w:iCs w:val="1"/>
          <w:color w:val="auto"/>
        </w:rPr>
        <w:t>Pro forma Adjustments and Assumptions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Purchase consideration</w:t>
      </w:r>
      <w:r>
        <w:rPr>
          <w:rFonts w:ascii="Times New Roman" w:cs="Times New Roman" w:eastAsia="Times New Roman" w:hAnsi="Times New Roman"/>
          <w:sz w:val="18"/>
          <w:szCs w:val="18"/>
          <w:color w:val="auto"/>
        </w:rPr>
        <w:t>, Bitfarms will account for the new Bitfarms warrants as a component of estimated purchase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Stronghold warrants will be replaced, a pro forma adjustment was made to the unaudited pro forma condensed combined statement of financial position to decrease warrant liabilities by $16,765.</w:t>
      </w:r>
    </w:p>
    <w:p>
      <w:pPr>
        <w:spacing w:after="0" w:line="187" w:lineRule="exact"/>
        <w:rPr>
          <w:rFonts w:ascii="Times New Roman" w:cs="Times New Roman" w:eastAsia="Times New Roman" w:hAnsi="Times New Roman"/>
          <w:sz w:val="18"/>
          <w:szCs w:val="18"/>
          <w:b w:val="1"/>
          <w:bCs w:val="1"/>
          <w:color w:val="auto"/>
        </w:rPr>
      </w:pPr>
    </w:p>
    <w:p>
      <w:pPr>
        <w:jc w:val="both"/>
        <w:ind w:left="32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Both the Stronghold warrants and the new Bitfarms warrants are classified as liabilities that are measured at fair value through net income at the end of each reporting period. Based on the information currently available, it is expected that the fair value of the Stronghold warrants will have a similar fair value as the new Bitfarms warrants, no material impact to profit or loss is expected and therefore no adjustment was made to the unaudited pro forma condensed combined statement of earnings (loss).</w:t>
      </w:r>
    </w:p>
    <w:p>
      <w:pPr>
        <w:spacing w:after="0" w:line="175"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Stronghold’s outstanding indebtedness</w:t>
      </w:r>
    </w:p>
    <w:p>
      <w:pPr>
        <w:spacing w:after="0" w:line="227" w:lineRule="exact"/>
        <w:rPr>
          <w:rFonts w:ascii="Times New Roman" w:cs="Times New Roman" w:eastAsia="Times New Roman" w:hAnsi="Times New Roman"/>
          <w:sz w:val="18"/>
          <w:szCs w:val="18"/>
          <w:b w:val="1"/>
          <w:bCs w:val="1"/>
          <w:color w:val="auto"/>
        </w:rPr>
      </w:pPr>
    </w:p>
    <w:p>
      <w:pPr>
        <w:jc w:val="both"/>
        <w:ind w:left="32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summarized above in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Bitfarms intends to settle Stronghold’s outstanding debt obligations immediately prior to closing with cash on hand. As a result of the settlement, a pro forma adjustment was made to the unaudited pro forma condensed combined statement of financial position to decrease the current portion of long-term debt, long-term debt and accrued interest in trade payables and accrued liabilities by $19,567, $33,880 and $21, respectively.</w:t>
      </w:r>
    </w:p>
    <w:p>
      <w:pPr>
        <w:spacing w:after="0" w:line="181" w:lineRule="exact"/>
        <w:rPr>
          <w:rFonts w:ascii="Times New Roman" w:cs="Times New Roman" w:eastAsia="Times New Roman" w:hAnsi="Times New Roman"/>
          <w:sz w:val="18"/>
          <w:szCs w:val="18"/>
          <w:b w:val="1"/>
          <w:bCs w:val="1"/>
          <w:color w:val="auto"/>
        </w:rPr>
      </w:pPr>
    </w:p>
    <w:p>
      <w:pPr>
        <w:jc w:val="both"/>
        <w:ind w:left="328"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pro forma condensed combined statement of earnings (loss) for the nine months ended September 30, 2024 and the year ended December 31, 2023 reflects a pro forma adjustment to decrease net financial expenses (income) by $6,753 and $9,755 respectively to eliminate the historical interest expense recorded related to Stronghold’s outstanding debt.</w:t>
      </w:r>
    </w:p>
    <w:p>
      <w:pPr>
        <w:spacing w:after="0" w:line="171"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costs</w:t>
      </w:r>
    </w:p>
    <w:p>
      <w:pPr>
        <w:spacing w:after="0" w:line="229" w:lineRule="exact"/>
        <w:rPr>
          <w:rFonts w:ascii="Times New Roman" w:cs="Times New Roman" w:eastAsia="Times New Roman" w:hAnsi="Times New Roman"/>
          <w:sz w:val="18"/>
          <w:szCs w:val="18"/>
          <w:b w:val="1"/>
          <w:bCs w:val="1"/>
          <w:color w:val="auto"/>
        </w:rPr>
      </w:pPr>
    </w:p>
    <w:p>
      <w:pPr>
        <w:ind w:left="32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transaction costs for the merger are expected to approximate $6,734, of which $4,234 and $nil were included in the Company’s consolidated statements of profit or loss for the nine months ended September 30, 2024 and the year ended December 31, 2023, respectively.</w:t>
      </w:r>
    </w:p>
    <w:p>
      <w:pPr>
        <w:spacing w:after="0" w:line="36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62" w:name="page63"/>
    <w:bookmarkEnd w:id="62"/>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Estimated nonrecurring incremental transaction costs of $2,500 that will be incurred subsequent to September 30, 2024, that have not yet been expensed in Bitfarms’ historical statements of profit or loss or accrued in the historical statements of financial position are reflected as an adjustment to:</w:t>
      </w:r>
    </w:p>
    <w:p>
      <w:pPr>
        <w:spacing w:after="0" w:line="176" w:lineRule="exact"/>
        <w:rPr>
          <w:sz w:val="20"/>
          <w:szCs w:val="20"/>
          <w:color w:val="auto"/>
        </w:rPr>
      </w:pPr>
    </w:p>
    <w:p>
      <w:pPr>
        <w:ind w:left="1300" w:hanging="320"/>
        <w:spacing w:after="0" w:line="282" w:lineRule="auto"/>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trade payables and accrued liabilities and accumulated deficit in the unaudited pro forma condensed combined statement of financial position.</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general and administrative expenses in the unaudited pro forma condensed combined statement of earnings (loss) for the year ended December 31, 2023.</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6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 forma adjustments to the unaudited pro forma condensed combined statement of earnings (loss) for the nine months ended September 30, 2024 and the year ended December 31, 2023 do not have an income tax effect due to the pro forma net loss position and it is not probable that deferred tax assets will be utilized.</w:t>
      </w:r>
    </w:p>
    <w:p>
      <w:pPr>
        <w:spacing w:after="0" w:line="171"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net loss per share</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calculated by dividing the pro forma net loss for the period by the pro forma weighted average numbers of Bitfarms common shares that would have been outstanding during the period using the treasury stock method. The weighted average number of Bitfarms common shares was determined by taking the historical weighted average number of Bitfarms common shares outstanding and adjusting for the shares issued under the merger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nine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 - Pro forma 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(100,677)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(208,759)</w:t>
            </w:r>
          </w:p>
        </w:tc>
      </w:tr>
      <w:tr>
        <w:trPr>
          <w:trHeight w:val="216"/>
        </w:trPr>
        <w:tc>
          <w:tcPr>
            <w:tcW w:w="86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net loss per common share – weighted average number of common shares</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396,423,169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262,237,117</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for newly issued shares related to the merger</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48,098,868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48,098,868</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 Forma denominator for basic net loss per common shares – weighted average common shares</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444,522,037</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310,335,985</w:t>
            </w:r>
          </w:p>
        </w:tc>
        <w:tc>
          <w:tcPr>
            <w:tcW w:w="100" w:type="dxa"/>
            <w:vAlign w:val="bottom"/>
            <w:tcBorders>
              <w:top w:val="single" w:sz="8" w:color="CCEEFF"/>
            </w:tcBorders>
          </w:tcPr>
          <w:p>
            <w:pPr>
              <w:spacing w:after="0"/>
              <w:rPr>
                <w:sz w:val="17"/>
                <w:szCs w:val="17"/>
                <w:color w:val="auto"/>
              </w:rPr>
            </w:pPr>
          </w:p>
        </w:tc>
      </w:tr>
      <w:tr>
        <w:trPr>
          <w:trHeight w:val="29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Effect of dilutive securities </w:t>
            </w:r>
            <w:r>
              <w:rPr>
                <w:rFonts w:ascii="Times New Roman" w:cs="Times New Roman" w:eastAsia="Times New Roman" w:hAnsi="Times New Roman"/>
                <w:sz w:val="29"/>
                <w:szCs w:val="29"/>
                <w:color w:val="auto"/>
                <w:vertAlign w:val="superscript"/>
              </w:rPr>
              <w:t>(i)</w:t>
            </w:r>
          </w:p>
        </w:tc>
        <w:tc>
          <w:tcPr>
            <w:tcW w:w="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 forma denominator for diluted net loss per common shares – weighted average common shares</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444,522,037</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310,335,985</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 forma basic and diluted net loss per common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(0.67)</w:t>
            </w:r>
          </w:p>
        </w:tc>
      </w:tr>
    </w:tbl>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Potentially dilutive securities have not been included in the calculation of diluted net loss per share because their effect is anti-dilutive.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SCHEDULE “A-2”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AUDITED CONSOLIDATED FINANCIAL STATEMENTS FOR THE YEARS ENDED DECEMBER 31, 2023 AND 2022</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20"/>
          </w:cols>
          <w:pgMar w:left="1240" w:top="900" w:right="1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Management’s Report on Financial Statements and Practices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were prepared by Management, which is responsible for their integrity and objectivity. The statements were prepared in accordance with accounting principles generally accepted in the United States of America and include amounts that are based on Management’s best judgments and estimates. The other financial information included in this Annual Report on Form 10-K is consistent with that in the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Stronghold Digital Mining, Inc. and subsidiaries (the “Company”) as of December 31, 2023, and 2022, the related consolidated statements of operations,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Urish Popeck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868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4,214,613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13,296,703</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Digital currencies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3,175,595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109,827</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507,029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10,837,126</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4,196,812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4,471,657</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3,787,048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4,877,935</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73,122</w:t>
            </w:r>
          </w:p>
        </w:tc>
      </w:tr>
      <w:tr>
        <w:trPr>
          <w:trHeight w:val="25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1,675,084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1,975,300</w:t>
            </w: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17,653,469</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35,641,670</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deposits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8,000,643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10,081,307</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144,642,771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167,204,681</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1,472,747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1,719,037</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1,748,440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1,748,440</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Road bond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211,958</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348,888</w:t>
            </w:r>
          </w:p>
        </w:tc>
      </w:tr>
      <w:tr>
        <w:trPr>
          <w:trHeight w:val="25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170,488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174,337,184</w:t>
            </w:r>
          </w:p>
        </w:tc>
        <w:tc>
          <w:tcPr>
            <w:tcW w:w="2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216,955,981</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11,857,052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27,540,317</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10,787,895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8,893,248</w:t>
            </w: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2,927,508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4,587,935</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 net of discounts and issuance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7,936,147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17,422,546</w:t>
            </w: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788,706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593,063</w:t>
            </w:r>
          </w:p>
        </w:tc>
      </w:tr>
      <w:tr>
        <w:trPr>
          <w:trHeight w:val="249"/>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718,838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1,375,049</w:t>
            </w: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35,016,146</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60,412,158</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1,075,728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1,023,524</w:t>
            </w: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25,210,429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2,131,959</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Long-term debt, net of discounts and issuance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48,203,762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57,027,118</w:t>
            </w: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776,079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1,230,001</w:t>
            </w:r>
          </w:p>
        </w:tc>
      </w:tr>
      <w:tr>
        <w:trPr>
          <w:trHeight w:val="25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241,420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351,490</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110,523,564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122,176,250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REDEEMABLE 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 Class V; $0.0001 par value; 34,560,000 shares authorized and 2,405,760 and 2,605,760 shares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issued and outstanding as of December 31, 2023, and 2022, respectively.</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20,416,116</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11,754,587</w:t>
            </w:r>
          </w:p>
        </w:tc>
      </w:tr>
      <w:tr>
        <w:trPr>
          <w:trHeight w:val="210"/>
        </w:trPr>
        <w:tc>
          <w:tcPr>
            <w:tcW w:w="8680" w:type="dxa"/>
            <w:vAlign w:val="bottom"/>
            <w:tcBorders>
              <w:top w:val="single" w:sz="8" w:color="CCEEFF"/>
              <w:bottom w:val="single" w:sz="8" w:color="CCEEFF"/>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rPr>
              <w:t>Total redeemable common stock</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20,416,116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11,754,587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 Class A; $0.0001 par value; 685,440,000 shares authorized; 11,115,561 and 3,171,022 shares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issued and outstanding as of December 31, 2023, and 2022,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198"/>
        </w:trPr>
        <w:tc>
          <w:tcPr>
            <w:tcW w:w="86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 $0.0001 par value; 23,102 shares authorized; 5,990 and 0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$0.0001 par value; 15,582 shares authorized; 7,610 and 0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deficits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(331,647,755)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(240,443,302)</w:t>
            </w:r>
          </w:p>
        </w:tc>
      </w:tr>
      <w:tr>
        <w:trPr>
          <w:trHeight w:val="23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375,044,145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323,468,129</w:t>
            </w:r>
          </w:p>
        </w:tc>
      </w:tr>
      <w:tr>
        <w:trPr>
          <w:trHeight w:val="236"/>
        </w:trPr>
        <w:tc>
          <w:tcPr>
            <w:tcW w:w="8680" w:type="dxa"/>
            <w:vAlign w:val="bottom"/>
            <w:tcBorders>
              <w:top w:val="single" w:sz="8" w:color="CCEEFF"/>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43,397,504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83,025,144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rPr>
              <w:t>Total redeemable common stock and stockholders’ equity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63,813,620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94,779,731</w:t>
            </w:r>
          </w:p>
        </w:tc>
        <w:tc>
          <w:tcPr>
            <w:tcW w:w="100" w:type="dxa"/>
            <w:vAlign w:val="bottom"/>
            <w:tcBorders>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COMMON STOCK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174,337,184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216,955,981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868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Cryptocurrency mining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52,885,456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58,763,565</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Cryptocurrency hosting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14,614,589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459,872</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5,814,251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45,384,953</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Capacity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1,442,067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5,469,648</w:t>
            </w:r>
          </w:p>
        </w:tc>
      </w:tr>
      <w:tr>
        <w:trPr>
          <w:trHeight w:val="24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209,937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145,780</w:t>
            </w:r>
          </w:p>
        </w:tc>
      </w:tr>
      <w:tr>
        <w:trPr>
          <w:trHeight w:val="203"/>
        </w:trPr>
        <w:tc>
          <w:tcPr>
            <w:tcW w:w="8680" w:type="dxa"/>
            <w:vAlign w:val="bottom"/>
            <w:tcBorders>
              <w:top w:val="single" w:sz="8" w:color="CCEEFF"/>
            </w:tcBorders>
          </w:tcPr>
          <w:p>
            <w:pPr>
              <w:ind w:left="440"/>
              <w:spacing w:after="0" w:line="203" w:lineRule="exact"/>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74,966,300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110,223,818</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28,590,348</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32,970,826</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32,836,172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57,030,189</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31,430,280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44,460,810</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35,415,286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47,235,344</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3,818,307</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2,511,262</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(967,995)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(1,102,220)</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(gain) loss on sale of miner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(52,000)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8,012,248</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Impairments on miner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40,683,112</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910,029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8,339,660</w:t>
            </w:r>
          </w:p>
        </w:tc>
      </w:tr>
      <w:tr>
        <w:trPr>
          <w:trHeight w:val="25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5,422,338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17,348,742</w:t>
            </w:r>
          </w:p>
        </w:tc>
      </w:tr>
      <w:tr>
        <w:trPr>
          <w:trHeight w:val="210"/>
        </w:trPr>
        <w:tc>
          <w:tcPr>
            <w:tcW w:w="8680" w:type="dxa"/>
            <w:vAlign w:val="bottom"/>
            <w:tcBorders>
              <w:top w:val="single" w:sz="8" w:color="CCEEFF"/>
              <w:bottom w:val="single" w:sz="8" w:color="CCEEFF"/>
            </w:tcBorders>
          </w:tcPr>
          <w:p>
            <w:pPr>
              <w:ind w:left="4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137,402,765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257,489,973</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(62,436,465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(147,266,155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(9,846,359)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(13,911,008)</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(28,960,947)</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(40,517,707)</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841,670</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(646,722)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4,226,171</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sale of derivative contract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90,953</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fair value of forward sale derivative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3,435,639</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fair value of convertible note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(2,167,500)</w:t>
            </w:r>
          </w:p>
        </w:tc>
      </w:tr>
      <w:tr>
        <w:trPr>
          <w:trHeight w:val="23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95,970</w:t>
            </w:r>
          </w:p>
        </w:tc>
      </w:tr>
      <w:tr>
        <w:trPr>
          <w:trHeight w:val="236"/>
        </w:trPr>
        <w:tc>
          <w:tcPr>
            <w:tcW w:w="8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(39,389,028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(47,905,812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(101,825,493)</w:t>
            </w:r>
          </w:p>
        </w:tc>
        <w:tc>
          <w:tcPr>
            <w:tcW w:w="2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(195,171,967)</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(30,428,749)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(105,910,737)</w:t>
            </w:r>
          </w:p>
        </w:tc>
      </w:tr>
      <w:tr>
        <w:trPr>
          <w:trHeight w:val="237"/>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Deemed contribution from exchange of Series C convertible preferred stock</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20,492,568</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LOSS attributable to Stronghold Digital Mining, Inc.</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(50,904,176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(89,261,230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 shareholders: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Weighted average number of Class A common shares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6,821,173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2,584,907</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6,821,173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2,584,907</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80" w:type="dxa"/>
            <w:vAlign w:val="bottom"/>
            <w:gridSpan w:val="1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STRONGHOLD DIGITAL MINING, INC.</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40" w:type="dxa"/>
            <w:vAlign w:val="bottom"/>
            <w:gridSpan w:val="30"/>
          </w:tcPr>
          <w:p>
            <w:pPr>
              <w:jc w:val="center"/>
              <w:ind w:left="2295"/>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STOCKHOLDERS’ EQUITY</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11"/>
          </w:tcPr>
          <w:p>
            <w:pPr>
              <w:ind w:left="400"/>
              <w:spacing w:after="0" w:line="194" w:lineRule="exact"/>
              <w:rPr>
                <w:sz w:val="20"/>
                <w:szCs w:val="20"/>
                <w:color w:val="auto"/>
              </w:rPr>
            </w:pPr>
            <w:r>
              <w:rPr>
                <w:rFonts w:ascii="Times New Roman" w:cs="Times New Roman" w:eastAsia="Times New Roman" w:hAnsi="Times New Roman"/>
                <w:sz w:val="18"/>
                <w:szCs w:val="18"/>
                <w:b w:val="1"/>
                <w:bCs w:val="1"/>
                <w:color w:val="auto"/>
              </w:rPr>
              <w:t>Noncontrolling</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Redeemable Preferred</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top w:val="single" w:sz="8" w:color="auto"/>
            </w:tcBorders>
            <w:gridSpan w:val="5"/>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5"/>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6"/>
                <w:szCs w:val="16"/>
                <w:color w:val="auto"/>
              </w:rPr>
            </w:pPr>
          </w:p>
        </w:tc>
        <w:tc>
          <w:tcPr>
            <w:tcW w:w="118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1"/>
                <w:szCs w:val="21"/>
                <w:color w:val="auto"/>
              </w:rPr>
            </w:pPr>
          </w:p>
        </w:tc>
        <w:tc>
          <w:tcPr>
            <w:tcW w:w="12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$ 37,670,161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2,001,607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(338,709,688)</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$ 241,874,549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(59,164,778)</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Net loss attributable to Stronghold Digital</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Mining, Inc.</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(89,261,230)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(89,261,230)</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(4,140,324)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(101,770,413)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(105,910,737)</w:t>
            </w:r>
          </w:p>
        </w:tc>
        <w:tc>
          <w:tcPr>
            <w:tcW w:w="0" w:type="dxa"/>
            <w:vAlign w:val="bottom"/>
          </w:tcPr>
          <w:p>
            <w:pPr>
              <w:spacing w:after="0"/>
              <w:rPr>
                <w:sz w:val="1"/>
                <w:szCs w:val="1"/>
                <w:color w:val="auto"/>
              </w:rPr>
            </w:pPr>
          </w:p>
        </w:tc>
      </w:tr>
      <w:tr>
        <w:trPr>
          <w:trHeight w:val="198"/>
        </w:trPr>
        <w:tc>
          <w:tcPr>
            <w:tcW w:w="3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Maximum redemption right valuation</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V Units]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289,298,029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289,298,029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13,890,350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13,890,350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September</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2022 Private Placement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287,676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2,241,280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2,241,310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96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McClymonds arbitration award – paid by Q</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Power</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5,038,122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5,038,122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issued and outstanding</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26,894,078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26,894,078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 warrants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642,433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Redemption of Series A convertible</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units</w:t>
            </w:r>
          </w:p>
        </w:tc>
        <w:tc>
          <w:tcPr>
            <w:tcW w:w="120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(115,200)</w:t>
            </w:r>
          </w:p>
        </w:tc>
        <w:tc>
          <w:tcPr>
            <w:tcW w:w="11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(33,529,837)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115,200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33,529,826</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Redemption of Class V shares</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32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(10</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3,171,022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(240,443,302</w:t>
            </w:r>
          </w:p>
        </w:tc>
        <w:tc>
          <w:tcPr>
            <w:tcW w:w="200" w:type="dxa"/>
            <w:vAlign w:val="bottom"/>
            <w:tcBorders>
              <w:top w:val="single" w:sz="8" w:color="CCEEFF"/>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323,468,129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83,025,144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5"/>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8"/>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8"/>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Common A</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76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Series C</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Series D</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9"/>
                <w:szCs w:val="19"/>
                <w:color w:val="auto"/>
              </w:rPr>
            </w:pPr>
          </w:p>
        </w:tc>
        <w:tc>
          <w:tcPr>
            <w:tcW w:w="82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9"/>
                <w:szCs w:val="19"/>
                <w:color w:val="auto"/>
              </w:rPr>
            </w:pP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January 1, 2023</w:t>
            </w: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3,171,022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$(240,443,302)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$323,468,129</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83,025,144</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attributable to Stronghold Digital</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Mining, Inc.</w:t>
            </w: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(71,396,744)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(71,396,744)</w:t>
            </w: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(30,428,749)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(30,428,749)</w:t>
            </w: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Maximum redemption right valuation</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V Units]</w:t>
            </w: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(9,871,528)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(9,871,528)</w:t>
            </w: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9,238,801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9,238,826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2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442,690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Exercised warrants</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1,710,486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 issued and outstanding</w:t>
            </w:r>
          </w:p>
        </w:tc>
        <w:tc>
          <w:tcPr>
            <w:tcW w:w="2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1,739,882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1,739,882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 of Class V shares</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1,209,980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to settle payables</w:t>
            </w:r>
          </w:p>
        </w:tc>
        <w:tc>
          <w:tcPr>
            <w:tcW w:w="2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116,206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1,063,177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1,063,189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 April 2023</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Private Placement</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941,595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941,652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 ATM</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Agreement</w:t>
            </w: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1,794,587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10,803,720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10,803,900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Series C convertible preferred</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23,102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45,386,944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45,386,946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Series C preferred stock</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382,500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Exchange of Series C convertible preferred</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 for Series D convertible preferred</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20,492,568</w:t>
            </w:r>
          </w:p>
        </w:tc>
        <w:tc>
          <w:tcPr>
            <w:tcW w:w="8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(20,641,472)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(148,904)</w:t>
            </w: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Series D preferred stock</w:t>
            </w:r>
          </w:p>
        </w:tc>
        <w:tc>
          <w:tcPr>
            <w:tcW w:w="2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(7,972)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1,481,409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 December 2023</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Private Placement</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1,833,474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1,833,574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2023</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11,115,561</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(331,647,755</w:t>
            </w: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375,044,145</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43,397,504</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868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(101,825,493)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(195,171,967)</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35,415,286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47,235,344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52,204</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49,576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(841,670)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3,818,307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2,511,262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(gain) loss on sale of miner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8,012,248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value of accounts receivable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1,867,506</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212,566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2,935,795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9,238,826</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13,890,350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28,960,947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40,517,707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5,422,338</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17,348,742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Impairments on miner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40,683,112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646,722</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(4,226,171)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fair value of forward sale derivative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(3,435,639)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Realized gain on sale of derivative contract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(90,953)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 sale contract prepayment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fair value of convertible note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2,167,500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470,905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2,217,458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digital currencies: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Mining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(62,236,771)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(58,763,565)</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proceeds from sales of digital currencies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58,260,974</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56,172,048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910,029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8,339,660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8,108,710</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(8,725,271)</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6,728,976</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6,908,215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(91,617)</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(5,671)</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274,845</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(1,099,402)</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(234,858)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(603,963)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(4,250,888)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(3,093,265)</w:t>
            </w: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28,241</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(55,611)</w:t>
            </w: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1,704,321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(180,943)</w:t>
            </w:r>
          </w:p>
        </w:tc>
      </w:tr>
      <w:tr>
        <w:trPr>
          <w:trHeight w:val="237"/>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liabilities, including contract liabilities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(577,189)</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(819,461)</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(7,147,113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(27,154,535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(15,915,398)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(70,935,935)</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equipment deposits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13,013,974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purchase deposits – net of future commitments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(8,000,643)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(13,656,428)</w:t>
            </w:r>
          </w:p>
        </w:tc>
      </w:tr>
      <w:tr>
        <w:trPr>
          <w:trHeight w:val="237"/>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reclamation bond</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(87,780)</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(24,003,821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(71,578,389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(7,147,771)</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(76,119,454)</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financed insurance premiums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(7,047,122)</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(4,598,592)</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debt, net of issuance costs paid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(170,135)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152,358,118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private placements, net of issuance costs paid in cash</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25,257,567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8,599,440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ATM, net of issuance costs paid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11,175,989</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22,068,844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80,239,512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(9,082,090)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(18,493,412)</w:t>
            </w:r>
          </w:p>
        </w:tc>
        <w:tc>
          <w:tcPr>
            <w:tcW w:w="100" w:type="dxa"/>
            <w:vAlign w:val="bottom"/>
            <w:gridSpan w:val="2"/>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13,296,703</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31,790,115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4,214,613</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13,296,703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6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Stronghold Digital Mining, Inc. (“Stronghold Inc.” or the “Company”) was incorporated as a Delaware corporation on March 19, 2021. The Company is a low-cost, environmentally beneficial, vertically integrated crypto asset mining company focused on mining Bitcoin and environmental remediation and reclamation services. The Company wholly owns and operates two coal refuse power generation facilities that it has upgraded: (i) the Company’s first reclamation facility located on a 650-acre site in Scrubgrass Township, Venango County, Pennsylvania, which the Company acquired the remaining interest of in April 2021, and has the capacity to generate approximately 83.5 megawatts (“MW”) of electricity (the “Scrubgrass Plant”); and (ii) a facility located near Nesquehoning, Pennsylvania, which the Company acquired in November 2021, and has the capacity to generate approximately 80 MW of electricity (the “Panther Creek Plant,” and collectively with the Scrubgrass Plant, the “Plants”). Both facilities qualify as an Alternative Energy System because coal refuse is classified under Pennsylvania law as a Tier II Alternative Energy Source (large-scale hydropower is also classified in this tier). The Company is committed to generating energy and managing its assets sustainably, and the Company believes that it is one of the first vertically integrated crypto asset mining companies with a focus on environmentally beneficial operations.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Stronghold Inc. operates in two business segments – the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segment and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 Operating segments are defined as components of an enterprise for which separate financial information is evaluated regularly by the chief operating decision maker (“CODM”). This segment presentation is consistent with how the Company’s CODM, its chief executive officer, evaluates financial performance and makes resource allocation and strategic decisions about the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as a qualifying cogeneration facility (“Facility”) under the provisions of the Public Utilities Regulatory Policies Act of 1978 and sells its electricity into the PJM Interconnection Merchant Market (“PJM”) under a Professional Services Agreement (“PSA”) with Customized Energy Solutions (“CES”), effective July 27, 2022. Under the PSA, CES agreed to act as the exclusive provider of services for the benefit of the Company related to interfacing with PJM, including handling daily marketing, energy scheduling, telemetry, capacity management, reporting, and other related services for the Plants. The initial term of the agreement is two years, and then will extend automatically on an annual basis unless terminated by either party with 60 days written (or electronic) notice prior to the current term end. The Company’s primary fuel source is waste coal which is provided by various third parties. Waste coal tax credits are earned by the Company by generating electricity utilizing coal refuse. In addition to the Company earning Tier II Renewable Energy Credits (“RECs”) for its use of coal refuse as its primary fuel source, the Company also earns waste coal tax credits for generating electricity utilizing coal refuse.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also a vertically-integrated digital currency mining business. The Company buys and maintains a fleet of Bitcoin miners, as well as the required infrastructure, and provides power to third-party digital currency miners under hosting agreements. The digital currency mining operations are in their early stages, and digital currencies and energy pricing mining economics are volatile and subject to uncertainty. The Company’s current strategy will continue to expose it to the numerous risks and volatility associated with the digital mining and power generation sectors, including fluctuating Bitcoin-to-U.S.-Dollar prices, the costs and availability of miners, the number of market participants mining Bitcoin, the availability of other power generation facilities to expand operations, and regulatory changes.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 and the rules and regulations of the U.S. Securities and Exchange Commission (the “SEC”). The financial information included herein reflects the consolidated financial position of the Company as of December 31, 2023, and 2022, and its consolidated results of operations and cash flows for the years then ended. Certain reclassifications of amounts previously reported have been made to the accompanying consolidated financial statements in order to conform to current presentation. Additionally, since there are no differences between net income (loss) and comprehensive income (loss), all references to comprehensive income (loss) have been excluded from the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2023, following approval by the Board of Directors (the “Board”) and stockholders of the Company, the Company effected a 1-for-10 reverse stock split (“Reverse Stock Split”) of its Class A common stock, par value $0.0001 per share, and Class V common stock, par value $0.0001 per share. The par values of the Company’s Class A and Class V common stock were not adjusted as a result of the Reverse Stock Split. All share and per share amounts and related stockholders’ equity balances presented herein have been retroactively adjusted to reflect the Reverse Stock Split.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liabilities as of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significant accounting policies followed by the Company is presented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the Company revised its accounting policy to reclassify the presentation of imported power charges. Imported power charges are now recorded within fuel expenses, whereas they were previously netted against energy revenue. The prior period has been reclassified to conform to the current period presentation. The reclassification had no impact on net operating income (loss), earnings per share or equity. The reclassification increased energy revenues and fuel expenses for the year ended December 31, 2022, as shown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revenues – previously disclosed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41,194,237</w:t>
            </w: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imported power charges</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4,190,716</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revenues – reclassified</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45,384,953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expenses – previously disclosed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28,780,110</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imported power charges</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4,190,716</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expenses – reclassified</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32,970,826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consists of short-term, highly-liquid investments with original maturities of three months or less. As of December 31, 2023, the Company’s cash and cash equivalents balance does not include any restricted cash. The Company maintains its cash in non-interest bearing accounts that are insured by the Federal Deposit Insurance Corporation up to $250,000. The Company’s deposits may, from time to time, exceed the $250,000 limit; however, management believes that there is no unusual risk present, as the Company places its cash with, what management considers to be, high-quality financial institutions.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Digital Currencies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Digital currencies are classified in the consolidated balance sheet as current assets and are considered an intangible asset with an indefinite useful life. Although indefinite-lived intangible assets are generally considered noncurrent assets, the Company classifies its digital currencies as current assets because the Company expects to realize the cash flows associated with such assets within a year. The cryptocurrency awards it earns are regularly converted into U.S. dollars, without limitations or restrictions, to support the Company’s ongoing operations in the normal course of business. Digital currencies are recorded at cost less any impairments. Bitcoin is the only cryptocurrency the Company mines or holds. Bitcoin is highly liquid, fungible and readily converted into U.S. dollars similar to the Company’s cash and cash equivalents.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intangible asset with an indefinite useful life is not amortized but assessed for impairment annually, or more frequently, when events or changes in circumstances indicate that it is more likely than not that the indefinite-lived asset is impaired. Impairment exists when the carrying amount exceeds its fair value, which is measured using the lowest quoted price of the cryptocurrency at the time its fair value is being measured (i.e., daily). In testing for impairment, the Company has the option to first perform a qualitative assessment to determine whether it is more likely than not (that is, a likelihood of more than 50 percent) that an impairment exists. If it is determined that it is not more likely than not that an impairment exists, a quantitative impairment test is not necessary. However, given the existence of a quoted price for Bitcoin on active markets, the Company exercises its unconditional option to bypass the qualitative assessment for any indefinite-lived intangible asset in any period when the market price is below the carrying value and proceed directly to performing the quantitative impairment test. To the extent an impairment loss is recognized, the loss establishes the new cost basis of the asset. Subsequent reversal of impairment losses is not permitted.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is stated at the amount management expects to collect from trade receivable or other balances outstanding at period end. An allowance for doubtful accounts is provided when necessary and is based on management’s evaluation of outstanding accounts receivable at period end. The potential risk of collectability is limited to the amount recorded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Waste coal, fuel oil and limestone are valued at the lower of average cost or net realizable value and include all related transportation and handling costs. The Company performs periodic assessments to determine the existence of obsolete, slow-moving and unusable inventory and records provisions to reduce such inventories to net realizable value as necessary.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 and Equipment</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Property, plant and equipment are recorded at cost, including those assets associated with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 such as cryptocurrency miners, storage trailers and related electrical components. Expenditures for major additions and improvements are capitalized, and minor replacements, maintenance and repairs are charged to expenses as incurred. When property, plant and equipment are retired or otherwise disposed of, the cost and accumulated depreciation are removed from the accounts, and any resulting gain or loss is recognized in the consolidated statements of operations. Depreciation is recognized over the remaining estimated useful lives (“EUL”) of the related assets using the straight-line method.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depreciation is based on its Facility being considered a single property unit. Certain components of the Facility may require a replacement or overhaul several times over its EUL. Costs associated with overhauls are generally recorded as expenses in the period incurred. However, in instances where a replacement of a Facility component is significant and the Company can reasonably estimate the original cost of the component being replaced, the Company will write-off the replaced component and capitalize the cost of the replacement. The component will be depreciated over the lesser of the EUL of the component or the remaining EUL of the Facility.</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conjunction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 reviews long-lived assets for impairment whenever events or changes in circumstances indicate that the carrying amount of an asset may not be recoverable. Recoverability of a long-lived asset or asset group to be held and used is measured by a comparison of the carrying amount of the long-lived asset or asset group to undiscounted future cash flows expected to be generated by the long-lived asset or asset group. The factors considered by management in performing this assessment include current operating results, trends and prospects, the manner in which the asset is used, and the effects of obsolescence, demand, competition, and other economic factors. If such a long-lived asset or asset group is considered to be impaired, the impairment to be recognized is measured by the amount by which the carrying amount of the long-lived asset or asset group exceeds its fair value. Based on the Company’s analysis, the Company’s long-lived assets were recoverable as of December 31, 2023; however, impairment indicators existed throughout 2022, and as of December 31, 2022, that resulted in impairments on miner assets of $40,683,112 for the year then ended.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assessed the basis of depreciation of the Company’s Bitcoin miners used to verify digital currency transactions and generate digital currencies and believes they should be depreciated over a three-year period. The rate at which the Company generates digital assets, and therefore, consumes the economic benefits of its transaction verification servers, is influenced by a number of factors including the following:</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the transaction verification process which is driven by the algorithms contained within the Bitcoin open source software;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availability of appropriate computer processing capacity on a global basis (commonly referred to as hash rate capacity);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obsolescence reflecting rapid development in the transaction verification server industry such that more recently developed hardware is more economically efficient to run in terms of digital assets generated as a function of operating costs, primarily power costs (i.e., the speed of hardware evolution in the industry is such that later hardware models generally have faster processing capacity combined with lower operating costs and a lower cost of purchase).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an emerging industry for which limited data is available to make estimates of the useful economic lives of specialized equipment. Management has determined that three years best reflects the current expected useful life of its Bitcoin miners. This assessment takes into consideration the availability of historical data and management’s expectations regarding the direction of the industry including potential changes in technology. Management reviews this estimate annually and will revise this estimate, as necessary, if and when the available supporting data changes.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any of the assumptions underlying management’s estimate of useful life for its transaction verification servers are subject to revision in a future reporting period, either as a result of changes in circumstances or through the availability of greater quantities of data, the estimated useful life could change and have a prospective impact on depreciation expense and the carrying amounts of these Bitcoin miner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Right-of-Use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right-of-use (“ROU”) asset represents the right to use an underlying asset for the term of the lease, and the corresponding liability represents an obligation to make periodic payments arising from the lease. A determination of whether an arrangement includes a lease is made at the inception of the arrangement. ROU assets and liabilities are recognized on the consolidated balance sheet, at the commencement date of the lease, in an amount equal to the present value of the lease payments over the term of the lease, calculated using the interest rate implicit in the lease arrangement or, if not known, the Company’s incremental borrowing rate. The present value of a ROU asset also includes any lease payments made prior to commencement of the lease and excludes any lease incentives received or to be received under the arrangement. The lease term includes options to extend or terminate the lease when it is reasonably certain that such options will be exercised. Operating leases that have original terms of less than 12 months, inclusive of options to extend that are reasonably certain to be exercised, are classified as short-term leases and are not recognized on the consolidated balance sheet.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ROU assets are recorded as noncurrent assets on the consolidated balance sheet. The corresponding liabilities are recorded as operating lease liabilities, either current or noncurrent, as applicable, on the consolidated balance sheet. Operating lease costs are recognized on a straight-line basis over the lease term within operations and maintenance or general and administrative expenses based on the use of the related ROU asset.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its debt balances net of any discounts or premiums and issuance fees. Discounts and premiums are amortized as interest expense or income over the life of the debt in such a way as to result in a constant rate of interest when applied to the amount outstanding at the beginning of any given period. Debt issuance costs are amortized as interest expense over the scheduled maturity of the debt. Unamortized debt issuance costs are recognized as direct deduction from the carrying of the related debt in the consolidated balance sheet.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t>Asset Retirement Obligations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retirement obligations, including those conditioned on future events, are recorded at fair value in the period in which they are incurred, if a reasonable estimate of fair value can be made. The associated asset retirement costs are capitalized as part of the carrying amount of the related long-lived asset in the same period. In each subsequent period, the liability is accreted to its present value, and the capitalized cost is depreciated over the EUL of the long-lived asset. If the asset retirement obligation is settled for an amount other than the carrying amount of the liability, the Company recognizes a gain or loss on settlement. The Company’s asset retirement obligation represents the cost the Company would incur to perform environmental clean-up or dismantle certain portions of the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for warrants includes an initial assessment of whether the warrants qualify as debt or equity. For warrants that meet the definition of debt instruments, the Company records the warrant liabilities at fair value as of the issuance date and recognizes changes in the fair value of the warrants each reporting period within other income (expense). For warrants that meet the definition of equity instruments, the Company records the warrants at fair value as of the issuance date within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Contracts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guidance on accounting for derivative instruments and hedging activities, all derivatives should be recognized at fair value. Derivatives, or any portion thereof, that are not designated as, and effective as, hedges must be adjusted to fair value through earnings. Derivative contracts are classified as either assets or liabilities on the consolidated balance sheets. Certain contracts that require physical delivery may qualify or be designated as normal purchases and normal sales. Such contracts are accounted for on an accrual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use derivative instruments to mitigate its exposure to various energy commodity market risks. The Company does not enter into any derivative contracts or similar arrangements for speculative or trading purposes. The Company will, at times, sell its forward unhedged electricity capacity to stabilize its future operating margins. As of December 31, 2023, and 2022, there were no open energy commodity derivatives outstanding.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also use derivative instruments to mitigate the risks of Bitcoin market pricing volatility. The Company entered into a variable prepaid forward sale contract that mitigated Bitcoin market pricing volatility risks between a low and high collar of Bitcoin market prices during the contract term, which settled in September 2022. The contract met the definition of a derivative transaction pursuant to guidance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the contract was considered a compound derivative instrument that required fair value presentation subject to remeasurement each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changes in fair value of the forward sale derivative were recorded in the consolidated statement of operations for the year ended December 31, 2022. As of December 31, 2023, and 2022, there were no open Bitcoin derivatives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at fair value certain of its financial and non-financial assets and liabilities by using a fair value hierarchy that prioritizes the inputs to valuation techniques used to measure fair value. Fair value is the price that would be received to sell an asset or paid to transfer a liability in an orderly transaction between market participants at the measurement date, essentially an exit price, based on the highest and best use of the asset or liability. The levels of the fair value hierarchy 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use of the reporting entity’s own assumptions.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core principle of this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Recognize revenue when the company satisfies the performance obligations.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Per ASC 606, a performance obligation meets the definition of a “distinct” good or service (or bundle of goods or services) if both of the following criteria are met: (i) the customer can benefit from the good or service either on its own or together with other resources that are readily available to the customer (i.e., the good or service is capable of being distinct); and (ii) the entity’s promise to transfer the good or service to the customer is separately identifiable from other promises in the contract (i.e., the promise to transfer the good or service is distinct within the context of the contract).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determining the transaction price, an entity must consider the effects of all of the following:</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consideration;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Company’s policies with respect to its revenue streams are detailed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Mining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digital asset mining pools by executing contracts, as amended from time to time, with mining pool operators to provide computing power and perform hash computations for the mining pool operators. The contracts are terminable at any time by either party without penalty, and therefore, the duration of the contracts does not extend beyond the services already transferred. The Company’s enforceable right to compensation begins when, and lasts as long as, the Company performs hash computations for the mining pool operator. Given the cancellation terms of the contracts with mining pool operators, and our customary business practice, such contracts effectively provide the option to renew for successive contract terms continuously throughout each day. The customer’s renewal option does not represent a material right because the terms are offered at the standalone selling price of computing power. The terms of the agreement provide that neither party can dispute settlement terms after thirty-five days following settlement. In exchange for performing hash computations for the mining pool operator, the Company is entitled to either:</w:t>
      </w:r>
    </w:p>
    <w:p>
      <w:pPr>
        <w:spacing w:after="0" w:line="192" w:lineRule="exact"/>
        <w:rPr>
          <w:sz w:val="20"/>
          <w:szCs w:val="20"/>
          <w:color w:val="auto"/>
        </w:rPr>
      </w:pPr>
    </w:p>
    <w:p>
      <w:pPr>
        <w:jc w:val="both"/>
        <w:ind w:left="660" w:hanging="328"/>
        <w:spacing w:after="0" w:line="25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Full-Pay-Per-Share (“FPPS”) payout of Bitcoin based on a contractual formula (less mining pool operator fees which are immaterial and are recorded as a reduction to cryptocurrency mining revenues), which primarily calculates the hash rate provided by the Company to the mining pool as a percentage of total network hash rate, multiplied by the daily network block subsidies awarded globally and the normalized network transaction fee for the day. The normalized network transaction fee is calculated as the total network transaction fees divided by the total network block subsidies, excluding the blocks that represent the three highest and three lowest transaction fees for the day. The Company is entitled to consideration even if a block is not successfully placed by the mining pool operator. The contract is in effect until terminated by either party.</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is all variable. Because it is probable that a significant reversal of cumulative revenue will not occur and the Company is able to calculate the payout based on the contractual formula, revenue is recognized, and noncash consideration is measured at fair value at contract inception. Fair value of the cryptocurrency asset consideration is determined using the quoted spot price of Bitcoin on the Company’s primary trading platform for Bitcoin at the end of the day of contract inception (i.e., 4:00pm EST each day) at the single Bitcoin level. This amount is recognized in revenue on the same day that control of the contracted service transfers to the mining pool, which is the same day as contract inception and when hash rate is provided.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jc w:val="both"/>
        <w:ind w:left="6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Pay-Per-Share (“PPS”) payout of a fractional share of the fixed Bitcoin award the mining pool operator receives (less mining pool operator fees which are immaterial and are recorded as a reduction to cryptocurrency mining revenues) for successfully adding a block to the blockchain. The Company’s fractional share of the Bitcoin award is based on the proportion of computing power the Company contributed to the mining pool operator to the total computing power contributed by all mining pool participants in solving the current algorithm.</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consideration to which the Company expects to be entitled for providing computing power is entirely variable, as well as being noncash consideration, the Company assesses the estimated amount of the variable noncash consideration to which it expects to be entitled for providing computing power at contract inception. Subsequently, the Company also determines when and to what extent it is probable that a significant reversal in the amount of cumulative revenue recognized will not occur once the uncertainty or “constraint” associated with the variable consideration is subsequently resolved. Only when a significant revenue reversal is probable of not occurring can estimated variable consideration be included in revenue. Based on the Company’s evaluation of likelihood and magnitude of a revenue reversal, the estimated variable noncash consideration is constrained from inclusion in revenue until the end of the contract term, when the underlying uncertainties have been resolved and the number of Bitcoin to which the Company is entitled becomes known (i.e., the mining pool operator successfully places a block by being the first to solve an algorithm and the Company receives confirmation of the consideration it will receive). Revenue is recognized on the same day that control of the contracted service transfers to the mining pool, which is the same day as contract inception.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and for the year ended December 31, 2023, the Company participated in one mining pool, which utilized the FPPS payout methodology. As of and for the year ended December 31, 2022, the Company participated in three mining pools, which also utilized the FPPS payout methodology.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Performing hash computations for the mining pool operator is an output of the Company’s ordinary activities. The provision of providing such computing power to perform hash computations is the only performance obligation in the Company’s contracts with mining pool operators. There is no significant financing component in these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Cryptocurrency Hosting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customer hosting contracts whereby the Company provides electrical power to cryptocurrency mining customers, and the customers pay a stated amount per MWh (“Contract Capacity”). This amount is paid monthly in advance. Amounts used in excess of the Contract Capacity are billed monthly based on calculated formulas as contained in the contracts. If any shortfalls occur due to outages, make-whole payment provisions contained in the contracts are used to offset the billings to the customer which prevented them from cryptocurrency mining. Advanced payments and customer deposits are recorded as contract liabilities in the consolidated balance sheet.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over time throughout the terms of the underlying hosting agreements. The consideration is variable. Cryptocurrency hosting revenues are comprised of the following two components: (i) the variable cost-of-power fee that is earned each month consistent with the performance of the hosting services (i.e., supplying electrical power and Internet access to the Bitcoin miners provided by customers); and (ii) the Company’s portion of the Bitcoin mined.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only performance obligation is to supply electrical power and Internet access (i.e., hosting services) to the Bitcoin miners provided by its cryptocurrency mining customers in accordance with the terms of the hosting agreements. Beyond power supply and Internet access, these hosting services also include racking infrastructure, general maintenance and operations as instructed in writing by the customer, ambient cooling, and miner reboots; however, none of these ancillary hosting services are significant or capable of being distinct per ASC 606-10-25-19(a), and therefore, only one performance obligation exists under the hosting agreements.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shares in the Bitcoin mined from the miners provided by its hosting customers. This separate transaction price is denominated in Bitcoin and recognized in revenue in accordance with our accounting policy described above regarding cryptocurrency mining revenues because the Company considers the mining portion of its cryptocurrency hosting revenues a separate contract between the Company and its mining pool operators. Because it is probable that a significant reversal of cumulative revenue will not occur and the Company is able to calculate the FPPS payout based on the contractual formula, revenue is recognized, and noncash consideration is measured at fair value at contract inception. Fair value of the cryptocurrency asset consideration is determined using the quoted spot price of Bitcoin on the Company’s primary trading platform for Bitcoin at the end of the day of contract inception (i.e., 4:00pm EST each day) at the single Bitcoin level. This amount is recognized in revenue on the same day that control of the contracted service transfers to the mining pool, which is the same day as contract inception and when hash rate is provided.</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Neither the Company nor the customer can cancel or terminate the hosting agreements without penalty before the initial terms elapse. In such a period-to-period contract, the contract term does not extend beyond the period that can be cancelled without penalty. Furthermore, the options to renew for additional one-year periods are not material rights because they are offered at the standalone selling price of electrical power.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recognized $294,789 and $0 of revenues, respectively, that were included in contract liabilities at the beginning of each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Revenue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a market participant through PJM Interconnection, a Regional Transmission Organization (“RTO”) that coordinates the movement of wholesale electricity. The Company sells energy in the wholesale generation market in the PJM RTO. Energy revenues are delivered as a series of distinct units that are substantially the same and have the same pattern of transfer to the customer over time and are, therefore, accounted for as a distinct performance obligation. Energy revenue is recognized over time as energy volumes are generated and delivered to the RTO (which is contemporaneous with generation), using the output method for measuring progress. The Company applies the invoice practical expedient in recognizing energy revenue. Under the invoice practical expedient, energy revenue is recognized based on the invoiced amount which is considered equal to the value provided to the customer for the Company’s performance obligation completed to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2022, the Plants were committed as “capacity resources” through the annual Base Residual Auction process. In this process, a generator agrees to support the PJM capacity market and, if called upon, is required to deliver its power to the market and receive a capped selling price based on pricing published in the day ahead market. In return for this committed capacity that is deliverable on demand to support the reliability of the PJM grid, generators receive additional capacity revenue on a monthly basis. As the Bitcoin mining opportunity grew for Stronghold Inc., being a capacity resource increasingly prevented the Company from being able to consistently power its mining operation when PJM called for the capacity. Beginning in June 2022, the Company withdrew from its capacity commitment and the Plants became “energy resources” able to sell power to the grid in the real-time, location marginal pricing market or use that power for its data centers.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Reactive energy power is provided to maintain a continuous voltage level. Revenue from reactive power is recognized ratably over time as the Company stands ready to provide it if called upon by the PJM RTO.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Capacity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June 2022, the Company provided capacity to a customer through participation in capacity auctions held by the PJM RTO. Capacity revenues are a series of distinct performance obligations that are substantially the same and have the same pattern of transfer to the customer over time and are, therefore, accounted for as a distinct performance obligation. The transaction price for capacity is market-based and constitutes the standalone selling price. As capacity represents the Company’s stand-ready obligation, capacity revenue is recognized as the performance obligation is satisfied ratably over time, on a monthly basis, since the Company stands ready equally throughout the period to deliver power to the PJM RTO if called upon. The Company applies the invoice practical expedient in recognizing capacity revenue. Under the invoice practical expedient, capacity revenue is recognized based on the invoiced amount which is considered equal to the value provided to the customer for the Company’s performance obligation completed to date. Penalties may be assessed by the PJM RTO against generation facilities if the facility is not available during the capacity period. The penalties assessed by the PJM RTO, if any, are recorded as a reduction to capacity revenue when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Waste Coal Tax Credits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Waste coal tax credits are issued by the Commonwealth of Pennsylvania. Facilities that generate electricity by using coal refuse for power generation, control acid gases for emission control, and use the ash produced to reclaim mining-affected sites are eligible for such credits. Proceeds related to these credits are recorded upon cash receipt and accounted for as a reduction to fuel costs within operating expenses. For the years ended December 31, 2023, and 2022, waste coal tax credits reduced fuel expenses in the consolidated statements of operations by $2,861,829 and $1,836,823,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Renewable Energy Credits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coal refuse, which is classified as a Tier II Alternative Energy Source under Pennsylvania law, to produce energy to sell to the open market (i.e., “the grid”). A third party acts as the benefactor, on behalf of the Company, in the open market and is invoiced as renewable energy credits (“RECs”) are realized. These credits are recognized as a contra-expense within operating expenses to offset the fuel costs incurred to produce this refuse. For the years ended December 31, 2023, and 2022, RECs reduced fuel expenses in the consolidated statements of operations by $19,212,021 and $9,960,655,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Ash Sales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sells fly ash and scrubber material collected, which are by-products from its coal refuse reclamation used as fuel. The Company realized waste ash sales of $123,178 and $51,453 for the years ended December 31, 2023, and 2022, respectively, which has been recorded as other operating revenues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costs expected to be incurred in connection with loss contingencies are accrued when such costs are probable and estimable.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equity-classified awards, compensation expense is recognized over the requisite service period based on the computed fair value on the grant date of the award. Equity-classified awards include the issuance of stock options, restricted stock units (“RSUs”) and performance share units (“PSUs”). For stock options, the fair value is determined by the Black-Scholes option pricing model and is expensed over the service or vesting period. For RSUs, the fair value is equal to the closing price of the Company’s Class A common stock on Nasdaq on the date of grant and is expensed over the service or vesting period. For PSUs, the fair value is determined based on the underlying market or performance conditions and expensed over the performance period when it is probable that the conditions will be achieved.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Common Share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(loss) per share of common stock (“EPS”) is computed by dividing net income (loss) by the weighted average number of Class A shares of common stock outstanding or shares subject to exercise for a nominal value during the period. Diluted EPS reflects the potential dilution that could occur if securities, or other contracts to issue common stock, were exercised or converted into common stock or resulted in the issuance of common stock that then shared in the earnings of the entity, calculated using the treasury stock method. The computation of diluted EPS would not assume the exercise of an outstanding stock award or warrant if the effect on the EPS would be antidilutive. Similarly, the computation of diluted EPS would not assume the exercise of outstanding stock awards and warrants if the Company incurred a net loss since the effect on EPS would be antidilutive. Since the Company incurred a net loss for the years ended December 31, 2023, and 2022, basic and diluted net loss per share are the same for each of the years then ended.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is organized as an “Up-C” structure in which substantially all of the assets and business of the consolidated entity are held by the Company through its subsidiaries, and the Company’s sole material asset consists of its equity interest in Stronghold LLC. For U.S. federal and applicable state income tax purposes, the portion of the Stronghold LLC’s net income or loss allocable to the Company is subject to corporate income taxation at the U.S. federal and applicable state rates.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in which deferred income tax assets and liabilities are recognized for the future tax consequences attributable to differences between the financial statement carrying amounts of existing assets and liabilities and their respective tax bases and for operating loss and tax credit carry forwards. Deferred income tax assets and liabilities are measured using enacted tax rates expected to apply to taxable income in the years in which those temporary differences are expected to be recovered or settled. The effect of a change in tax rates on deferred income tax assets and liabilities is recognized in operations in the period that includes the enactment date. A valuation allowance is required when it is “more likely than not” that deferred income tax assets will not be realized after considering all positive and negative evidence available. Factors contributing to this assessment included the Company’s cumulative and current losses, as well as the evaluation of other sources of income as outlined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and potential limitations imposed by Section 382 of the Internal Revenue Code of 1986 (as amended, the “Code”) on the utilization of tax losses.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for deferred income tax assets and liabilities is often based on assumptions that are subject to significant judgment by management. These assumptions are reviewed and adjusted as facts and circumstances change. Material changes to the Company’s income tax accruals may occur in the future based on the potential for income tax audits, changes in legislation or resolution of pending matters.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 likely than not” to be sustained upon examination by taxing authorities. The Company acknowledges the respective taxing authorities may take contrary positions based on their interpretation of the law. A tax position successfully challenged by a taxing authority could result in an adjustment to the Company’s provision or benefit for income taxes in the period in which a final determination is made.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Stronghold LLC and certain of its subsidiaries are structured as flow-through entities that are not generally subject to income taxation at the entity level, but instead, the taxable income or loss of such subsidiaries is allocated to and included in the income tax returns of their direct or indirect owners, including the Company. Application of ASC 740 to these entities results in no recognition of U.S. federal or state income taxes at the entity level. The portion of such subsidiaries’ taxable income or loss that is allocable to the Company will increase the Company’s taxable income or loss and be accounted for under ASC 740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Implemented Accounting Pronouncements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2016, the Financial Accounting Standards Board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adds a new impairment model, known as the current expected credit loss (“CECL”) model, that is based on expected losses rather than incurred losses. Under the new guidance, an entity recognizes an allowance for its estimate of expected credit losses at the initial recognition of an in-scope financial instrument and applies it to most debt instruments, trade receivables, lease receivables, financial guarantee contracts, and other loan commitments. The CECL model does not have a minimum threshold for recognition of impairment losses and entities will need to measure expected credit losses on assets that have a low risk of loss. Since the Company is a smaller reporting company, as defined by the U.S. Securities and Exchange Commission (the “SEC”), the new guidance became effective on January 1, 2023. The Company adopted ASU 2016-13 effective January 1, 2023, but the adoption of ASU 2016-13 did not have an impact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requires public entities to disclose significant segment expenses and other segment items on an annual and interim basis and to provide in interim periods all disclosures about a reportable segment’s profit or loss and assets that are currently required annually. Additionally, public entities with a single reportable segment will be required to provide the new disclosures and all the disclosures required under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Although early adoption is permitted, this new guidance becomes effective for fiscal years beginning after December 15, 2023, and interim periods within fiscal years beginning after December 15, 2024, on a retrospective basis. The Company is currently evaluating the impact of adopting this new guidance on its interim and annual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 – Goodwill and Other - Crypto Assets (Subtopic 350-60)</w:t>
      </w:r>
      <w:r>
        <w:rPr>
          <w:rFonts w:ascii="Times New Roman" w:cs="Times New Roman" w:eastAsia="Times New Roman" w:hAnsi="Times New Roman"/>
          <w:sz w:val="18"/>
          <w:szCs w:val="18"/>
          <w:color w:val="auto"/>
        </w:rPr>
        <w:t>, which requires all entities holding crypto assets that meet certain requirements to subsequently measure those in-scope crypto assets at fair value, with the remeasurement recorded in net income. Among other things, the new guidance also requires separate presentation of (i) the gain or loss associated with remeasurement of crypto assets on the income statement and (ii) crypto assets from other intangible assets on the balance sheet. Before this new guidance, crypto assets were generally accounted for as indefinite-lived intangible assets, which follow a cost-less-impairment accounting model that only reflects decreases, but not increases, in the fair value of crypto assets holdings until sold. Although early adoption is permitted, the new guidance becomes effective on January 1, 2025, and should be applied using a modified retrospective transition method with a cumulative-effect adjustment recorded to the opening balance of retained earnings as of the beginning of the year of adoption. The Company expects the cumulative adjustment to increase retained earnings as of January 1, 2024, by approximately $0.1 million, as a result of adopting this guidance in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enhance the transparency and decision-usefulness of income tax disclosures, particularly in the rate reconciliation table and disclosures about income taxes paid. Although early adoption is permitted, this new guidance becomes effective for annual periods beginning after December 15, 2024, on a prospective basis. The Company is currently evaluating the impact of adopting this new guidance on its consolidated financial statements and related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DIGITAL CURRENCIES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held an aggregate amount of $3,175,595 in digital currencies comprised of unrestricted Bitcoin. Changes in digital currencies consisted of the following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currencies at beginning of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10,417,865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of digital currencies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62,236,771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58,763,565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967,995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1,102,220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(910,029)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(8,339,660)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currencies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(59,228,969)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(57,274,268)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sold to close derivative</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(4,559,895)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currencies at end of period</w:t>
            </w: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3,175,595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existence of a quoted price for Bitcoin on active markets, the Company exercises its unconditional option to bypass the qualitative assessment for its indefinite-lived digital currency assets and proceed directly to performing a quantitative impairment test. Using the lowest quoted prices for Bitcoin each day during the periods presented in the table above, the Company performed quantitative impairment tests on its digital currencies and recognized impairment losses of $910,029 and $8,339,660 for the years ended December 31, 2023, and 2022,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2021, the Company entered into a forward sale with NYDIG Derivatives Trading LLC (“NYDIG Trading”) providing for the sale of 250 Bitcoin at a floor price of $28,000 per Bitcoin (such sale, the “Forward Sale”). Pursuant to the Forward Sale, NYDIG Trading paid the Company $7.0 million, an amount equal to the floor price per Bitcoin on December 16, 2021, multiplied by the 250 Bitcoin provided for sale.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2022, the Company executed additional option transactions. The net effect of those transactions was to adjust the capped final sale price to $50,000 from $85,500 per Bitcoin, resulting in $970,000 of proceeds to the Company. On July 27, 2022, the Company exited the variable prepaid forward sale contract derivative with NYDIG Trading. As a result, the Company delivered the restricted digital assets previously pledged as collateral to NYDIG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components as of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120" w:type="dxa"/>
            <w:vAlign w:val="bottom"/>
            <w:tcBorders>
              <w:bottom w:val="single" w:sz="8" w:color="CCEEFF"/>
            </w:tcBorders>
          </w:tcPr>
          <w:p>
            <w:pPr>
              <w:spacing w:after="0"/>
              <w:rPr>
                <w:sz w:val="21"/>
                <w:szCs w:val="21"/>
                <w:color w:val="auto"/>
              </w:rPr>
            </w:pPr>
          </w:p>
        </w:tc>
        <w:tc>
          <w:tcPr>
            <w:tcW w:w="55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coal</w:t>
            </w:r>
          </w:p>
        </w:tc>
        <w:tc>
          <w:tcPr>
            <w:tcW w:w="5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4,066,201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4,147,369</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Limestone</w:t>
            </w: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180,696</w:t>
            </w: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oil</w:t>
            </w:r>
          </w:p>
        </w:tc>
        <w:tc>
          <w:tcPr>
            <w:tcW w:w="5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57,642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143,592</w:t>
            </w:r>
          </w:p>
        </w:tc>
      </w:tr>
      <w:tr>
        <w:trPr>
          <w:trHeight w:val="210"/>
        </w:trPr>
        <w:tc>
          <w:tcPr>
            <w:tcW w:w="31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w:t>
            </w:r>
          </w:p>
        </w:tc>
        <w:tc>
          <w:tcPr>
            <w:tcW w:w="55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4,196,812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4,471,657</w:t>
            </w:r>
          </w:p>
        </w:tc>
        <w:tc>
          <w:tcPr>
            <w:tcW w:w="100" w:type="dxa"/>
            <w:vAlign w:val="bottom"/>
            <w:tcBorders>
              <w:top w:val="single" w:sz="8" w:color="CCEEFF"/>
            </w:tcBorders>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1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2"/>
          </w:tcPr>
          <w:p>
            <w:pPr>
              <w:ind w:left="2240"/>
              <w:spacing w:after="0"/>
              <w:rPr>
                <w:sz w:val="20"/>
                <w:szCs w:val="20"/>
                <w:color w:val="auto"/>
              </w:rPr>
            </w:pPr>
            <w:r>
              <w:rPr>
                <w:rFonts w:ascii="Times New Roman" w:cs="Times New Roman" w:eastAsia="Times New Roman" w:hAnsi="Times New Roman"/>
                <w:sz w:val="18"/>
                <w:szCs w:val="18"/>
                <w:color w:val="auto"/>
              </w:rPr>
              <w:t>A-2-17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NOTE 4 – EQUIPMENT DEPOSITS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deposits represent contractual agreements with vendors to deliver and install miners at future dates. The following details the vendor, miner model, miner count, and expected delivery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equipment deposits of $8,000,643 as of December 31, 2023, represents cash paid for the following 5,000 miner assets that have been delivered to the Company during the first quarter of 2024: (i) 1,100 MicroBT Whatsminer M50 miners; (ii) 2,800 Bitmain Antminer S19k Pro miners; and (iii) 1,100 Canaan Avalon A1346 miners.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2023, the Company evaluated the MinerVa Semiconductor Corp (“MinerVa”) equipment deposits for impairment under the provisions of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 is pursuing legal action through the dispute resolution process, which represents an indicator for impairment per ASC 360-10-35-21, as the Company no longer expects equipment deliveries. As a result, the Company impaired the remaining MinerVa equipment deposits balance of $5,422,338 in the third quarter of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2022, due to continual delays in the anticipated delivery date of the remaining MinerVa miners, which ultimately resulted in the Company’s declaration of an impasse and adherence to the dispute resolution provision of the MinerVa purchase agreement, the Company undertook a test for recoverability under ASC 360-10-35-29 and a further discounted fair value analysis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difference between the discounted fair value of the MinerVa equipment deposits and the carrying value resulted in the Company recording an impairment charge of $12,228,742 in the first quarter of 2022 and an additional $5,120,000 in the fourth quarter of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components as of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Pr>
          <w:p>
            <w:pPr>
              <w:spacing w:after="0"/>
              <w:rPr>
                <w:sz w:val="21"/>
                <w:szCs w:val="21"/>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plant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67,063,626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66,295,809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Strongboxes and power transformers</w:t>
            </w: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8 – 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54,588,284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52,318,704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5 – 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16,222,214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18,131,977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Rolling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machines and powering supplies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88,445,931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81,945,396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100,536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trailers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659,133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2,992,845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Not Depreciable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11,562,170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19,553,826</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580,452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580,452</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242,475,558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239,763,493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(97,832,787)</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(72,558,812)</w:t>
            </w:r>
          </w:p>
        </w:tc>
      </w:tr>
      <w:tr>
        <w:trPr>
          <w:trHeight w:val="223"/>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144,642,771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167,204,681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Construction in progress consists of various projects to build out the cryptocurrency machine power infrastructure and is not depreciable until the asset is considered in service and successfully powers and runs the attached cryptocurrency machines. Completion of these projects will have various rollouts of energized, transformed containers and are designed to calibrate power from the plant to the container that houses multiple cryptocurrency machines. Currently, the balance of $11,562,170 as of December 31, 2023, represents open contracts for future projects.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charged to operations was $35,415,286 and $47,235,344 for the years ended December 31, 2023, and 2022, respectively, including depreciation of assets under finance leases of $484,704 and $406,411 for the respective years then ended. The gross value of assets under finance leases and the related accumulated amortization approximated $2,797,265 and $1,420,736 as of December 31, 2023, respectively, and $2,890,665 and $1,074,091 as of December 31, 2022, respectively.</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Based on the Company’s analysis of impairment triggering events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Company’s property, plant and equipment assets were recoverable as of December 31, 2023; however, impairment indicators existed throughout 2022, and as of December 31, 2022, that resulted in impairments on miner assets of $40,683,112 for the year then ended December 31, 2022.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as of December 31, 2023, and 2022: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1,343,085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5,660,028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5,150,659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plant utilities and fuel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3,505,203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285,300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867,448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674,660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10,787,895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debt consisted of the following as of December 31, 2023, and 2022: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$499,520 finance lease loan, with interest at 2.74%, due February 2024.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$499,895 finance lease loan, with interest at 3.20%, due November 2023.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$517,465 finance lease loan, with interest at 4.79%, due November 2024.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339,428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$119,000 finance lease loan, with interest at 7.40%, due December 2026.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$585,476 finance lease loan, with interest at 4.99%, due November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345,665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513,334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$431,825 finance lease loan, with interest at 7.60%, due April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31,525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$58,149,411 Credit Agreement, with interest at 10.00% plus SOFR, due October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51,060,896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56,114,249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$33,750,000 Convertible Note, with interest at 10.00%, due May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16,812,500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$92,381 finance lease loan, with interest at 1.49%, due April 2026.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$64,136 finance lease loan, with interest at 11.85%, due May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13,795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$196,909 finance lease loan, with interest at 6.49%, due October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$60,679 finance lease loan, with interest at 7.60%, due March 2025.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$3,500,000 Promissory Note, with interest at 7.50% due October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$1,184,935 Promissory Note, due June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592,468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$552,024 Promissory Note, due July 2024.</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552,024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outstanding borrowings</w:t>
            </w: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56,139,909</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74,449,664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net of discounts and issuance fees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7,936,147</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17,422,546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discounts and issuance fees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48,203,762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57,027,118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WhiteHawk Refinancing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the Company entered into a secured credit agreement (the “Credit Agreement”) with WhiteHawk Finance LLC (“WhiteHawk”) to refinance an existing equipment financing agreement, dated June 30, 2021, by and between Stronghold Digital Mining Equipment, LLC and WhiteHawk (the “WhiteHawk Financing Agreement”). Upon closing, the Credit Agreement consisted of approximately $35.1 million in term loans and approximately $23.0 million in additional commitments.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financing pursuant to the Credit Agreement (such financing, the “WhiteHawk Refinancing Agreement”) was entered into by Stronghold Digital Mining Holdings, LLC (“Stronghold LLC”), as Borrower (in such capacity, the “Borrower”), and is secured by substantially all of the assets of the Company and its subsidiaries and is guaranteed by the Company and each of its material subsidiaries. The WhiteHawk Refinancing Agreement requires equal monthly amortization payments resulting in full amortization at maturity. The WhiteHawk Refinancing Agreement has customary representations, warranties and covenants including restrictions on indebtedness, liens, restricted payments and dividends, investments, asset sales and similar covenants and contains customary events of default.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6, 2023, the Company, Stronghold LLC, as borrower, their subsidiaries and WhiteHawk Capital Partners LP (“WhiteHawk Capital”), as collateral agent and administrative agent, and the other lenders thereto, entered into an amendment to the Credit Agreement (the “First Amendment”) in order to modify certain covenants and remove certain prepayment requirements contained therein. As a result of the First Amendment, amortization payments for the period from February 2023 through July 2024 are not required, with monthly amortization resuming July 31, 2024. Beginning June 30, 2023, following a five-month holiday, Stronghold LLC will make monthly prepayments of the loan in an amount equal to 50% of its average daily cash balance (including cryptocurrencies) in excess of $7,500,000 for such month. Consistent with the First Amendment, the Company made a loan prepayment of $250,000 during the year ended December 31, 2023, in addition to two amortization payments totaling $3,230,523 during December 2023 that were not due until the third quarter of 2024. Refer to </w:t>
      </w:r>
      <w:r>
        <w:rPr>
          <w:rFonts w:ascii="Times New Roman" w:cs="Times New Roman" w:eastAsia="Times New Roman" w:hAnsi="Times New Roman"/>
          <w:sz w:val="18"/>
          <w:szCs w:val="18"/>
          <w:i w:val="1"/>
          <w:iCs w:val="1"/>
          <w:color w:val="auto"/>
        </w:rPr>
        <w:t>Note 22 – Subsequent Events</w:t>
      </w:r>
      <w:r>
        <w:rPr>
          <w:rFonts w:ascii="Times New Roman" w:cs="Times New Roman" w:eastAsia="Times New Roman" w:hAnsi="Times New Roman"/>
          <w:sz w:val="18"/>
          <w:szCs w:val="18"/>
          <w:color w:val="auto"/>
        </w:rPr>
        <w:t xml:space="preserve"> for additional details. The First Amendment also modified the financial covenants to (i) in the case of the requirement of the Company to maintain a leverage ratio no greater than 4.0:1.00, such covenant will not be tested until the fiscal quarter ending September 30, 2024, and (ii) in the case of the minimum liquidity covenant, modified to require minimum liquidity at any time to be not less than: (A) until March 31, 2024, $2,500,000; (B) during the period beginning April 1, 2024, through and including December 31, 2024, $5,000,000; and (C) from and after January 1, 2025, $7,500,000. The Company was in compliance with all applicable covenants under the WhiteHawk Refinancing Agreement as of and for the year ended December 31,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borrowings under the WhiteHawk Refinancing Agreement mature on October 26, 2025, and bear interest at a rate of either (i) the Secured Overnight Financing Rate (“SOFR”) plus 10% or (ii) a reference rate equal to the greater of (x) 3%, (y) the federal funds rate plus 0.5%, and (z) the term SOFR rate plus 1%, plus 9%. Borrowings under the WhiteHawk Refinancing Agreement may also be accelerated in certain circumstances. The average interest rate for borrowings under the WhiteHawk Refinancing Agreement approximated 15.25%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 Exchange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30, 2022, the Company entered into an exchange agreement with the holders (the “Purchasers”) of the Company’s Amended and Restated 10% Notes (the “Amended May 2022 Notes”), providing for the exchange of the Amended May 2022 Notes (the “Exchange Agreement”) for shares of the Company’s newly-created Series C Convertible Preferred Stock, par value $0.0001 per share (the “Series C Preferred Stock”). On February 20, 2023, the transactions contemplated under the Exchange Agreement were consummated, and the Amended May 2022 Notes were deemed paid in full. Approximately $16.9 million of principal amount of debt was extinguished in exchange for the issuance of the shares of Series C Preferred Stock. As a result of this transaction, the Company incurred a loss on debt extinguishment of $28,960,947 during the first quarter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Bruce &amp; Merrilees Promissory Note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28, 2023, the Company and Stronghold LLC entered into a settlement agreement (the “B&amp;M Settlement”) with its electrical contractor, Bruce &amp; Merrilees Electric Co. (“B&amp;M”). Pursuant to the B&amp;M Settlement, B&amp;M agreed to eliminate an approximately $11.4 million outstanding payable in exchange for a promissory note in the amount of $3,500,000 (the “B&amp;M Note”) and a stock purchase warrant for the right to purchase from the Company 300,000 shares of Class A common stock (the “B&amp;M Warrant”). The B&amp;M Note has no definitive payment schedule or term. Pursuant to the B&amp;M Settlement, B&amp;M released ten (10) 3000kva transformers to the Company and fully cancelled ninety (90) transformers remaining under a pre-existing order with a third-party supplier. The terms of the B&amp;M Settlement included a mutual release of all claims. Simultaneous with the B&amp;M Settlement, the Company and each of its subsidiaries entered into a subordination agreement with B&amp;M and WhiteHawk Capital pursuant to which all obligations, liabilities and indebtedness of every nature of the Company and each of its subsidiaries owed to B&amp;M shall be subordinate and subject in right and time of payment, to the prior payment of full of the Company’s obligation to WhiteHawk Capital pursuant to the Credit Agreement. This subordination agreement became effective on March 28, 2023, with the Second Amendment to the Credit Agreement.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B&amp;M Note, the first $500,000 of the principal amount of the loan was payable in four equal monthly installments of $125,000 beginning on April 30, 2023, so long as (i) no default or event of default had occurred or is occurring under the WhiteHawk Credit Agreement and (ii) no PIK Option (as such term is defined in the WhiteHawk Refinancing Agreement) had been elected by the Company. The principal amount under the B&amp;M Note bears interest at seven and one-half percent (7.5%). As of December 31, 2023, the Company paid $500,000 of principal pursuant to the B&amp;M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Canaan Promissory Notes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19, 2023, the Company entered into a Sales and Purchase Contract with Canaan Inc. (“Canaan”) whereby the Company purchased 2,000 A1346 Bitcoin miners for a total purchase price of $2,962,337. The purchase price was payable to Canaan via an upfront payment of $1,777,402 on or before August 1, 2023, which the Company paid on July 25, 2023, and a promissory note of $1,184,935 due to Canaan in ten (10) equal, interest-free installments on the first day of each consecutive month thereafter until the remaining promissory note balance is fully repaid. The miners were delivered and installed during the third quarter of 2023 at the Company’s Panther Creek Plant. As of December 31, 2023, the Company paid $592,467 of the promissory note due to Canaan.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26, 2023, the Company entered into a second Sales and Purchase Contract with Canaan whereby the Company purchased 1,100 A1346 Bitcoin miners for a total purchase price of $1,380,060. The purchase price was payable to Canaan via an upfront payment of $828,036 on or before December 26, 2023, which the Company paid on December 26, 2023, and a promissory note of $552,024 due to Canaan in six (6) equal, interest-free installments on the first day of each consecutive month thereafter, beginning in 2024, until the remaining promissory note balance is fully repaid. The miners were delivered and installed during the first quarter of 2024 at the Company’s Scrubgrass Plant.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scheduled maturities on the outstanding borrowings for each of the next five years as of December 31, 2023, are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7,936,147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48,151,254</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52,508</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outstanding borrowings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56,139,909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OPERATING LEASE ROU ASSETS AND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storage and office space, information technology equipment, and certain machinery and equipment used in the operation of the Company’s coal refuse power generation facilities.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gross value of operating lease ROU assets and the related accumulated amortization totaled $3,003,705 and $1,530,958, respectively, in the consolidated balance sheet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current and noncurrent portions of the Company’s operating lease liabilities as of December 31, 2023,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776,079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Future operating lease payments for each of the next five years as of December 31, 2023, are as follows: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917,971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lease payments (undiscounted)</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1,757,554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(192,769)</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lease payments (discounted)</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1,564,785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total operating lease costs amounted to $628,885 and $731,924, respectively. At December 31, 2023, the weighted-average remaining lease term approximated 1.95 years, and the weighted-average discount rate approximated 7.75%. Cash paid for amounts included in the measurement of operating lease liabilities totaled $496,998 for the year ended December 31, 2023, and was classified as operating cash flows in the consolidated statement of cash flows for the year then ended.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9 – RELATED-PARTY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Waste Coal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obligated under a Waste Coal Agreement (the “WCA”) to take minimum annual delivery of 200,000 tons of waste coal as long as there is a sufficient quantity of waste coal that meets the Average Quality Characteristics (as defined in the WCA). Under the terms of the WCA, the Company is not charged for the waste coal itself but is charged a $6.07 per ton base handling fee as it is obligated to mine, process, load, and otherwise handle the waste coal for itself and also for other customers of Coal Valley Sales, LLC (“CVS”) from the Russellton site specifically. The Company is also obligated to unload and properly dispose of ash at the Russellton site. The Company is charged a reduced handling fee of $1.00 per ton for any tons in excess of the minimum take of 200,000 tons. The Company is the designated operator at the Russellton site and, therefore, is responsible for complying with all state and federal requirements and regulations.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purchases coal from Coal Valley Properties, LLC, a single-member limited liability company which is entirely owned by one individual who has ownership in Q Power, and from CVS. CVS is a single-member limited liability company which is owned by a coal reclamation partnership of which an owner of Q Power has a direct and an indirect interest in the partnership of 16.26%.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expensed $855,605 and $733,458 for the years ended December 31, 2023 and 2022 respectively, associated with coal purchases from CVS, which is included in fuel expense in the consolidated statements of operations. See the composition of the due to related parties balance as of December 31, 2023, and 2022,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Fuel Service and Beneficial Use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Fuel Service and Beneficial Use Agreement (“FBUA”) with Northampton Fuel Supply Company, Inc. (“NFS”), a wholly-owned subsidiary of Olympus Power. The Company buys fuel from and sends ash to NFS, for the mutual benefit of both facilities, under the terms and rates established in the FBUA. The FBUA expires December 31, 2023. The Company expensed $3,139,414 and $3,121,423 for the years ended December 31, 2023, and 2022, respectively, which is included in fuel expense in the consolidated statements of operations. See the composition of the due to related parties balance as of December 31, 2023, and 2022,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purchases under these agreements for the years ended December 31, 2023, and 2022,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Coal Purchases:</w:t>
            </w:r>
          </w:p>
        </w:tc>
        <w:tc>
          <w:tcPr>
            <w:tcW w:w="240" w:type="dxa"/>
            <w:vAlign w:val="bottom"/>
          </w:tcPr>
          <w:p>
            <w:pPr>
              <w:spacing w:after="0"/>
              <w:rPr>
                <w:sz w:val="22"/>
                <w:szCs w:val="22"/>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Northampton Fuel Supply Company, Inc.</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3,121,423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Coal Valley Sales, LLC</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855,605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733,458</w:t>
            </w:r>
          </w:p>
        </w:tc>
      </w:tr>
      <w:tr>
        <w:trPr>
          <w:trHeight w:val="223"/>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Fuel Management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Panther Creek Fuel Services LLC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August 1, 2021, the Company entered into the Fuel Management Agreement (the “Fuel Agreement”) with Panther Creek Fuel Services LLC, a wholly-owned subsidiary of Olympus Services LLC which, in turn, is a wholly-owned subsidiary of Olympus Power LLC. Under the Fuel Agreement, Panther Creek Fuel Services LLC provides the Company with operations and maintenance services with respect to the Facility. The Company reimburses Panther Creek Energy Services LLC for actual wages and salaries. The Company expensed $929,942 and $1,697,850 for the years ended December 31, 2023, and 2022, respectively, which is included in operations and maintenance expense in the consolidated statements of operations. See the composition of the due to related parties balance as of December 31, 2023, and 2022,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Scrubgrass Fuel Services LLC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February 1, 2022, the Company entered into the Fuel Management Agreement (the “Scrubgrass Fuel Agreement”) with Scrubgrass Fuel Services LLC, a wholly-owned subsidiary of Olympus Services LLC, which, in turn, is a wholly owned subsidiary of Olympus Power LLC. Under the Scrubgrass Fuel Agreement, Scrubgrass Fuel Services LLC provides the Company with operations and maintenance services with respect to the Facility. The Company reimburses Scrubgrass Energy Services LLC for actual wages and salaries. The Company expensed $374,944 and $780,410 for the years ended December 31, 2023 and 2022, respectively, which is included in operations and maintenance expense in the consolidated statements of operations. See the composition of the due to related parties balance as of December 31, 2023, and 2022,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auto"/>
        </w:rPr>
        <w:t>O&amp;M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Olympus Power LLC</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 2021, Stronghold LLC entered into an Operations, Maintenance and Ancillary Services Agreement (the “Omnibus Services Agreement”) with Olympus Stronghold Services, LLC (“Olympus Stronghold Services”), whereby Olympus Stronghold Services currently provides certain operations and maintenance services to Stronghold LLC and currently employs certain personnel to operate the Panther Creek Plant and the Scrubgrass Plant. Stronghold LLC reimburses Olympus Stronghold Services for those costs incurred by Olympus Stronghold Services and approved by Stronghold LLC in the course of providing services under the Omnibus Services Agreement, including payroll and benefits costs and insurance costs. The material costs incurred by Olympus Stronghold Services shall be approved by Stronghold LLC. From November 2, 2021, until October 1, 2023, Stronghold LLC also agreed to pay Olympus Stronghold Services a management fee at the rate of $1,000,000 per year, payable monthly for services provided at each of the Panther Creek Plant and Scrubgrass Plant, and an additional one-time mobilization fee of $150,000 upon the effective date of the Omnibus Services Agreement, which was deferred until 2023. Effective October 1, 2022, Stronghold LLC began paying Olympus Stronghold Services a management fee for the Panther Creek Plant in the amount of $500,000 per year, payable monthly for services provided at the Panther Creek Plant. This is a reduction of $500,000 from the $1,000,000 per year management fee that the Company was previously scheduled to pay Olympus Stronghold Services. The Company expensed $669,095 and $1,086,649 for the years ended December 31, 2023, and 2022, respectively, which includes the monthly management fees plus reimbursable costs incurred by Olympus Stronghold Services for payroll, benefits and insurance. On February 13, 2024, Stronghold LLC and Olympus Services entered into a Termination and Release Agreement (the “Termination and Release”) whereby the Omnibus Services Agreement was terminated. The Termination and Release contained a mutual customary release. The Company expects to continue to pay Olympus Power LLC $10,000 per month for ongoing assistance at each of the Scrubgrass Plant and Panther Creek Plant.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Panther Creek Energy Services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August 2, 2021, the Company entered into the Operations and Maintenance Agreement (the “O&amp;M Agreement”) with Panther Creek Energy Services LLC, a wholly-owned subsidiary of Olympus Services LLC which, in turn, is a wholly-owned subsidiary of Olympus Power LLC. Under the O&amp;M Agreement, Panther Creek Energy Services LLC provides the Company with operations and maintenance services with respect to the Facility. The Company reimburses Panther Creek Energy Services LLC for actual wages and salaries. The Company also agreed to pay a management fee of $175,000 per operating year, which is payable monthly, and is adjusted by the consumer price index on each anniversary of the effective date. The Company expensed $1,856,501 and $1,697,850 for the years ended December 31, 2023, and 2022, respectively, which includes the monthly management fees plus reimbursable costs incurred by Olympus Stronghold Services for payroll, benefits and insurance. See the composition of the due to related parties balance as of December 31, 2023, and 2022,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equity contribution agreement, effective July 9, 2021 (the “Equity Contribution Agreement”), the Company entered into the Amended and Restated Operations and Maintenance Agreement (the “Amended O&amp;M Agreement”) with Panther Creek Energy Services LLC. Under the Amended O&amp;M Agreement, the management fee is $250,000 for the twelve-month period following the effective date and $325,000 per year thereafter. The effective date of the Amended O&amp;M Agreement was the closing date of the Equity Contribution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Scrubgrass Energy Services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February 1, 2022, the Company entered into the Operations and Maintenance Agreement (the “Scrubgrass O&amp;M Agreement”) with Scrubgrass Energy Services LLC, a wholly-owned subsidiary of Olympus Services LLC which, in turn, is a wholly-owned subsidiary of Olympus Power LLC. Under the Scrubgrass O&amp;M Agreement, Scrubgrass Energy Services LLC provides the Company with operations and maintenance services with respect to the Facility. The Company reimburses Scrubgrass Energy Services LLC for actual wages and salaries. The Company also agreed to pay a management fee of $175,000 per operating year, which is payable monthly, and is adjusted by the consumer price index on each anniversary date of the effective date. The Company expensed $2,269,290 and $6,476,968 for the years ended December 31, 2023, and 2022, respectively, which includes the monthly management fees plus reimbursable costs incurred by Olympus Stronghold Services for payroll, benefits and insurance. See the composition of the due to related parties balance as of December 31, 2023, and 2022,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Equity Contribution Agreement effective July 9, 2021, the Company entered into the Amended and Restated Operations and Maintenance Agreement (the “Scrubgrass Amended O&amp;M Agreement”) with Scrubgrass Energy Services LLC. Under the Scrubgrass Amended O&amp;M Agreement, the management fee is $250,000 for the twelve-month period following the effective date and $325,000 per year thereafter. The effective date of the Scrubgrass Amended O&amp;M Agreement was the closing date of the Equity Contribution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October 1, 2022, Stronghold LLC no longer pays Olympus Stronghold Services a management fee for the Scrubgrass Plant.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auto"/>
        </w:rPr>
        <w:t>Management Services Agreement</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April 19, 2023, pursuant to an independent consulting agreement the Company entered into with William Spence in connection with his departure from the Board (the “Spence Consulting Agreement”), Mr. Spence’s annualized management fee of $600,000 decreased to the greater of $200,000 or 10% of any economic benefits derived from the sale of beneficial use ash, carbon sequestration efforts or alternative fuel arrangements, in each case, arranged by Mr. Spence. The previous consulting and advisory agreement with Mr. Spence was terminated in connection with entry into the Spence Consulting Agreement.</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as part of the compensation pursuant to the Spence Consulting Agreement, Mr. Spence also received a one-time grant of 250,000 fully vested shares of the Company’s Class A common stock, which has been recorded as stock-based compensation for the year ended December 31, 2023, within general and administrative expense in the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13, 2022, the Company entered into a Securities Purchase Agreement with Greg Beard, the Company’s chairman and chief executive officer, for the purchase and sale of 60,241 shares of Class A common stock and warrants to purchase 60,241 shares of Class A common stock, at an initial exercise price of $17.50 per share, subsequently amended to $10.10 per share and, in January 2024, to $7.51 per share.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Additionally, on April 20, 2023, Mr. Beard invested $1.0 million in exchange for 100,000 shares of Class A common stock and 100,000 pre-funded warrants.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as of December 31, 2023, and 2022,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Coal Valley Properties, LLC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134,452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 Power LLC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Coal Valley Sales, LLC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Panther Creek Operating LLC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Panther Creek Energy Services LLC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Panther Creek Fuel Services LLC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53,482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Northampton Generating Fuel Supply Company, Inc.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226,951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594,039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Olympus Power LLC and other subsidiaries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78,302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Scrubgrass Energy Services LLC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4,087</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Scrubgrass Fuel Services LLC</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CONCENTRATIONS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is the risk of loss the Company would incur if counterparties fail to perform their contractual obligations (including accounts receivable). The Company primarily conducts business with counterparties in the cryptocurrency mining and energy industry. This concentration of counterparties may impact the Company’s overall exposure to credit risk, either positively or negatively, in that its counterparties may be similarly affected by changes in economic, regulatory or other conditions. The Company mitigates potential credit losses by dealing, where practical, with counterparties that are rated at investment grade by a major credit agency or have a history of reliable performance within the cryptocurrency mining and energy industry.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primarily of cash and accounts receivable. Cash and cash equivalents customarily exceed federally insured limits. The Company’s significant credit risk is primarily concentrated with CES. Over the course of 2022, the Company transitioned entirely to CES from Direct Energy Business Marketing, LLC. CES accounted for approximately 97% of the Company’s energy operations segment revenues for the year ended December 31, 2023. Additionally, CES accounted for approximately 100% of the Company’s accounts receivable balance as of December 31, 2022, including approximately $5.1 million which CES received from PJM on the Company’s behalf and forwarded to the Company upon receipt during the third quarter of 2023. During 2023, the Company was notified of updated calculations from PJM and a FERC settlement with various parties that were assessed penalties for failing to deliver on capacity commitments during the performance assessment interval of December 2022. As a result, the Company recorded a decrease in the value of accounts receivable of $1,867,506 within general and administrative expense related to expected reduced bonus payments in the consolidated statement of operations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11% of the Company’s total revenue for the year ended December 31, 2023, was derived from services provided to one customer.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Approximately 17% and 17% of the Company’s fuel expenses were purchased from two related parties for the years ended December 31, 2023, and 2022, respectively. See </w:t>
      </w:r>
      <w:r>
        <w:rPr>
          <w:rFonts w:ascii="Times New Roman" w:cs="Times New Roman" w:eastAsia="Times New Roman" w:hAnsi="Times New Roman"/>
          <w:sz w:val="18"/>
          <w:szCs w:val="18"/>
          <w:i w:val="1"/>
          <w:iCs w:val="1"/>
          <w:color w:val="auto"/>
        </w:rPr>
        <w:t>Note 9 – Related-Party Transactions</w:t>
      </w:r>
      <w:r>
        <w:rPr>
          <w:rFonts w:ascii="Times New Roman" w:cs="Times New Roman" w:eastAsia="Times New Roman" w:hAnsi="Times New Roman"/>
          <w:sz w:val="18"/>
          <w:szCs w:val="18"/>
          <w:color w:val="auto"/>
        </w:rPr>
        <w:t xml:space="preserve"> for further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 Equipment Deposits</w:t>
      </w:r>
      <w:r>
        <w:rPr>
          <w:rFonts w:ascii="Times New Roman" w:cs="Times New Roman" w:eastAsia="Times New Roman" w:hAnsi="Times New Roman"/>
          <w:sz w:val="18"/>
          <w:szCs w:val="18"/>
          <w:color w:val="auto"/>
        </w:rPr>
        <w:t>, the Company has entered into various equipment contracts to purchase miners. Most of these contracts required a percentage of deposits upfront and subsequent payments to cover the contracted purchase price of the equipment. Details of the outstanding purchase agreement with MinerVa are summarized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MinerVa Semiconductor Corp</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 2021, the Company entered into a purchase agreement (the “MinerVa Purchase Agreement”) with MinerVa for the acquisition of 15,000 of their MV7 ASIC SHA256 model cryptocurrency miners with a total terahash to be delivered equal to 1.5 million terahash. The price per miner was $4,892.50 for an aggregate purchase price of $73,387,500 to be paid in installments. The first installment equal to 60% of the purchase price, or $44,032,500, was paid on April 2, 2021, and an additional payment of 20% of the purchase price, or $14,677,500, was paid on June 2, 2021. As of December 31, 2023, there were no remaining deposits owed.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extended the deadline for delivery of the MinerVa miners to April 2022. In March 2022, MinerVa was again unable to meet its delivery date and had only delivered approximately 3,200 of the 15,000 miners. As a result, an impairment totaling $12,228,742 was recorded in the first quarter of 2022. Furthermore, in the fourth quarter of 2022, the difference between the fair value of the MinerVa equipment deposits and the carrying value resulted in the Company recording an additional impairment charge of $5,120,000.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18, 2022, the Company provided written notice of dispute to MinerVa pursuant to the MinerVa Purchase Agreement. Under the MinerVa Purchase Agreement, the Company and MinerVa were required to work together in good faith towards a resolution for a period of sixty (60) days following this notice, after which, if no settlement had been reached, the Company could end discussions, declare an impasse, and adhere to the dispute resolution provisions of the MinerVa Purchase Agreement. As the 60-day period has expired, the Company is evaluating all available remedies under the MinerVa Purchase Agreement. On October 30, 2023, the Company sent MinerVa a Notice of Impasse. On October 31, 2023, the Company filed a Statement of Claim in Calgary, Alberta against MinerVa for breach of contract related to the MinerVa Purchase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2023, MinerVa had delivered, refunded cash or swapped into deliveries of industry-leading miners of equivalent value to approximately 12,700 of the 15,000 miners. The aggregate purchase price does not include shipping costs, which are the responsibility of the Company and shall be determined at which time the miners are ready for shipment. As disclosed in </w:t>
      </w:r>
      <w:r>
        <w:rPr>
          <w:rFonts w:ascii="Times New Roman" w:cs="Times New Roman" w:eastAsia="Times New Roman" w:hAnsi="Times New Roman"/>
          <w:sz w:val="18"/>
          <w:szCs w:val="18"/>
          <w:i w:val="1"/>
          <w:iCs w:val="1"/>
          <w:color w:val="auto"/>
        </w:rPr>
        <w:t>Note 4 – Equipment Deposits</w:t>
      </w:r>
      <w:r>
        <w:rPr>
          <w:rFonts w:ascii="Times New Roman" w:cs="Times New Roman" w:eastAsia="Times New Roman" w:hAnsi="Times New Roman"/>
          <w:sz w:val="18"/>
          <w:szCs w:val="18"/>
          <w:color w:val="auto"/>
        </w:rPr>
        <w:t>, the Company is pursuing legal action through the dispute resolution process, and as a result, the Company no longer expects equipment deliveries.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experiences routine litigation in the normal course of business. Management is of the opinion that none of this routine litigation will have a material adverse effect on the Company’s reported financial position or results of operations. The Company is involved in various legal proceedings as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McClymonds Supply &amp; Transit Company, Inc. and DTA, L.P. vs. Scrubgrass Generating Company, 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2020, McClymonds Supply and Transit Company, Inc. (“McClymonds”) made a Demand for Arbitration, as required by the terms of the Transportation Agreement between McClymonds and Scrubgrass Generating Company, L.P. (“Scrubgrass”) dated April 8, 2013 (the “Agreement”). In its demand, McClymonds alleged damages in the amount of $5,042,350 for failure to pay McClymonds for services. On February 18, 2020, Scrubgrass submitted its answering statement denying the claim of McClymonds in its entirety. On March 31, 2020, Scrubgrass submitted its counterclaim against McClymonds in the amount of $6,747,328 as the result of McClymonds’ failure to deliver fuel as required under the terms of the Agreement. Hearings were held from January 31, 2022, to February 3, 2022. On May 9, 2022, an award in the amount of $5.0 million plus interest of approximately $0.8 million was issued in favor of McClymonds. The two managing members of Q Power have executed a binding document to pay the full amount of the award and have begun to pay the full amount of the award, such that there will be no effect on the financial condition of the Company. McClymonds shall have no recourse to the Company with respect to the award.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Allegheny Mineral Corporation v. Scrubgrass Generating Company, L.P., Butler County Court of Common Pleas, No. AD 19-11039</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2019, Allegheny Mineral Corporation (“Allegheny Mineral”) filed suit against the Company seeking payment of approximately $1,200,000 in outstanding invoices. In response, the Company filed counterclaims against Allegheny Mineral asserting breach of contract, breach of express and implied warranties, and fraud in the amount of $1,300,000. After unsuccessful mediation in August 2020, the parties again attempted to mediate the case on October 26, 2022, which led to a mutual agreement to settlement terms of a $300,000 cash payment, and a supply agreement for limestone. Subject to completion of the settlement terms, this matter has been stayed in Butler County Court, and the outstanding litigation has been terminated.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Energy Regulatory Commission (“FERC”)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December 16, 2021, Scrubgrass responded to the notice of breach and respectfully disagreed that the ISA had been breached. On January 7, 2022, Scrubgrass participated in an information gathering meeting with representatives from PJM regarding the notice of breach and continued to work with PJM regarding the dispute, including conducting a necessary study agreement with respect to the Scrubgrass Plant. On January 20, 2022, the Company sent PJM a letter regarding the installation of a resistive computational load bank at the Panther Creek Plant. On March 1, 2022, the Company executed a necessary study agreement with respect to the Panther Creek Plant.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PJM’s investigation and discussions with the Company regarding the notice of breach at the Scrubgrass Plant and the Panther Creek Plant are ongoing, including with respect to interim procedures, until the Company receives revised Interconnect Service Agreements for the Scrubgrass Plant and the Panther Creek Plant. Stronghold does not expect to make any material payments related to any resettlements of prior billing statements. The Company continues to expect to source electricity for its computational load banks from the Scrubgrass and Panther Creek Plants; however, Stronghold expects that, until the revised Interconnect Service Agreements are finalized and potentially thereafter, the Company will pay retail rates for electricity that is imported from the grid should it be unable to fully supply power to the computational load banks.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11, 2022, the Division of Investigations of the FERC Office of Enforcement (“OE”) informed the Company that the OE was conducting a non-public preliminary investigation concerning Scrubgrass’ compliance with various aspects of the PJM tariff. The OE requested that the Company provide certain information and documents concerning Scrubgrass’ operations by June 10, 2022. On July 13, 2022, after being granted an extension to respond by the OE, the Company submitted a formal response to the OE’s request. Since the Company submitted its formal response to the OE’s request, the Company has had further discussions with the OE regarding the Company’s formal response. The OE’s investigation, and discussions between the OE and the Company, regarding potential instances of non-compliance is continuing. The Company does not believe that the PJM notice of breach, the Panther Creek necessary study agreement, discussions regarding other potential issues related to the computational load bank, or the preliminary investigation by the OE will have a material adverse effect on the Company’s reported financial position or results of operations, although the Company cannot predict with certainty the final outcome of these proceedings.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Securities and Derivative Lawsuits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2022, the Company, and certain of our current and former directors, officers and underwriters were named in a putative class action complaint filed in the United States District Court for the Southern District of New York (Winter v. Stronghold Digital Mining, Case No. 1:22-cv-3088). On August 4, 2022, co-lead plaintiffs were appointed.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 As relief, the plaintiffs are seeking, among other things, compensatory damages. The amended complaint also alleged violations of Section 12 of the Securities Act based on alleged false or misleading statements in the Company’s prospectus related to its initial public offering. On December 19, 2022, the Company filed a motion to dismiss, which the court largely denied on August 10, 2023. On September 8, 2023, the Court entered a Case Management Order, which set a number of case deadlines, including the completion of all discovery by April 21, 2025. On January 19, 2024, the Court granted the motion of one co-lead plaintiff to withdraw from the case (leaving one plaintiff remaining). Plaintiff filed a motion for class certification on February 19, 2023 and</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Defendants’ response to the motion is due on June 10, 2023. The defendants continue to believe the allegations in the complaint are without merit and intend to defend the suit vigorously.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2023, and September 15, 2023, respectively, purported shareholders of the Company filed two derivative actions in the United States District Court for the Southern District of New York (Wilson v. Beard, Case No. 1:23-cv-7840, and Navarro v. Beard, Case No. 1:23-cv-08714) against certain of our current and former directors and officers, and the Company as a nominal defendant. The shareholders generally allege that the individual defendants breached their fiduciary duties by making or failing to prevent the misrepresentations alleged in the putative Winter securities class action, and assert claims for breach of fiduciary duty, unjust enrichment, abuse of control, gross mismanagement, corporate waste, and for contribution under Section 11 of the Securities Act and Section 21D of the Securities Exchange Act of 1934. The two cases were consolidated on October 24, 2023 under the case name In Re Stronghold Digital Mining, Inc., Stockholder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Litigation (the “Consolidated Derivative Action”). On November 21, 2023 the Court entered an order staying the Consolidated Derivative Action pending a ruling on the motion for class certification in the putative Winter securities class action. The defendants believe the allegations in the Consolidated Derivative Action are without merit and intend to defend the suits vigorously.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2023, and February 4, 2024, respectfully, purported shareholders of the Company filed two additional derivative actions in the United States District Court for the Southern District of New York (Parker v. Beard, Case No. 23 Civ. 10028 and Bruno v. Beard, Case No. 24 Civ. 798) against certain of our current and former directors and officers, and the Company as a nominal defendant. These lawsuits assert substantially the same claims and allegations as the Wilson and Navarro complaints. Plaintiff in the Bruno action had previously served a books and records demand, as well as an investigation/litigation demand, on the Company making similar allegations. On February 13, 2024, Plaintiffs in the Consolidated Derivative Action contacted the Court, taking the position that the Parker and Bruno cases should be consolidated into the Consolidated Derivative Action. The result of such consolidation would be that the Parker and Bruno cases would be similarly stayed pending further proceedings in the putative Winter securities class action. The application for consolidation remains pending.</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Mark Grams v. Treis Blockchain, LLC, Chain Enterprises, LLC, Cevon Technologies, LLC, Stronghold Digital Mining, LLC, David Pence, Michael Bolick, Senter Smith, Brian Lambretti and John Chain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2023, Stronghold Digital Mining, LLC, a subsidiary of the Company (“Stronghold”), was named as one of several defendants in a complaint filed in the United States District Court for the Middle District of Alabama Eastern Division (the “Grams Complaint”). The Grams Complaint alleges that certain Bitcoin miners the Company purchased from Treis Blockchain, LLC (“Treis”) in December 2021 contained firmware that is alleged to have constituted “trade secrets” owned by Grams. Principally, the Grams Complaint included allegations of misappropriation of these alleged trade secrets.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that the allegations against it and its subsidiaries in the Grams Complaint are without merit and intends to vigorously defend the suit. To that end, the Company has entered into a joint defense agreement with Treis and the other named defendants. The Company has also entered into a tolling agreement with Treis. The Company filed a motion to dismiss the case for lack of personal jurisdiction on June 23, 2023. On October 6, 2023, Grams filed an Amended Complaint, to which the Company filed a renewed Motion to Dismiss for Lack of Personal Jurisdiction, or in the Alternative to Transfer the Case to the District of South Carolina, in addition to a renewed Motion to Dismiss several causes of action alleged in the Amended Complaint. On December 8, 2023, the Company filed its reply to Plaintiff’s response to Motion to Transfer or Alternatively to Dismiss Pursuant to Rule 12(b)(2). The Company does not believe the Grams Complaint will have a material adverse effect on the Company’s reported financial position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MinerVa Purchase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18, 2022, the Company provided written notice of dispute to MinerVa pursuant to the MinerVa Purchase Agreement. Under the MinerVa Purchase Agreement, the Company and MinerVa were required to work together in good faith towards a resolution for a period of sixty (60) days following this notice, after which, if no settlement had been reached could end discussions, declare an impasse, and adhere to the dispute resolution provisions of the MinerVa Purchase Agreement. On October 30, 2023, the Company sent MinerVa a Notice of Impasse. On October 31, 2023, the Company filed a Statement of Claim in Calgary, Alberta against MinerVa for breach of contract related to the MinerVa Purchase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 Krynock v. Panther Creek Fuel Services, LLC c/o Olympus Power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 2023, Panther Creek Fuel Services, LLC, an affiliate of the Company was named as a defendant in a Federal Black Lung Case under Title IV of the Federal Coal Mine Health and Safety Act of 1969. The Plaintiff previously settled a state law claim with a predecessor in interest of the Company. The Company denies any liability in connection with the claim and intends to defend the suit vigorously. The Company does not believe that the claim will have a material adverse effect on the Company’s reported financial position or results of operations, although the Company cannot predict with any certainty the outcome of these proceedings.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Department of Environmental Protection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9, 2023, the Company entered into a Consent Order and Agreement (“COA”) with the Commonwealth of Pennsylvania, Department of Environmental Protection (“DEP”). Pursuant to the COA, the DEP found that a July 5, 2022, inspection of the Company’s Scrubgrass Plant observed that coal ash at the Scrubgrass Plant exceeded the capacity of the permitted ash conditioning area as approved by the DEP on September 12, 2007. The COA found that the Scrubgrass Plant’s storage of excess waste coal ash violated certain provisions of the Solid Waste Management Act and Pennsylvania Code, among other items. Pursuant to the COA, Scrubgrass must pay a civil penalty in the amount of $28,800, in two equal installments within ninety (90) days of entry into the COA. The Company made the first payment to the DEP on November 10, 2023. The terms of the COA also require the Company to remove (i) a minimum of 80,000 tons of excess waste coal ash by November 9, 2024, (ii) 160,000 aggregate tons of excess waste coal ash by November 9, 2025, (iii) 220,000 aggregate tons of excess waste coal ash by November 9, 2026, and (iv) all remaining excess waste coal ash by November 9, 2027, such that the ash conditioning area is consistent with the specifications accepted by the DEP on September 7, 2007. Beginning on January 24, 2024, the Company is to provide quarterly progress reports to the DEP. In connection with the COA, the Company has had preliminary discussions with the Pennsylvania Public Utilities Commission (“PUC”) and the DEP regarding potential resettlement or forfeiture of Pennsylvania Tier II Alternative Energy Credits during any period of non-compliance, expected to be limited to July 5-22, 2022. In February of 2024, the Company retired 25,968 Alternative Energy Credits reflective of the amount of credits generated during the period of non-compliance from July 5-22, 2022. On December 15, 2023, the Scrubgrass Creek Watershed Association filed a Notice of Appeal to the Environmental Hearing Board regarding the COA (the “COA Appeal”). The Company does not believe the COA, COA Appeal or discussions with the PUC will have a material adverse effect on the Company’s reported financial position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REDEEMABLE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Class V common stock represented 17.8% and 45.1% ownership of Stronghold LLC, as of December 31, 2023, and 2022, respectively, granting the owners of Q Power economic rights and, as a holder, one vote on all matters to be voted on by our stockholders generally, and a redemption right into Class A shares. Refer to </w:t>
      </w:r>
      <w:r>
        <w:rPr>
          <w:rFonts w:ascii="Times New Roman" w:cs="Times New Roman" w:eastAsia="Times New Roman" w:hAnsi="Times New Roman"/>
          <w:sz w:val="18"/>
          <w:szCs w:val="18"/>
          <w:i w:val="1"/>
          <w:iCs w:val="1"/>
          <w:color w:val="auto"/>
        </w:rPr>
        <w:t>Note 13 – Noncontrolling Interests</w:t>
      </w:r>
      <w:r>
        <w:rPr>
          <w:rFonts w:ascii="Times New Roman" w:cs="Times New Roman" w:eastAsia="Times New Roman" w:hAnsi="Times New Roman"/>
          <w:sz w:val="18"/>
          <w:szCs w:val="18"/>
          <w:color w:val="auto"/>
        </w:rPr>
        <w:t xml:space="preserve"> for more details.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its Class V common stock as redeemable common stock in the accompanying condensed consolidated balance sheets as, pursuant to the Stronghold LLC Agreement, the redemption rights of each unit held by Q Power for either shares of Class A common stock or an equivalent amount of cash is not solely within the Company’s control. This is due to the holders of the Class V common stock collectively owning a majority of the voting stock of the Company, which allows the holders of Class V common stock to elect the members of the Board, including those directors who determine whether to make a cash payment upon a Stronghold LLC unit holder’s exercise of its redemption rights. Redeemable common stock is recorded at the greater of the book value or redemption amount from the date of the issuance, April 1, 2021, and the reporting date as of December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recorded redeemable common stock as presented in the table below.</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5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 – Class V</w:t>
            </w:r>
          </w:p>
        </w:tc>
      </w:tr>
      <w:tr>
        <w:trPr>
          <w:trHeight w:val="236"/>
        </w:trPr>
        <w:tc>
          <w:tcPr>
            <w:tcW w:w="8680" w:type="dxa"/>
            <w:vAlign w:val="bottom"/>
          </w:tcPr>
          <w:p>
            <w:pPr>
              <w:spacing w:after="0"/>
              <w:rPr>
                <w:sz w:val="20"/>
                <w:szCs w:val="20"/>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2,605,760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11,754,587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(30,428,749)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Class V shares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(1,210,000)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Maximum redemption right valuation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40,300,278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2,405,760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20,416,116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NONCONTROLLING INTERESTS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is the sole managing member of Stronghold LLC and, as a result, consolidates the financial results of Stronghold LLC and reports a noncontrolling interest representing the common units of Stronghold LLC held by Q Power. Changes in the Company’s ownership interest in Stronghold LLC, while the Company retains its controlling interest, are accounted for as redeemable common stock transactions. As such, future redemptions or direct exchanges of common units of Stronghold LLC by Q Power will result in changes to the amount recorded as noncontrolling interest. Refer to </w:t>
      </w:r>
      <w:r>
        <w:rPr>
          <w:rFonts w:ascii="Times New Roman" w:cs="Times New Roman" w:eastAsia="Times New Roman" w:hAnsi="Times New Roman"/>
          <w:sz w:val="18"/>
          <w:szCs w:val="18"/>
          <w:i w:val="1"/>
          <w:iCs w:val="1"/>
          <w:color w:val="auto"/>
        </w:rPr>
        <w:t>Note 12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Redeemable Common Stock</w:t>
      </w:r>
      <w:r>
        <w:rPr>
          <w:rFonts w:ascii="Times New Roman" w:cs="Times New Roman" w:eastAsia="Times New Roman" w:hAnsi="Times New Roman"/>
          <w:sz w:val="18"/>
          <w:szCs w:val="18"/>
          <w:color w:val="auto"/>
        </w:rPr>
        <w:t>, which describes the redemption rights of the noncontrolling interest.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noncontrolling interest representing the common units of Stronghold LLC held by Q Power represented 17.8% and 45.1% ownership of Stronghold LLC, as of December 31, 2023, and 2022, respectively, granting the owners of Q Power economic rights and, as a holder, one vote on all matters to be voted on by the Company’s stockholders generally, and a redemption right into shares of Class A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The following table summarizes the redeemable common stock adjustments pertaining to the noncontrolling interest as of and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Class V</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16"/>
        </w:trPr>
        <w:tc>
          <w:tcPr>
            <w:tcW w:w="706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45"/>
        </w:trPr>
        <w:tc>
          <w:tcPr>
            <w:tcW w:w="7060" w:type="dxa"/>
            <w:vAlign w:val="bottom"/>
          </w:tcPr>
          <w:p>
            <w:pPr>
              <w:spacing w:after="0"/>
              <w:rPr>
                <w:sz w:val="21"/>
                <w:szCs w:val="21"/>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 Price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r>
      <w:tr>
        <w:trPr>
          <w:trHeight w:val="216"/>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2,605,760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11,754,587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(30,428,749)</w:t>
            </w:r>
          </w:p>
        </w:tc>
      </w:tr>
      <w:tr>
        <w:trPr>
          <w:trHeight w:val="216"/>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Class V shares</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(1,210,000)</w:t>
            </w:r>
          </w:p>
        </w:tc>
      </w:tr>
      <w:tr>
        <w:trPr>
          <w:trHeight w:val="237"/>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of redeemable common stock to redemption amount (1)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40,300,278</w:t>
            </w:r>
          </w:p>
        </w:tc>
      </w:tr>
      <w:tr>
        <w:trPr>
          <w:trHeight w:val="223"/>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20,416,116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left="340" w:right="20" w:hanging="332"/>
        <w:spacing w:after="0" w:line="284" w:lineRule="auto"/>
        <w:tabs>
          <w:tab w:leader="none" w:pos="34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Redeemable common stock adjustment based on Class V common stock outstanding at fair value price at each quarter end, using a 10-day variable weighted average price (“VWAP”) of trading dates including the closing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19, 2021, the board of directors of the Company (the “Board”) and the stockholders of the Company approved a new long-term incentive plan the Stronghold Digital Mining, Inc. Omnibus Incentive Plan (the “New LTIP”) for employees, consultants and directors. The New LTIP provides for the grant of options (including incentive stock options and non-qualified stock options), stock appreciation rights, restricted stock units (“RSUs”), dividend equivalents, other stock-based awards, and substitute awards intended to align the interests of service providers, including our named executive officers, with those of our stockholders. Pursuant to the New LTIP, the remaining shares of Class A common stock under the prior long-term incentive plan that was effective April 28, 2021, that were reserved and available for delivery, were assumed and reserved for issuance under the New LTIP. In addition, the New LTIP raised the aggregate number of shares of common stock that may be issued or used for reference purposes or with respect to which awards may be granted under the plan to not exceed 4,752,000 shares. As of October 19, 2021, the Company now grants all equity-based awards under the New LTIP. On January 18, 2023, the stockholders of the Company approved an amendment to the New LTIP to increase the amount of shares of Class A common stock available for delivery with respect to awards by 6,000,000 shares. The numbers of shares available under the New LTIP was proportionately reduced to reflect the Reverse Stock Split.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is duly authorized to administer the New LTIP. The Company accounts for share-based payment awards exchanged for services at the estimated grant date fair value of the award.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options issued under the Company’s New LTIP are granted with an exercise price no less than the market price of the Company’s stock at the date of grant and expire up to ten years from the date of the grant. The Company accounts for share-based payment awards exchanged for services at the estimated grant date fair value of the award. Stock options issued under the LTIP were granted with an exercise price equal to the fair market value of the Company’s stock, as determined with reference to third-party valuations as of the date of option grants, and expire up to ten years from the date of grant. Options granted under the New LTIP and the LTIP vest over various terms.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RSUs are subject to restrictions on transferability, risk of forfeiture and other restrictions imposed by the Compensation Committee of the Board (the “Committee”). Settlement of vested RSUs will occur upon vesting or upon expiration of the deferral period specified for such RSUs by the Committee (or, if permitted by the Committee, as elected by the participant). RSUs may be settled in cash or a number of shares of stock (or a combination of the two), as determined by the Committee at the date of grant or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including share-based expenses associated with non-employee directors, was $9,238,826 and $13,890,350 for the years ended December 31, 2023, and 2022, respectively, and is included in general and administrative expense in the consolidated statements of operations. There is no tax benefit related to stock compensation expense due to the Company having a full valuation allowance recorded against its deferred income tax assets as of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total stock-based compensation expense for the years ended December 31, 2023, and 2022, from the following categories: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42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4240" w:type="dxa"/>
            <w:vAlign w:val="bottom"/>
            <w:tcBorders>
              <w:bottom w:val="single" w:sz="8" w:color="CCEEFF"/>
            </w:tcBorders>
          </w:tcPr>
          <w:p>
            <w:pPr>
              <w:spacing w:after="0"/>
              <w:rPr>
                <w:sz w:val="21"/>
                <w:szCs w:val="21"/>
                <w:color w:val="auto"/>
              </w:rPr>
            </w:pPr>
          </w:p>
        </w:tc>
        <w:tc>
          <w:tcPr>
            <w:tcW w:w="44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 under the Plan</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7,167,680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3,592,641</w:t>
            </w:r>
          </w:p>
        </w:tc>
        <w:tc>
          <w:tcPr>
            <w:tcW w:w="100" w:type="dxa"/>
            <w:vAlign w:val="bottom"/>
            <w:shd w:val="clear" w:color="auto" w:fill="CCEEFF"/>
          </w:tcPr>
          <w:p>
            <w:pPr>
              <w:spacing w:after="0"/>
              <w:rPr>
                <w:sz w:val="18"/>
                <w:szCs w:val="18"/>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awards under the Plan</w:t>
            </w:r>
          </w:p>
        </w:tc>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2,071,146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10,297,709</w:t>
            </w:r>
          </w:p>
        </w:tc>
      </w:tr>
      <w:tr>
        <w:trPr>
          <w:trHeight w:val="223"/>
        </w:trPr>
        <w:tc>
          <w:tcPr>
            <w:tcW w:w="4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9,238,826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13,890,350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A-2-29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2023. The following are the weighted-average assumptions used in calculating the fair value of the total stock options granted during 2022 using the Black-Scholes method.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125.85%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xml:space="preserve"> – The Company estimates its expected stock volatility based on the historical volatility of a publicly traded set of peer companies, as the Company does not currently have sufficient history for the volatility of its own stock.</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 The expected term of options represents the period that the Company’s stock-based awards are expected to be outstanding based on the simplified method, which is the half-life from vesting to the end of the contractual term.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 The Company bases the risk-free interest rate on the implied yield available on U.S. Treasury zero-coupon issues with an equivalent remaining term.</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Dividend Yield</w:t>
      </w:r>
      <w:r>
        <w:rPr>
          <w:rFonts w:ascii="Times New Roman" w:cs="Times New Roman" w:eastAsia="Times New Roman" w:hAnsi="Times New Roman"/>
          <w:sz w:val="18"/>
          <w:szCs w:val="18"/>
          <w:color w:val="auto"/>
        </w:rPr>
        <w:t xml:space="preserve"> – The Company has never declared or paid any cash dividends on its common shares and does not plan to pay cash dividends in the foreseeable future and, therefore, uses an expected dividend yield of zero in its valuation models.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to account for forfeited awards as they occur, as permitted by ASU 2016-09.</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future compensation expense related to unvested options not yet recognized in the consolidated statements of operations was approximately $787,683, and the weighted-average period over which these awards are expected to be recognized is approximately 0.52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years ended December 31,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337,908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9.61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30,906,003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106.10</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 / 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180.60</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355,005</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90.30</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9.00</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82.02</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 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(248,370)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93.96</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7.59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Shares vested and expected to vest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81,432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82.44</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7.59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7.58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RSUs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years ended December 31,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3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3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384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2022</w:t>
            </w:r>
          </w:p>
        </w:tc>
        <w:tc>
          <w:tcPr>
            <w:tcW w:w="4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6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(31,996)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53.60</w:t>
            </w: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6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37.60</w:t>
            </w:r>
          </w:p>
        </w:tc>
      </w:tr>
      <w:tr>
        <w:trPr>
          <w:trHeight w:val="237"/>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 Forfeited</w:t>
            </w:r>
          </w:p>
        </w:tc>
        <w:tc>
          <w:tcPr>
            <w:tcW w:w="6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38.80</w:t>
            </w:r>
          </w:p>
        </w:tc>
      </w:tr>
      <w:tr>
        <w:trPr>
          <w:trHeight w:val="236"/>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84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Vested</w:t>
            </w:r>
          </w:p>
        </w:tc>
        <w:tc>
          <w:tcPr>
            <w:tcW w:w="48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(82,795)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17"/>
                <w:szCs w:val="17"/>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6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547,178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r>
      <w:tr>
        <w:trPr>
          <w:trHeight w:val="23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 Forfeited</w:t>
            </w:r>
          </w:p>
        </w:tc>
        <w:tc>
          <w:tcPr>
            <w:tcW w:w="6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(53,692)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36.02</w:t>
            </w:r>
          </w:p>
        </w:tc>
      </w:tr>
      <w:tr>
        <w:trPr>
          <w:trHeight w:val="22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3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8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jc w:val="right"/>
              <w:ind w:right="4140"/>
              <w:spacing w:after="0"/>
              <w:rPr>
                <w:sz w:val="20"/>
                <w:szCs w:val="20"/>
                <w:color w:val="auto"/>
              </w:rPr>
            </w:pPr>
            <w:r>
              <w:rPr>
                <w:rFonts w:ascii="Times New Roman" w:cs="Times New Roman" w:eastAsia="Times New Roman" w:hAnsi="Times New Roman"/>
                <w:sz w:val="18"/>
                <w:szCs w:val="18"/>
                <w:color w:val="auto"/>
              </w:rPr>
              <w:t>A-2-30</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879"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RSUs are measured based on their fair value on the date of grant and amortized over their respective vesting periods. As of December 31, 2023, total future compensation expense related to unvested RSUs not yet recognized in the consolidated statements of operations was approximately $2,735,625, and the weighted-average vesting period over which these awards are expected to be recognized is approximately 1.02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WARRANTS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outstanding warrants as of December 31, 2023, and 2022, and activity for the years then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2,139,356</w:t>
            </w: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(581,625)</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as of December 31, 2022</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1,587,511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5,403,347</w:t>
            </w: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(1,712,873)</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B&amp;M Warrant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28, 2023, as part of the B&amp;M Settlement described in </w:t>
      </w:r>
      <w:r>
        <w:rPr>
          <w:rFonts w:ascii="Times New Roman" w:cs="Times New Roman" w:eastAsia="Times New Roman" w:hAnsi="Times New Roman"/>
          <w:sz w:val="18"/>
          <w:szCs w:val="18"/>
          <w:i w:val="1"/>
          <w:iCs w:val="1"/>
          <w:color w:val="auto"/>
        </w:rPr>
        <w:t>Note 7 – Debt</w:t>
      </w:r>
      <w:r>
        <w:rPr>
          <w:rFonts w:ascii="Times New Roman" w:cs="Times New Roman" w:eastAsia="Times New Roman" w:hAnsi="Times New Roman"/>
          <w:sz w:val="18"/>
          <w:szCs w:val="18"/>
          <w:color w:val="auto"/>
        </w:rPr>
        <w:t>, the Company issued a stock purchase warrant to B&amp;M providing for the right to purchase from the Company 300,000 shares of Class A common stock, par value $0.0001 per share, at an exercise price of $0.001 per warrant share. As of and during the year ended December 31, 2023, all 300,000 shares of Class A common stock available for purchase pursuant to the B&amp;M Warrant were exercised.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Private Placement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2022, the Company entered into a note and warrant purchase agreement, by and among the Company and the purchasers thereto, whereby the Company agreed to issue and sell (i) $33,750,000 aggregate principal amount of 10.00% unsecured convertible promissory notes and (ii) warrants representing the right to purchase up to 631,800 shares of Class A common stock of the Company with an exercise price per share equal to $25.00. The promissory notes and warrants were sold for aggregate consideration of approximately $27 million.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On August 16, 2022, the Company amended the note and warrant purchase agreement, such that $11.25 million of the outstanding principal was exchanged for the execution of an amended and restated warrant agreement pursuant to which the strike price of the 631,800 warrants was reduced from $25.00 to $0.10.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230,000 warrants issued in connection with the May 2022 Private Placement, or subsequent transactions associated with the unsecured convertible promissory notes, were exercised.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2022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13, 2022, the Company entered into Securities Purchase Agreements with Armistice Capital Master Fund Ltd. (“Armistice”) and Greg Beard, the Company’s chairman and chief executive officer, for the purchase and sale of 227,435 and 60,241 shares of Class A common stock, respectively, and warrants to purchase an aggregate of 560,241 shares of Class A common stock, at an initial exercise price of $17.50 per share. Refer to </w:t>
      </w:r>
      <w:r>
        <w:rPr>
          <w:rFonts w:ascii="Times New Roman" w:cs="Times New Roman" w:eastAsia="Times New Roman" w:hAnsi="Times New Roman"/>
          <w:sz w:val="18"/>
          <w:szCs w:val="18"/>
          <w:i w:val="1"/>
          <w:iCs w:val="1"/>
          <w:color w:val="auto"/>
        </w:rPr>
        <w:t>Note 16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Issuances </w:t>
      </w:r>
      <w:r>
        <w:rPr>
          <w:rFonts w:ascii="Times New Roman" w:cs="Times New Roman" w:eastAsia="Times New Roman" w:hAnsi="Times New Roman"/>
          <w:sz w:val="18"/>
          <w:szCs w:val="18"/>
          <w:color w:val="auto"/>
        </w:rPr>
        <w:t>for additional details. As part of the transaction, Armistice purchased the pre-funded warrants for 272,565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a purchase price of $16.00 per warrant. The pre-funded warrants have an exercise price of $0.001 per warrant share.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April 2023, the Company, Armistice and Mr. Beard entered into amendments to, among other things, adjust the strike price of the remaining outstanding warrants from $17.50 per share to $10.10 per share. In December 2023, the Company and Armistice entered into an amendment to, among other things, adjust the strike price of the remaining outstanding warrants from $10.10 per share to $7.00 per share and extend the expiration date through December 31, 2029. Furthermore, in January 2024, the Company and Mr. Beard entered into an amendment to, among other things, adjust the strike price of the remaining outstanding warrants from $10.10 per share to $7.51 per share.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during the year ended December 31, 2023, the pre-funded warrants for 272,565 shares of Class A common stock have been exercised.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April 2023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April 20, 2023, the Company entered into Securities Purchase Agreements with an institutional investor and the Company’s Chief Executive Officer, Greg Beard, for the purchase and sale of shares of Class A common stock, par value $0.0001 per share at a purchase price of $10.00 per share, and warrants to purchase shares of Class A common stock, at an initial exercise price of $11.00 per share (the “April 2023 Private Placement”). Pursuant to the Securities Purchase Agreements, the institutional investor invested $9.0 million in exchange for an aggregate of 900,000 shares of Class A common stock and pre-funded warrants, and Mr. Beard invested $1.0 million in exchange for an aggregate of 100,000 shares of Class A common stock, in each case at a price of $10.00 per share equivalent. Further, the institutional investor and Mr. Beard received warrants exercisable for 900,000 shares and 100,000 shares, respectively, of Class A common stock. In December 2023, the Company and the institutional investor entered into an amendment to, among other things, adjust the strike price of the remaining outstanding warrants from $10.10 per share to $7.00 per share and extend the expiration date through December 31, 2029. Refer to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xml:space="preserve">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during the year ended December 31, 2023, the pre-funded warrants for 433,340 shares of Class A common stock have been exercised.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21, 2023, the Company entered into a Securities Purchase Agreement with an institutional investor for the purchase and sale of shares of Class A common stock, par value $0.0001 per share at a purchase price of $6.71 per share, and warrants to purchase shares of Class A common stock, at an initial exercise price of $7.00 per share (the “December 2023 Private Placement”). Pursuant to the Securities Purchase Agreement, the institutional investor invested $15.4 million in exchange for an aggregate of 2,300,000 shares of Class A common stock and pre-funded warrants at a price of $6.71 per share equivalent. Further, the institutional investor received warrants exercisable for 2,300,000 shares of Class A common stock. Refer to </w:t>
      </w:r>
      <w:r>
        <w:rPr>
          <w:rFonts w:ascii="Times New Roman" w:cs="Times New Roman" w:eastAsia="Times New Roman" w:hAnsi="Times New Roman"/>
          <w:sz w:val="18"/>
          <w:szCs w:val="18"/>
          <w:i w:val="1"/>
          <w:iCs w:val="1"/>
          <w:color w:val="auto"/>
        </w:rPr>
        <w:t>Note 16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Issuances </w:t>
      </w:r>
      <w:r>
        <w:rPr>
          <w:rFonts w:ascii="Times New Roman" w:cs="Times New Roman" w:eastAsia="Times New Roman" w:hAnsi="Times New Roman"/>
          <w:sz w:val="18"/>
          <w:szCs w:val="18"/>
          <w:color w:val="auto"/>
        </w:rPr>
        <w:t>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 ISSUANCES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2022, the Company entered into a note and warrant purchase agreement (the “Purchase Agreement”), by and among the Company and the purchasers thereto (collectively, the “May Purchasers”), whereby the Company agreed to issue and sell to the May Purchasers, and the May Purchasers agreed to purchase from the Company, (i) $33,750,000 aggregate principal amount of 10.00% unsecured convertible promissory notes (the “May 2022 Notes”) and (ii) warrants (the “May 2022 Warrants”) representing the right to purchase up to 631,800 shares of Class A common stock, of the Company with an exercise price per share equal to $25.00, on the terms and subject to the conditions set forth in the Purchase Agreement (collectively, the “2022 Private Placement”). The Purchase Agreement contained representations and warranties by the Company and the May Purchasers that are customary for transactions of this type. The May 2022 Notes and the May 2022 Warrants were sold for aggregate consideration of approximately $27.0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2022 Private Placement, the Company undertook to negotiate with the May Purchasers and to file a certificate of designation with the State of Delaware, following the closing of the 2022 Private Placement, for the terms of a new series of preferred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2022 Private Placement, the May 2022 Warrants were issued pursuant to the Warrant Agreement. The May 2022 Warrants are subject to mandatory cashless exercise provisions and have certain anti-dilution provisions. The May 2022 Warrants are exercisable for a five-year period from the closing.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of the May 2022 Notes was within the scope of ASC 480-10 and, therefore, was initially measured at fair value (consistent with ASC 480-10-30-7). Additionally, under the guidance provided by ASC 815-40-15-7, the Company determined that the May 2022 Warrants were indexed to the Company’s stock. As a result, the May 2022 Warrants were initially recorded at their fair value within equity. The May 2022 Notes were valued using the gross yield method under the income approach. As of the issuance date of May 15, 2022, a calibration analysis was performed by back solving the implied yield associated with the May 2022 Notes, such that the total value of the May 2022 Notes and the May 2022 Warrants equaled the purchase amount. The calibrated yield was then rolled forward for changes to the risk-free rate and option-adjusted spreads to the August 16, 2022, valuation date to value the May 2022 Notes.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16, 2022, the Company entered into an amendment to the Purchase Agreement, by and among the Company and the May Purchasers, whereby the Company agreed to amend the Purchase Agreement, such that $11.25 million of the outstanding principal was exchanged for the May Purchaser’s execution of an amended and restated warrant agreement pursuant to which the strike price of the 631,800 May 2022 Warrants was reduced from $25.00 to $0.10. After giving effect to the principal reduction and amended and restated warrants, the Company was to continue to make subsequent monthly, payments to the May Purchasers on the fifteenth (15th) day of each of November 2022, December 2022, January 2023, and February 2023. The Company was able to elect to pay each such payment (A) in cash or (B) in shares of common stock, in each case, at a twenty percent (20%) discount to the average of the daily VWAPs for each of the twenty (20) consecutive trading days preceding the payment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color w:val="auto"/>
        </w:rPr>
        <w:t>Series C Convertible Preferred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30, 2022, the Company entered into the Exchange Agreement with the Purchasers of the Amended May 2022 Notes whereby the Amended May 2022 Notes were to be exchanged for shares of Series C Preferred Stock that, among other things, will convert into shares of Class A common stock or pre-funded warrants that may be exercised for shares of Class A common stock, at a conversion rate equal to the stated value of $1,000 per share plus cash in lieu of fractional shares, divided by a conversion price of $4.00 per share of Class A common stock. Upon the fifth anniversary of the Series C Preferred Stock, each outstanding share of Series C Preferred Stock will automatically and immediately convert into Class A common stock or pre-funded warrants. In the event of a liquidation, the Purchasers shall be entitled to receive an amount per share of Series C Preferred Stock equal to its stated value of $1,000 per share. The Exchange Agreement closed on February 20,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Exchange Agreement, the Purchasers received an aggregate 23,102 shares of the Series C Preferred Stock, in exchange for the cancellation of an aggregate $17,893,750 of principal and accrued interest, representing all of the amounts owed to the Purchasers under the May 2022 Notes. On February 20, 2023, one Purchaser converted 1,530 shares of the Series C Preferred Stock to 382,500 shares of the Company’s Class A common stock. The rights and preferences of the Series C Preferred Stock are designated in a certificate of designation, and the Company provided certain registration rights to the Purchasers. As of December 31, 2023, 5,990 shares of the Series C Preferred Stock remain outstanding following the Series D Exchange Agreement described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incurred $1,221,339 of offering costs which has been capitalized within additional paid-in capital in the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Exchange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2023, the Company consummated a transaction (the “Series D Exchange Transaction”) pursuant to an exchange agreement, dated November 13, 2023 (the “Series D Exchange Agreement”) with Adage Capital Partners, LP (the “Holder”) whereby the Company issued to the Holder an aggregate of 15,582 shares of a newly created series of preferred stock, the Series D Convertible Preferred Stock, par value $0.0001 per share (the “Series D Preferred Stock”), in exchange for 15,582 shares of Series C Preferred Stock held by the Holder, which represented all of the shares of Series C Preferred Stock held by the Holder. The Series D Preferred Stock contains substantially similar terms as the Series C Preferred Stock except with respect to a higher conversion price. The Series D Exchange Agreement contains representations, warranties, covenants, releases, and indemnities customary for transactions of this type, as well as certain trading volume restrictions. As a result of the Series D Exchange Transaction, the Company recorded a deemed contribution of $20,492,568 resulting from the extinguishment of 15,582 shares of Series C Preferred Stock associated with the Series D Exchange Transaction. The deemed contribution represents the difference between the carrying value of the existing Series C Preferred Stock and the estimated fair value of the newly-issued Series D Preferred Stock. As of December 31, 2023, 7,610 shares of the Series D Preferred Stock remain outstanding after conversions of 7,972 shares of Series D Preferred Stock for 1,481,409 shares of Class A common stock during the fourth quarter of 2023. Subsequent to December 31, 2023, the remaining 7,610 shares of Series D Convertible Preferred Stock have been converted to 1,414,117 shares of Class A common stock.</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and for the year ended December 31, 2023, the Company incurred $148,904 of offering costs which has been capitalized within additional paid-in capital in the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2022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2022, the Company entered into Securities Purchase Agreements with Armistice and Greg Beard, the Company’s chairman and chief executive officer (together with Armistice, the “September 2022 Private Placement Purchasers”), for the purchase and sale of 227,435 and 60,241 shares, respectively, of Class A common stock, par value $0.0001 per share at a purchase price of $16.00 and $16.60, respectively, and warrants to purchase an aggregate of 560,241 shares of Class A common stock, at an initial exercise price of $17.50 per share (subject to certain adjustments). Subject to certain ownership limitations, such warrants are exercisable upon issuance and will be exercisable for five and a half years commencing upon the date of issuance. Armistice also purchased the pre-funded warrants to purchase 272,565 shares of Class A common stock at a purchase price of $16.00 per pre-funded warrant. The pre-funded warrants have an exercise price of $0.001 per warrant share. The transaction closed on September 19, 2022. The gross proceeds from the sale of such securities, before deducting offering expenses, was approximately $9.0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6" w:name="page97"/>
    <w:bookmarkEnd w:id="96"/>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consolidated statements of operations. The fair value of the warrant liabilities was estimated as of December 31, 2023,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3,665,457</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December 2023 Private Placement (discussed below), the Company and Armistice entered into an amendment to, among other things, adjust the strike price of the remaining outstanding warrants from $10.10 per share to $7.00 per share and extend the expiration date through December 31, 2029. Furthermore, in January 2024, the Company and Mr. Beard entered into an amendment to, among other things, adjust the strike price of the remaining outstanding warrants from $10.10 per share to $7.51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2023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20, 2023, the Company entered into Securities Purchase Agreements with an institutional investor and the Company’s chairman and chief executive officer, Greg Beard, for the purchase and sale of shares of Class A common stock, par value $0.0001 per share at a purchase price of $10.00 per share, and warrants to purchase shares of Class A common stock, at an initial exercise price of $11.00 per share (subject to certain adjustments in accordance with the terms thereof). Pursuant to the Securities Purchase Agreements, the institutional investor invested $9.0 million in exchange for an aggregate of 900,000 shares of Class A common stock and pre-funded warrants, and Mr. Beard invested $1.0 million in exchange for an aggregate of 100,000 shares of Class A common stock, in each case at a price of $10.00 per share equivalent. Further, the institutional investor and Mr. Beard received warrants exercisable for 900,000 shares and 100,000 shares, respectively, of Class A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warrants are exercisable six months after issuance. The warrants are exercisable for five and a half years commencing upon the date of issuance, subject to certain ownership limitations. The pre-funded warrants have an exercise price of $0.001 per warrant share and are immediately exercisable, subject to certain ownership limitations. The gross proceeds from the April 2023 Private Placement, before deducting offering expenses, was approximately $10.0 million. The April 2023 Private Placement closed on April 21,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consolidated statements of operations. The fair value of the warrant liabilities was estimated as of December 31, 2023,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6,571,494</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as previously disclosed, the Company entered into Securities Purchase Agreements with the September 2022 Private Placement Purchasers for, in part, warrants to purchase an aggregate of 560,241 shares of Class A common stock, at an exercise price of $17.50 per share. On April 20, 2023, the Company and the September 2022 Private Placement Purchasers entered into amendments to, among other things, adjust the strike price of the warrants from $17.50 per share to $10.10 per share. In connection with the closing of the December 2023 Private Placement (discussed below), the Company and the institutional investor entered into an amendment to, among other things, adjust the strike price of the remaining outstanding warrants from $10.10 per share to $7.00 per share and extend the expiration date through December 31, 2029.</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and for the year ended December 31, 2023, the Company incurred $175,000 of offering costs which has been capitalized within additional paid-in capital in the consolidated balance sheet.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2023, the Company entered into a Securities Purchase Agreement with an institutional investor for the purchase and sale of shares of Class A common stock, par value $0.0001 per share at a purchase price of $6.71 per share, and warrants to purchase shares of Class A common stock, at an initial exercise price of $7.00 per share (the “December 2023 Private Placement”). Pursuant to the Securities Purchase Agreement, the institutional investor invested $15.4 million in exchange for an aggregate of 2,300,000 shares of Class A common stock and pre-funded warrants at a price of $6.71 per share equivalent. Further, the institutional investor received warrants exercisable for 2,300,000 shares of Class A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ownership limitations, the warrants are exercisable six months after issuance. The warrants are exercisable for five and a half years commencing upon the date of issuance, subject to certain ownership limitations. The pre-funded warrants have an exercise price of $0.001 per warrant share and are immediately exercisable, subject to certain ownership limitations. The gross proceeds from the December 2023 Private Placement, before deducting offering expenses, was approximately $15.4 million. The December 2023 Private Placement closed on December 21, 2023. As of and for the year ended December 31, 2023, the Company incurred $50,592 of offering costs which has been accrued and capitalized within additional paid-in capital in the consolidated balance sheet.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consolidated statements of operations. The fair value of the warrant liabilities was estimated as of December 31, 2023,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14,973,478</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the Company entered into an at-the-market offering agreement (the “ATM Agreement”) with H.C. Wainwright &amp; Co., LLC (“HCW”) to sell shares of its Class A common stock having aggregate sales proceeds of up to $15.0 million (the “ATM Shares”), from time to time, through an “at the market” equity offering program under which HCW acts as sales agent and/or principal.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ATM Agreement, the ATM Shares may be offered and sold through HCW in transactions that are deemed to be “at the market” offerings as defined in Rule 415 under the Securities Act, including sales made directly on The Nasdaq Stock Market LLC or sales made to or through a market maker other than on an exchange or in negotiated transactions. Under the ATM Agreement, HCW is entitled to compensation equal to 3.0% of the gross proceeds from the sale of the ATM Shares sold through HCW. The Company has no obligation to sell any of the ATM Shares under the ATM Agreement and may at any time suspend solicitations and offers under the ATM Agreement. The Company and HCW may each terminate the ATM Agreement at any time upon specified prior written notice.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ATM Shares have been and are being issued pursuant to the Company’s shelf registration statement on Form S-3 (File No. 333-271671), filed with the SEC on May 5, 2023, as amended by Amendment No. 1 to the registration statement filed with the SEC on May 23, 2023 (as amended, the “ATM Registration Statement”). The ATM Registration Statement was declared effective on May 25,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sold 1,794,587 ATM Shares at approximately $6.47 per share under the ATM Agreement for gross proceeds of approximately $11.6 million less sales commissions of approximately, for net proceeds of approximately $11.2 million. Subsequent to December 31, 2023, and as of February 29, 2024, no additional shares have been sold under the ATM Agreement. As of and for the year ended December 31, 2023, the Company incurred $388,106 of offering costs which has been capitalized within additional paid-in capital in the consolidated balance sheet.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financial information is available that is evaluated regularly in deciding how to allocate resources and assess performance. The Company’s CEO is the chief operating decision maker. The Company functions in two operating segments,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about which separate financial information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7,466,255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67,500,045</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59,223,437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74,966,300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110,223,818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(37,718,403)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(38,992,034)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(24,718,062)</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(108,274,121)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operating (loss) income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(62,436,465)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(147,266,155)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[A]</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(39,389,028)</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(47,905,812)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(101,825,493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(195,171,967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(5,337,828)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(5,189,071)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(30,077,458)</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(42,046,273)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depreciation and amortization</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(35,415,286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(47,235,344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(481,124)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(100,775)</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(9,365,235)</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(13,810,233)</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(9,846,359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(13,911,008</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Operations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932,898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14,982,500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79,295,111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capital expenditures</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15,915,398</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81,030,503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299"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allocate other income (expense) for segment reporting purposes. Amount is shown as a reconciling item between net operating income/(losses) and consolidated income before taxes. Refer to the accompanying consolidated statements of operations for further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years ended December 31, 2023, and 2022, the loss on disposal of fixed assets, realized gain on sale of digital currencies, realized gain (loss) on sale of miner assets, impairments on miner assets, impairments on digital currencies, and impairments on equipment deposits recorded in the consolidated statements of operations were entirely attributable to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energy operations and cryptocurrency operations as of December 31, 2023, and 2022, are presented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Energy</w:t>
            </w:r>
          </w:p>
        </w:tc>
        <w:tc>
          <w:tcPr>
            <w:tcW w:w="160" w:type="dxa"/>
            <w:vAlign w:val="bottom"/>
          </w:tcPr>
          <w:p>
            <w:pPr>
              <w:spacing w:after="0"/>
              <w:rPr>
                <w:sz w:val="16"/>
                <w:szCs w:val="16"/>
                <w:color w:val="auto"/>
              </w:rPr>
            </w:pPr>
          </w:p>
        </w:tc>
        <w:tc>
          <w:tcPr>
            <w:tcW w:w="14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Cryptocurrency</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Energy</w:t>
            </w:r>
          </w:p>
        </w:tc>
        <w:tc>
          <w:tcPr>
            <w:tcW w:w="1600" w:type="dxa"/>
            <w:vAlign w:val="bottom"/>
            <w:gridSpan w:val="4"/>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Cryptocurrency</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40" w:type="dxa"/>
            <w:vAlign w:val="bottom"/>
          </w:tcPr>
          <w:p>
            <w:pPr>
              <w:spacing w:after="0"/>
              <w:rPr>
                <w:sz w:val="21"/>
                <w:szCs w:val="21"/>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0" w:type="dxa"/>
            <w:vAlign w:val="bottom"/>
          </w:tcPr>
          <w:p>
            <w:pPr>
              <w:spacing w:after="0"/>
              <w:rPr>
                <w:sz w:val="21"/>
                <w:szCs w:val="21"/>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3,983,505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693,805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12,602,898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13,296,703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Digital currencies</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3,175,595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3,175,595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109,827</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485,956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507,029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10,628,570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208,556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10,837,126</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97,288</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73,122</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1,893,524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1,893,524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3,787,048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2,438,967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2,438,968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4,877,935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4,196,812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4,196,812</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4,471,657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4,471,657</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433,612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1,241,472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1,675,084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1,975,300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Equipment deposits</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8,000,643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8,000,643</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10,081,307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10,081,307</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41,538,240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103,104,531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144,642,771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45,645,205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121,559,476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167,204,681</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1,748,440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1,748,440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1,748,440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1,748,440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Road bond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299,738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299,738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211,958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211,958</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494,601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978,146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1,472,747</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1,045,365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673,672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1,719,037</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348,888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348,888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348,888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348,888</w:t>
            </w:r>
          </w:p>
        </w:tc>
      </w:tr>
      <w:tr>
        <w:trPr>
          <w:trHeight w:val="23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43,488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127,000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170,488</w:t>
            </w: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51,811,695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122,525,489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174,337,184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67,305,977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149,650,004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216,955,981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A-2-36</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892"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18 – EARNINGS (LOSS) PER SHARE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EPS is computed by dividing the Company’s net income (loss) by the weighted average number of Class A shares of common stock outstanding during the period. Diluted EPS reflects the potential dilution that could occur if securities or other contracts to issue common stock were exercised or converted into common stock or resulted in the issuance of common stock that then shared in the earnings of the entity.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loss per share of Class A common stock for the years ended December 31,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6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(101,825,493)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(195,171,967)</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(30,428,749)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(105,910,737)</w:t>
            </w:r>
          </w:p>
        </w:tc>
        <w:tc>
          <w:tcPr>
            <w:tcW w:w="0" w:type="dxa"/>
            <w:vAlign w:val="bottom"/>
          </w:tcPr>
          <w:p>
            <w:pPr>
              <w:spacing w:after="0"/>
              <w:rPr>
                <w:sz w:val="1"/>
                <w:szCs w:val="1"/>
                <w:color w:val="auto"/>
              </w:rPr>
            </w:pPr>
          </w:p>
        </w:tc>
      </w:tr>
      <w:tr>
        <w:trPr>
          <w:trHeight w:val="249"/>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Deemed contribution from exchange of Series C convertible preferred stock</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20,492,568</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Stronghold Digital Mining, Inc.</w:t>
            </w:r>
          </w:p>
        </w:tc>
        <w:tc>
          <w:tcPr>
            <w:tcW w:w="1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(50,904,176)</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(89,261,230)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6,821,173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2,584,907</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that could potentially dilute earnings (loss) per share in the future were not included in the computation of diluted net loss per share for the years ended December 31, 2023, and 2022, because their inclusion would be anti-dilutive. The following table summarizes the potentially dilutive impact of such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31,996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(excluding those with a $0.01 exercise price)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3,865,910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571,850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 Stock not yet exchanged for shares of Class A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1,497,500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 not yet exchanged for shares of Class A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1,414,117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V common shares not yet exchanged for shares of Class A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2,405,760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2,605,760</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9,253,082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impact of the deemed contribution resulting from the extinguishment of shares of Series C Preferred Stock associated with the Series D Exchange Transaction, as described above in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has been excluded from the computation of diluted earnings per share for the year ended December 31, 2023, because the impact would be anti-dilutive. Subsequent to December 31, 2023, the remaining 7,610 shares of Series D Convertible Preferred Stock were converted to 1,414,117 shares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Tax Receivable Agreement (“TRA”) with Q Power and an agent named by Q Power on April 1, 2021, (to which an additional holder was subsequently joined as an additional “TRA Holder” on March 14, 2023), pursuant to which the Company will pay the TRA Holders 85% of the realized (or, in certain circumstances, deemed realized) cash tax savings attributable to any increases in tax basis arising from taxable exchanges of units and certain other items.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the Company’s equity issuances and other transactions resulted in adjustments to the tax basis of Stronghold LLC’s assets. Such adjustments to tax basis, which were allocated to Stronghold Inc., are expected to increase Stronghold Inc.’s tax depreciation, amortization and/or other cost recovery deductions, which may reduce the amount of tax Stronghold Inc. would otherwise be required to pay in the future. No cash tax savings have been realized by Stronghold Inc. with respect to these basis adjustments due to the Company’s estimated taxable losses, and the realization of cash tax savings in the future is dependent, in part, on estimates of sufficient future taxable income. As such, a deferred income tax asset has not been recorded due to maintaining a valuation allowance on the Company’s deferred tax assets, and no liability has been recorded with respect to the TRA in light of the applicable criteria for accrual.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Estimating the amount and timing of Stronghold Inc.’s realization of income tax benefits subject to the TRA is imprecise and unknown at this time and will vary based on a number of factors, including when future redemptions actually occur and the extent to which the Company has sufficient taxable income to utilize any such benefits. Accordingly, the Company has not recorded any deferred income tax asset or liability associated with the TRA.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Company’s incorporation, the Company and its indirectly-owned corporate subsidiaries, Clearfield and Leesburg, provide for income taxes under the asset and liability method. Deferred income tax assets and liabilities are determined based on the difference between the financial statement and tax basis of assets and liabilities – specifically for the Company and its investment in Stronghold LLC – using enacted income tax rates expected to be in effect during the year in which the basis differences reverse. Valuation allowances are established when management determines it is more likely than not that some portion, or all, of the deferred income tax assets will not be realized.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the Company’s total income tax provision (benefit) of $0 differed from amounts computed by applying the U.S. federal income tax rate to pre-tax losses for the periods primarily due to the nontaxable net losses attributable to noncontrolling interests and due to maintaining a valuation allowance on the Company’s deferred income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2023, and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6"/>
                <w:szCs w:val="16"/>
                <w:color w:val="auto"/>
              </w:rPr>
            </w:pPr>
          </w:p>
        </w:tc>
      </w:tr>
      <w:tr>
        <w:trPr>
          <w:trHeight w:val="245"/>
        </w:trPr>
        <w:tc>
          <w:tcPr>
            <w:tcW w:w="8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provision expense (benefit):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 expense (benefit)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provision expense (benefit):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deferred income tax provision expense (benefit)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provision expense (benefit)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U.S. federal income tax rate to pre-tax losses. A reconciliation of the statutory federal income tax amount to the recorded income tax provision (benefit) expense is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 expense at 21% federal statutory rate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(21,383,354)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(40,986,113)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nontaxable noncontrolling interest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6,390,037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22,241,255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 provision (benefit) expense, net of federal tax effect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(2,731,180)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(3,495,720)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17,280,477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20,934,443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income tax rate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1,430,670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444,020</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(124,535)</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income tax provision (benefit) expense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as of December 31, 2023, and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 (liabilities):</w:t>
            </w:r>
          </w:p>
        </w:tc>
        <w:tc>
          <w:tcPr>
            <w:tcW w:w="4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460" w:type="dxa"/>
            <w:vAlign w:val="bottom"/>
            <w:gridSpan w:val="2"/>
            <w:vMerge w:val="continue"/>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98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4400" w:type="dxa"/>
            <w:vAlign w:val="bottom"/>
            <w:gridSpan w:val="2"/>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22,519,017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25,852,100</w:t>
            </w:r>
          </w:p>
        </w:tc>
        <w:tc>
          <w:tcPr>
            <w:tcW w:w="0" w:type="dxa"/>
            <w:vAlign w:val="bottom"/>
          </w:tcPr>
          <w:p>
            <w:pPr>
              <w:spacing w:after="0"/>
              <w:rPr>
                <w:sz w:val="1"/>
                <w:szCs w:val="1"/>
                <w:color w:val="auto"/>
              </w:rPr>
            </w:pPr>
          </w:p>
        </w:tc>
      </w:tr>
      <w:tr>
        <w:trPr>
          <w:trHeight w:val="23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Stronghold LLC</w:t>
            </w: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32,482,953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15,068,075</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4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55,001,970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40,920,175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(55,001,970)</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(40,920,175)</w:t>
            </w:r>
          </w:p>
        </w:tc>
        <w:tc>
          <w:tcPr>
            <w:tcW w:w="0" w:type="dxa"/>
            <w:vAlign w:val="bottom"/>
          </w:tcPr>
          <w:p>
            <w:pPr>
              <w:spacing w:after="0"/>
              <w:rPr>
                <w:sz w:val="1"/>
                <w:szCs w:val="1"/>
                <w:color w:val="auto"/>
              </w:rPr>
            </w:pPr>
          </w:p>
        </w:tc>
      </w:tr>
      <w:tr>
        <w:trPr>
          <w:trHeight w:val="236"/>
        </w:trPr>
        <w:tc>
          <w:tcPr>
            <w:tcW w:w="44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deferred income tax assets (liabilities)</w:t>
            </w:r>
          </w:p>
        </w:tc>
        <w:tc>
          <w:tcPr>
            <w:tcW w:w="4220" w:type="dxa"/>
            <w:vAlign w:val="bottom"/>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9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A-2-38</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1" w:name="page102"/>
    <w:bookmarkEnd w:id="10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and its subsidiaries had no net deferred income tax assets or liabilities. Subsequent to the Company’s reorganization in 2021, deferred taxes are provided on the difference between the Company’s basis for financial reporting purposes and the Company’s basis for federal income tax purposes in its investment in Stronghold LLC.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2022, the state of Pennsylvania enacted HB 1342 (Act 53), which includes a gradual reduction to the state corporate income tax rate to 4.99% over the 2023 through 2031 period. The Company considered the impact of this legislation in the period of enactment and reduced the gross amount of its Pennsylvania deferred income tax assets to take into account the reduced statutory rate. There was no impact to deferred income tax expense or net deferred income tax assets due to the valuation allowance recorded against the Company’s deferred income tax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no deferred income tax asset or liability has been recorded with respect to the Company’s TRA with Q Power and other parties thereto because any tax benefits subject to the TRA would be a component of a deferred income tax asset not more likely than not to be realized, as discussed further herein. The Company has not yet realized cash tax savings with respect to any tax benefits subject to the TRA, due to the Company’s estimated taxable losses.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U.S. federal net operating loss and interest expense carryforwards of approximately $90.3 million, which may be carried forward indefinitely to offset future taxable income, and state net operating loss carryforwards of approximately $76.1 million expiring in 2042 if not used. The Company incurred a tax net operating loss in 2023 due principally to Stronghold LLC’s tax deductions for accelerated depreciation, in addition to its pre-tax loss. As of December 31, 2023, the Company did not have any uncertain tax positions requiring recognition in its consolidated financial statements. The 2021 through 2023 tax years for the Company and the 2018 through 2023 tax years for Clearfield and Leesburg remain open to potential examination by tax authorities.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and 2022, the Company had a valuation allowance of approximately $55.0 million and $40.9 million, respectively, related to deferred income tax assets the Company does not believe are more likely than not to be realized. The determination to record a valuation allowance was based on management’s assessment of all available evidence, both positive and negative, supporting realizability of the Company’s net operating losses and other deferred income tax assets, as required by ASC 740. Factors contributing to this assessment included the Company’s cumulative and current losses, as well as the evaluation of other sources of income as outlined in ASC 740. In addition, as of December 31, 2022, the Company determined that it sustained an ownership change as defined by Section 382 of the Code, which subjected the Company’s pre-change net operating losses and other carryforwards to annual limitation. Generally, the amount of the limitation is equal to the value of the company’s stock immediately prior to the ownership change multiplied by an interest rate, referred to as the long-term tax-exempt rate, periodically promulgated by the IRS. The Company estimated that the amount of its losses generated prior to the ownership change that may be used annually subsequent to the change was approximately $2.1 million. Such annual limit may significantly impact the timing of utilization of the Company’s federal and state losses and other carryforwards.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evaluate the likelihood of the utilization of its deferred income tax assets, and, while the valuation allowance remains in place, the Company expects to record no deferred income tax expense or benefit. In light of the criteria under ASC 740 for recognizing the tax benefit of deferred income tax assets, the Company maintained a valuation allowance against its federal and state deferred income tax assets as of December 31,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SUPPLEMENTAL CASH AND NON-CASH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for the years ended December 31, 2023, and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34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3460" w:type="dxa"/>
            <w:vAlign w:val="bottom"/>
            <w:tcBorders>
              <w:bottom w:val="single" w:sz="8" w:color="CCEEFF"/>
            </w:tcBorders>
          </w:tcPr>
          <w:p>
            <w:pPr>
              <w:spacing w:after="0"/>
              <w:rPr>
                <w:sz w:val="21"/>
                <w:szCs w:val="21"/>
                <w:color w:val="auto"/>
              </w:rPr>
            </w:pPr>
          </w:p>
        </w:tc>
        <w:tc>
          <w:tcPr>
            <w:tcW w:w="5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payments</w:t>
            </w:r>
          </w:p>
        </w:tc>
        <w:tc>
          <w:tcPr>
            <w:tcW w:w="5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5460" w:type="dxa"/>
            <w:vAlign w:val="bottom"/>
            <w:gridSpan w:val="2"/>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9,562,034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9,636,505</w:t>
            </w:r>
          </w:p>
        </w:tc>
      </w:tr>
      <w:tr>
        <w:trPr>
          <w:trHeight w:val="637"/>
        </w:trPr>
        <w:tc>
          <w:tcPr>
            <w:tcW w:w="34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ind w:left="1900"/>
              <w:spacing w:after="0"/>
              <w:rPr>
                <w:sz w:val="20"/>
                <w:szCs w:val="20"/>
                <w:color w:val="auto"/>
              </w:rPr>
            </w:pPr>
            <w:r>
              <w:rPr>
                <w:rFonts w:ascii="Times New Roman" w:cs="Times New Roman" w:eastAsia="Times New Roman" w:hAnsi="Times New Roman"/>
                <w:sz w:val="18"/>
                <w:szCs w:val="18"/>
                <w:color w:val="auto"/>
              </w:rPr>
              <w:t>A-2-39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Supplemental non-cash investing and financing activities consisted of the following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financed with debt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McClymonds arbitration award – paid by Q Power</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5,038,122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 through finance leases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60,679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938,902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 included in accounts payable or accrued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6,614,671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exchanged for lease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630,831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from deposits to property, plant and equipment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4,658,970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63,363,287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payment via warrants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3,340,078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Series A convertible preferred units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33,529,837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miners to settle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39,008,651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 as part of financing: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 WhiteHawk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 convertible note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6,604,881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 April 2023 Private Placement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8,882,914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 December 2023 Private Placement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13,548,834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Exchange for Series C Convertible Preferred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of convertible note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16,812,500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Extinguishment of accrued interest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655,500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Series C convertible preferred stock, net of issuance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45,386,944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B&amp;M Settlement: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 B&amp;M</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1,739,882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transformers to settle outstanding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6,007,500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B&amp;M Note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of 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11,426,720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5,386,695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5,484,449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issued to settle outstanding payables or accrued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1,044,774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Exchange of Series C convertible preferred stock for Series D convertible preferred stock</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20,492,568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FAIR VALUE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warrant liabilities are measured at fair value on a recurring basis, as discussed in detail in </w:t>
      </w:r>
      <w:r>
        <w:rPr>
          <w:rFonts w:ascii="Times New Roman" w:cs="Times New Roman" w:eastAsia="Times New Roman" w:hAnsi="Times New Roman"/>
          <w:sz w:val="18"/>
          <w:szCs w:val="18"/>
          <w:i w:val="1"/>
          <w:iCs w:val="1"/>
          <w:color w:val="auto"/>
        </w:rPr>
        <w:t>Note 16 – Equity Issuances</w:t>
      </w:r>
      <w:r>
        <w:rPr>
          <w:rFonts w:ascii="Times New Roman" w:cs="Times New Roman" w:eastAsia="Times New Roman" w:hAnsi="Times New Roman"/>
          <w:sz w:val="18"/>
          <w:szCs w:val="18"/>
          <w:color w:val="auto"/>
        </w:rPr>
        <w:t>. The Company’s non-financial assets, including Bitcoin, operating lease right-of-use assets, and property, plant and equipment, are measured at fair value on a nonrecurring basis when there is an indication of impairment and the carrying amount exceeds the asset’s projected undiscounted cash flows. These assets are recorded at fair value only when an impairment charge is recognized.</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prepaid expenses and other current assets, accounts payable, contract liabilities, and accrued expenses approximate their carrying values because of the short-term nature of these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changes in business climate, including decreases in the price of Bitcoin and resulting decreases in the market price of miners, may indicate that an impairment triggering event has occurred. If the testing performed indicates the estimated fair value of the Company’s miners to be less than their net carrying value, an impairment charge will be recognized, decreasing the net carrying value of the Company’s miners to their estimated fair value.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Applying the market price of one Bitcoin on December 31, 2023, of $42,531 to the Company’s approximately 77 Bitcoin held, results in an estimated fair value of the Company’s Bitcoin of approximately $3,274,887 as of December 31, 2023. For the comparative period, applying the market price of one Bitcoin on December 31, 2022, of $16,548 to the Company’s approximately 7 Bitcoin held, results in an estimated fair value of the Company’s Bitcoin of approximately $115,836 as of December 31, 2022. The valuation of Bitcoin held is classified in Level 1 of the fair value hierarchy as it is based on quoted prices in active markets for identical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Champion Electricity Sales and Purchase Agreements and Transaction Addendums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29, 2024, each of the Company’s wholly owned subsidiaries, Scrubgrass and Panther Creek entered into Electricity Sales and Purchase Agreements (collectively, the “ESPAs”) and Transaction Addendums (collectively, the “Addendums”) with Champion Energy Services, LLC (“Champion”). Pursuant to the ESPAs and Addendums, Champion will provide retail electricity to Scrubgrass and Panther Creek at a competitive contract price that includes wholesale real-time power prices, ancillary and delivery services charges, and applicable taxes. To effectuate the Addendums, Scrubgrass and Panther Creek each delivered to Champion a deposit in the amount of $425,000 on March 4, 2024. The Addendums are in existence through March of 2027, subject to the terms and conditions stated in the ESPAs and Addendums. The Company independently estimates the cost of power under the ESPAs will be approximately $10-12/MWh, including all ancillary charges and taxes, plus the cost of wholesale power, assuming prices range from $10-40/MWh.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Amendment to the WhiteHawk 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15, 2024, the Company, Stronghold LLC, as borrower, their subsidiaries and WhiteHawk Capital, as collateral agent and administrative agent, and the other lenders thereto, entered a Third Amendment to Credit Agreement (the “Third Amendment”). Pursuant to the Third Amendment, among other items, (i) the Company was permitted to purchase the December 2023 Purchase Miners (as defined under the Third Amendment), so long as the December 2023 Purchase Miners were purchased from cash proceeds of the December 2023 Equity Raise (as defined under the Third Amendment) and such December 2023 Purchase Miners are collateral, (ii) WhiteHawk Capital waived certain prepayment requirements of the Credit Agreement with respect to cash proceeds of the December 2023 Equity Raise, subject to WhiteHawk Capital’s receipt of $3,230,523, which amount represents amortization payments of the WhiteHawk Refinancing Agreement that were otherwise due on July 31, 2024, and August 30, 2024, (iii) two (2) 115kV to 13.8kV – 30/40/50 MVA transformers and two (2) 145kV SF6 breakers previously purchased by the Company were added to the defined term Permitted Disposition; and (iv) the Company’s minimum liquidity requirement was amended to not be less than: (A) until June 30, 2025, $2,500,000 and (B) from and after July 1, 2025, $5,000,000.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Olympus Omnibus Services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 2021, Stronghold LLC and Olympus Stronghold Services, LLC (“Olympus Services”) entered into an Operations, Maintenance and Ancillary Services Agreement (the “Omnibus Services Agreement”), whereby Olympus Services was to provide certain operations, personnel and maintenance services to the Company and its affiliates. On February 13, 2024, Stronghold LLC and Olympus Services entered into a Termination and Release Agreement (the “Termination and Release”) whereby the Omnibus Services Agreement was terminated. The Termination and Release contained a mutual customary release. The Company expects to continue to pay Olympus Power LLC $10,000 per month for ongoing assistance at each of the Scrubgrass Plant and Panther Creek Plant.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RESTATED UNAUDITED CONSOLIDATED FINANCIAL STATEMENTS FOR THE</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4,491,447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4,214,613</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Digital currencies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613,949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3,175,595</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1,240,900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507,029</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2,815,178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4,196,812</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1,668,837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3,787,048</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97,288</w:t>
            </w:r>
          </w:p>
        </w:tc>
      </w:tr>
      <w:tr>
        <w:trPr>
          <w:trHeight w:val="24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1,898,404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1,675,084</w:t>
            </w: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12,819,253</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17,653,469</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 deposits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8,000,643</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124,971,766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144,642,771</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904,988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1,472,747</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1,748,440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1,748,440</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Road bond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299,738</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348,888</w:t>
            </w:r>
          </w:p>
        </w:tc>
      </w:tr>
      <w:tr>
        <w:trPr>
          <w:trHeight w:val="24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271,960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170,488</w:t>
            </w:r>
          </w:p>
        </w:tc>
      </w:tr>
      <w:tr>
        <w:trPr>
          <w:trHeight w:val="251"/>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141,365,033</w:t>
            </w:r>
          </w:p>
        </w:tc>
        <w:tc>
          <w:tcPr>
            <w:tcW w:w="2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174,337,184</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11,259,291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11,857,052</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13,846,663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10,787,895</w:t>
            </w: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952,369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2,927,508</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 net of discounts and issuance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19,566,519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7,936,147</w:t>
            </w: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605,324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788,706</w:t>
            </w:r>
          </w:p>
        </w:tc>
      </w:tr>
      <w:tr>
        <w:trPr>
          <w:trHeight w:val="25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1,449,195</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718,838</w:t>
            </w: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47,679,361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35,016,146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1,116,958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1,075,728</w:t>
            </w: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16,765,182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25,210,429</w:t>
            </w:r>
          </w:p>
        </w:tc>
      </w:tr>
      <w:tr>
        <w:trPr>
          <w:trHeight w:val="216"/>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Long-term debt, net of discounts and issuance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33,879,516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48,203,762</w:t>
            </w:r>
          </w:p>
        </w:tc>
      </w:tr>
      <w:tr>
        <w:trPr>
          <w:trHeight w:val="216"/>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356,542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776,079</w:t>
            </w:r>
          </w:p>
        </w:tc>
      </w:tr>
      <w:tr>
        <w:trPr>
          <w:trHeight w:val="250"/>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10,500,864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241,420</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110,298,423</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110,523,564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Class V; $0.0001 par value; 50,000,000 shares authorized; 2,405,760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11,536,161</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20,416,116</w:t>
            </w:r>
          </w:p>
        </w:tc>
      </w:tr>
      <w:tr>
        <w:trPr>
          <w:trHeight w:val="210"/>
        </w:trPr>
        <w:tc>
          <w:tcPr>
            <w:tcW w:w="868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Total redeemable common stock</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11,536,161</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20,416,116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Class A; $0.0001 par value; 238,000,000 shares authorized; 14,737,601 and 11,115,561 shares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 $0.0001 par value; 23,102 shares authorized; 5,990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$0.0001 par value; 15,582 shares authorized; 0 and 7,610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(360,763,808)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(331,647,755)</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380,292,782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375,044,145</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19,530,449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43,397,504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redeemable common stock and stockholders’ equity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31,066,610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63,813,620</w:t>
            </w:r>
          </w:p>
        </w:tc>
        <w:tc>
          <w:tcPr>
            <w:tcW w:w="100" w:type="dxa"/>
            <w:vAlign w:val="bottom"/>
            <w:tcBorders>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COMMON STOCK AND STOCKHOLDERS’ EQUITY</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141,365,033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174,337,184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Cryptocurrency mining</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8,709,777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12,684,894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44,989,361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37,764,990</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Cryptocurrency hosting</w:t>
            </w:r>
          </w:p>
        </w:tc>
        <w:tc>
          <w:tcPr>
            <w:tcW w:w="18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(1,233,393)</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3,789,375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8,048,435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9,195,072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502,640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1,210,811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1,424,077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4,682,590</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Capacity</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1,442,067</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44,046</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41,877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187,521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142,194</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440"/>
              <w:spacing w:after="0" w:line="203" w:lineRule="exact"/>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8,023,070</w:t>
            </w: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17,726,957</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54,649,394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53,226,913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6,500,292</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8,556,626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19,709,424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22,262,141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4,998,609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6,961,060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22,321,981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24,206,080</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8,326,999</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6,598,951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26,671,930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25,145,444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8,623,646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9,667,213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27,428,863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26,025,021</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458,147</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2,189,252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(3,977,622)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(131,706)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(4,358,041)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(725,139)</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loss (gain) on digital currencies</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146,607</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loss on sale of miner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530,099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494,087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357,411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683,241</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5,422,338</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5,422,338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4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25,606,777</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37,431,893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94,456,882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103,127,493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(17,583,707</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(19,704,936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(39,807,488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(49,900,580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(2,236,587)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(2,441,139)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(6,748,059)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(7,428,530)</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(28,960,947)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(2,850,298)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(180,838)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8,445,247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5,580,453</w:t>
            </w:r>
          </w:p>
        </w:tc>
        <w:tc>
          <w:tcPr>
            <w:tcW w:w="0" w:type="dxa"/>
            <w:vAlign w:val="bottom"/>
          </w:tcPr>
          <w:p>
            <w:pPr>
              <w:spacing w:after="0"/>
              <w:rPr>
                <w:sz w:val="1"/>
                <w:szCs w:val="1"/>
                <w:color w:val="auto"/>
              </w:rPr>
            </w:pPr>
          </w:p>
        </w:tc>
      </w:tr>
      <w:tr>
        <w:trPr>
          <w:trHeight w:val="237"/>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(5,086,885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(2,606,977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(30,764,024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(22,670,592)</w:t>
            </w:r>
          </w:p>
        </w:tc>
        <w:tc>
          <w:tcPr>
            <w:tcW w:w="26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(22,311,913)</w:t>
            </w:r>
          </w:p>
        </w:tc>
        <w:tc>
          <w:tcPr>
            <w:tcW w:w="22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(38,095,300)</w:t>
            </w:r>
          </w:p>
        </w:tc>
        <w:tc>
          <w:tcPr>
            <w:tcW w:w="22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(80,664,604)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(3,181,407)</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(5,188,727)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(5,588,300)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(26,663,731)</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attributable to Stronghold Digital Mining, Inc.</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(19,489,185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(17,123,186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(32,507,000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(54,000,873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 shareholders: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Class A common shares outstanding:</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14,594,955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7,569,511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14,319,202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6,047,891</w:t>
            </w:r>
          </w:p>
        </w:tc>
        <w:tc>
          <w:tcPr>
            <w:tcW w:w="0" w:type="dxa"/>
            <w:vAlign w:val="bottom"/>
          </w:tcPr>
          <w:p>
            <w:pPr>
              <w:spacing w:after="0"/>
              <w:rPr>
                <w:sz w:val="1"/>
                <w:szCs w:val="1"/>
                <w:color w:val="auto"/>
              </w:rPr>
            </w:pPr>
          </w:p>
        </w:tc>
      </w:tr>
      <w:tr>
        <w:trPr>
          <w:trHeight w:val="234"/>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14,594,955</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7,569,511</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14,319,202</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6,047,891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STRONGHOLD DIGITAL MINING, INC. CONDENSED CONSOLIDATED STATEMENTS OF STOCKHOLDERS’ EQUITY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Convertible Preferred</w:t>
            </w:r>
          </w:p>
        </w:tc>
        <w:tc>
          <w:tcPr>
            <w:tcW w:w="20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180" w:type="dxa"/>
            <w:vAlign w:val="bottom"/>
          </w:tcPr>
          <w:p>
            <w:pPr>
              <w:spacing w:after="0"/>
              <w:rPr>
                <w:sz w:val="16"/>
                <w:szCs w:val="16"/>
                <w:color w:val="auto"/>
              </w:rPr>
            </w:pPr>
          </w:p>
        </w:tc>
        <w:tc>
          <w:tcPr>
            <w:tcW w:w="110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Series C</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6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5"/>
        </w:trPr>
        <w:tc>
          <w:tcPr>
            <w:tcW w:w="3180" w:type="dxa"/>
            <w:vAlign w:val="bottom"/>
          </w:tcPr>
          <w:p>
            <w:pPr>
              <w:spacing w:after="0"/>
              <w:rPr>
                <w:sz w:val="21"/>
                <w:szCs w:val="21"/>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3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July 1, 2024</w:t>
            </w:r>
          </w:p>
        </w:tc>
        <w:tc>
          <w:tcPr>
            <w:tcW w:w="880" w:type="dxa"/>
            <w:vAlign w:val="bottom"/>
            <w:tcBorders>
              <w:top w:val="single" w:sz="8" w:color="auto"/>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12,980,864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(336,973,510)</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$ 378,716,670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41,744,459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 Stronghold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Digital Mining, Inc.</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(19,489,185)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(19,489,185)</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88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100" w:type="dxa"/>
            <w:vAlign w:val="bottom"/>
            <w:tcBorders>
              <w:left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(3,181,407)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(3,181,407)</w:t>
            </w:r>
          </w:p>
        </w:tc>
        <w:tc>
          <w:tcPr>
            <w:tcW w:w="0" w:type="dxa"/>
            <w:vAlign w:val="bottom"/>
          </w:tcPr>
          <w:p>
            <w:pPr>
              <w:spacing w:after="0"/>
              <w:rPr>
                <w:sz w:val="1"/>
                <w:szCs w:val="1"/>
                <w:color w:val="auto"/>
              </w:rPr>
            </w:pPr>
          </w:p>
        </w:tc>
      </w:tr>
      <w:tr>
        <w:trPr>
          <w:trHeight w:val="198"/>
        </w:trPr>
        <w:tc>
          <w:tcPr>
            <w:tcW w:w="3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Maximum redemption right valuation</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V Units]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(1,119,706)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(1,119,706)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left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1,486,286</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450,776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 warrants</w:t>
            </w:r>
          </w:p>
        </w:tc>
        <w:tc>
          <w:tcPr>
            <w:tcW w:w="1100" w:type="dxa"/>
            <w:vAlign w:val="bottom"/>
            <w:tcBorders>
              <w:left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1,299,969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to settle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90,001</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880" w:type="dxa"/>
            <w:vAlign w:val="bottom"/>
            <w:tcBorders>
              <w:left w:val="single" w:sz="8" w:color="auto"/>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vMerge w:val="continue"/>
            <w:shd w:val="clear" w:color="auto" w:fill="CCEEFF"/>
          </w:tcPr>
          <w:p>
            <w:pPr>
              <w:spacing w:after="0"/>
              <w:rPr>
                <w:sz w:val="21"/>
                <w:szCs w:val="21"/>
                <w:color w:val="auto"/>
              </w:rPr>
            </w:pPr>
          </w:p>
        </w:tc>
        <w:tc>
          <w:tcPr>
            <w:tcW w:w="8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14,737,601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vMerge w:val="continue"/>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(360,763,808</w:t>
            </w:r>
          </w:p>
        </w:tc>
        <w:tc>
          <w:tcPr>
            <w:tcW w:w="220" w:type="dxa"/>
            <w:vAlign w:val="bottom"/>
            <w:tcBorders>
              <w:right w:val="single" w:sz="8" w:color="CCEEFF"/>
            </w:tcBorders>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380,292,782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19,530,449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1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21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Convertible Preferred</w:t>
            </w:r>
          </w:p>
        </w:tc>
        <w:tc>
          <w:tcPr>
            <w:tcW w:w="20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180" w:type="dxa"/>
            <w:vAlign w:val="bottom"/>
          </w:tcPr>
          <w:p>
            <w:pPr>
              <w:spacing w:after="0"/>
              <w:rPr>
                <w:sz w:val="16"/>
                <w:szCs w:val="16"/>
                <w:color w:val="auto"/>
              </w:rPr>
            </w:pPr>
          </w:p>
        </w:tc>
        <w:tc>
          <w:tcPr>
            <w:tcW w:w="1100" w:type="dxa"/>
            <w:vAlign w:val="bottom"/>
            <w:tcBorders>
              <w:top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Series C</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6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5"/>
        </w:trPr>
        <w:tc>
          <w:tcPr>
            <w:tcW w:w="318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3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July 1, 2023</w:t>
            </w:r>
          </w:p>
        </w:tc>
        <w:tc>
          <w:tcPr>
            <w:tcW w:w="880" w:type="dxa"/>
            <w:vAlign w:val="bottom"/>
            <w:tcBorders>
              <w:top w:val="single" w:sz="8" w:color="auto"/>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6,055,618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(298,199,062)</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$ 380,538,701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82,340,247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 Stronghold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Digital Mining, Inc.</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(17,123,186)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(17,123,186)</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88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100" w:type="dxa"/>
            <w:vAlign w:val="bottom"/>
            <w:tcBorders>
              <w:left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(5,188,727)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(5,188,727)</w:t>
            </w:r>
          </w:p>
        </w:tc>
        <w:tc>
          <w:tcPr>
            <w:tcW w:w="0" w:type="dxa"/>
            <w:vAlign w:val="bottom"/>
          </w:tcPr>
          <w:p>
            <w:pPr>
              <w:spacing w:after="0"/>
              <w:rPr>
                <w:sz w:val="1"/>
                <w:szCs w:val="1"/>
                <w:color w:val="auto"/>
              </w:rPr>
            </w:pPr>
          </w:p>
        </w:tc>
      </w:tr>
      <w:tr>
        <w:trPr>
          <w:trHeight w:val="198"/>
        </w:trPr>
        <w:tc>
          <w:tcPr>
            <w:tcW w:w="3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Maximum redemption right valuation</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V Units]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(615,621)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(615,621)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left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787,811</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83,753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 warrants</w:t>
            </w:r>
          </w:p>
        </w:tc>
        <w:tc>
          <w:tcPr>
            <w:tcW w:w="1100" w:type="dxa"/>
            <w:vAlign w:val="bottom"/>
            <w:tcBorders>
              <w:left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474,612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to settle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12,959</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59,994</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ATM</w:t>
            </w:r>
          </w:p>
        </w:tc>
        <w:tc>
          <w:tcPr>
            <w:tcW w:w="88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Agreement</w:t>
            </w:r>
          </w:p>
        </w:tc>
        <w:tc>
          <w:tcPr>
            <w:tcW w:w="1100" w:type="dxa"/>
            <w:vAlign w:val="bottom"/>
            <w:tcBorders>
              <w:left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1,249,746</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3"/>
                <w:szCs w:val="23"/>
                <w:color w:val="auto"/>
              </w:rPr>
            </w:pPr>
          </w:p>
        </w:tc>
        <w:tc>
          <w:tcPr>
            <w:tcW w:w="130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8,120,924</w:t>
            </w:r>
          </w:p>
        </w:tc>
        <w:tc>
          <w:tcPr>
            <w:tcW w:w="14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8,121,049</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21,572</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7,876,688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(321,126,596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389,507,374</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68,381,568</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STRONGHOLD DIGITAL MINING, INC. CONDENSED CONSOLIDATED STATEMENTS OF STOCKHOLDERS’ EQUITY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1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4"/>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5"/>
          </w:tcPr>
          <w:p>
            <w:pPr>
              <w:jc w:val="right"/>
              <w:ind w:right="12"/>
              <w:spacing w:after="0" w:line="194" w:lineRule="exact"/>
              <w:rPr>
                <w:sz w:val="20"/>
                <w:szCs w:val="20"/>
                <w:color w:val="auto"/>
              </w:rPr>
            </w:pPr>
            <w:r>
              <w:rPr>
                <w:rFonts w:ascii="Times New Roman" w:cs="Times New Roman" w:eastAsia="Times New Roman" w:hAnsi="Times New Roman"/>
                <w:sz w:val="18"/>
                <w:szCs w:val="18"/>
                <w:b w:val="1"/>
                <w:bCs w:val="1"/>
                <w:color w:val="auto"/>
              </w:rPr>
              <w:t>Convertible</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6"/>
          </w:tcPr>
          <w:p>
            <w:pPr>
              <w:jc w:val="center"/>
              <w:ind w:left="130"/>
              <w:spacing w:after="0" w:line="194" w:lineRule="exact"/>
              <w:rPr>
                <w:sz w:val="20"/>
                <w:szCs w:val="20"/>
                <w:color w:val="auto"/>
              </w:rPr>
            </w:pPr>
            <w:r>
              <w:rPr>
                <w:rFonts w:ascii="Times New Roman" w:cs="Times New Roman" w:eastAsia="Times New Roman" w:hAnsi="Times New Roman"/>
                <w:sz w:val="18"/>
                <w:szCs w:val="18"/>
                <w:b w:val="1"/>
                <w:bCs w:val="1"/>
                <w:color w:val="auto"/>
              </w:rPr>
              <w:t>Convertible</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5"/>
        </w:trPr>
        <w:tc>
          <w:tcPr>
            <w:tcW w:w="2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4"/>
        </w:trPr>
        <w:tc>
          <w:tcPr>
            <w:tcW w:w="22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Series C</w:t>
            </w:r>
          </w:p>
        </w:tc>
        <w:tc>
          <w:tcPr>
            <w:tcW w:w="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tcBorders>
            <w:gridSpan w:val="4"/>
          </w:tcPr>
          <w:p>
            <w:pPr>
              <w:jc w:val="right"/>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Series D</w:t>
            </w: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40" w:type="dxa"/>
            <w:vAlign w:val="bottom"/>
          </w:tcPr>
          <w:p>
            <w:pPr>
              <w:spacing w:after="0"/>
              <w:rPr>
                <w:sz w:val="16"/>
                <w:szCs w:val="16"/>
                <w:color w:val="auto"/>
              </w:rPr>
            </w:pPr>
          </w:p>
        </w:tc>
        <w:tc>
          <w:tcPr>
            <w:tcW w:w="114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45"/>
        </w:trPr>
        <w:tc>
          <w:tcPr>
            <w:tcW w:w="2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11,115,561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$(331,647,755)</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$375,044,145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43,397,504</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Impact of ASU 2023-08</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adoption (Note 1)</w:t>
            </w:r>
          </w:p>
        </w:tc>
        <w:tc>
          <w:tcPr>
            <w:tcW w:w="4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99,292</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99,292</w:t>
            </w: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Stronghold Digital</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Mining, Inc.</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(32,507,000)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(32,507,000)</w:t>
            </w: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(5,588,300)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(5,588,300)</w:t>
            </w: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Maximum redemption right</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[Common V</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8,879,955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8,879,955</w:t>
            </w: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5,093,193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5,093,193</w:t>
            </w: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Vesting of restricted stock</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882,410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 warrants</w:t>
            </w:r>
          </w:p>
        </w:tc>
        <w:tc>
          <w:tcPr>
            <w:tcW w:w="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1,299,969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settle payables</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25,544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175,299</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175,302</w:t>
            </w: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Series D</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5"/>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40" w:type="dxa"/>
            <w:vAlign w:val="bottom"/>
          </w:tcPr>
          <w:p>
            <w:pPr>
              <w:spacing w:after="0"/>
              <w:rPr>
                <w:sz w:val="22"/>
                <w:szCs w:val="22"/>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1,414,117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(19,637)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(19,497)</w:t>
            </w:r>
          </w:p>
        </w:tc>
      </w:tr>
      <w:tr>
        <w:trPr>
          <w:trHeight w:val="180"/>
        </w:trPr>
        <w:tc>
          <w:tcPr>
            <w:tcW w:w="2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 September 30,</w:t>
            </w:r>
          </w:p>
        </w:tc>
        <w:tc>
          <w:tcPr>
            <w:tcW w:w="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8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center"/>
              <w:ind w:right="3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14,737,601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c>
          <w:tcPr>
            <w:tcW w:w="2280" w:type="dxa"/>
            <w:vAlign w:val="bottom"/>
            <w:gridSpan w:val="4"/>
            <w:shd w:val="clear" w:color="auto" w:fill="CCEEFF"/>
          </w:tcPr>
          <w:p>
            <w:pPr>
              <w:jc w:val="right"/>
              <w:ind w:right="80"/>
              <w:spacing w:after="0" w:line="278" w:lineRule="exact"/>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(360,763,808</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380,292,782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19,530,449</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439"/>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6"/>
          </w:tcPr>
          <w:p>
            <w:pPr>
              <w:jc w:val="center"/>
              <w:ind w:left="2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5"/>
        </w:trPr>
        <w:tc>
          <w:tcPr>
            <w:tcW w:w="2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Convertible Preferred</w:t>
            </w:r>
          </w:p>
        </w:tc>
        <w:tc>
          <w:tcPr>
            <w:tcW w:w="40" w:type="dxa"/>
            <w:vAlign w:val="bottom"/>
          </w:tcPr>
          <w:p>
            <w:pPr>
              <w:spacing w:after="0"/>
              <w:rPr>
                <w:sz w:val="21"/>
                <w:szCs w:val="21"/>
                <w:color w:val="auto"/>
              </w:rPr>
            </w:pPr>
          </w:p>
        </w:tc>
        <w:tc>
          <w:tcPr>
            <w:tcW w:w="1380" w:type="dxa"/>
            <w:vAlign w:val="bottom"/>
            <w:gridSpan w:val="6"/>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Common A</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4"/>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top w:val="single" w:sz="8" w:color="auto"/>
            </w:tcBorders>
            <w:gridSpan w:val="3"/>
          </w:tcPr>
          <w:p>
            <w:pPr>
              <w:jc w:val="right"/>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Series C</w:t>
            </w:r>
          </w:p>
        </w:tc>
        <w:tc>
          <w:tcPr>
            <w:tcW w:w="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top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Series D</w:t>
            </w: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40" w:type="dxa"/>
            <w:vAlign w:val="bottom"/>
          </w:tcPr>
          <w:p>
            <w:pPr>
              <w:spacing w:after="0"/>
              <w:rPr>
                <w:sz w:val="16"/>
                <w:szCs w:val="16"/>
                <w:color w:val="auto"/>
              </w:rPr>
            </w:pPr>
          </w:p>
        </w:tc>
        <w:tc>
          <w:tcPr>
            <w:tcW w:w="114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45"/>
        </w:trPr>
        <w:tc>
          <w:tcPr>
            <w:tcW w:w="2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2023</w:t>
            </w: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3,171,022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$(240,443,302)</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$323,468,129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83,025,144</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Stronghold Digital</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Mining, Inc.</w:t>
            </w:r>
          </w:p>
        </w:tc>
        <w:tc>
          <w:tcPr>
            <w:tcW w:w="4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(54,000,873)</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(54,000,873)</w:t>
            </w: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attributable to</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(26,663,731)</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(26,663,731)</w:t>
            </w: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Maximum redemption right</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[Common V</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4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(18,690)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(18,690)</w:t>
            </w: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7,603,834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7,603,859</w:t>
            </w: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Vesting of restricted stock</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w:t>
            </w:r>
          </w:p>
        </w:tc>
        <w:tc>
          <w:tcPr>
            <w:tcW w:w="4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337,515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Warrants issued and</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1,739,882</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1,739,882</w:t>
            </w: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 warrants</w:t>
            </w:r>
          </w:p>
        </w:tc>
        <w:tc>
          <w:tcPr>
            <w:tcW w:w="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1,608,195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Redemption of Class V</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1,209,980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1,210,000</w:t>
            </w: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settle payables</w:t>
            </w:r>
          </w:p>
        </w:tc>
        <w:tc>
          <w:tcPr>
            <w:tcW w:w="4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110,289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1,033,178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1,033,189</w:t>
            </w: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April 2023 Private</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Placement</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566,661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941,595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941,652</w:t>
            </w: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ATM Agreement</w:t>
            </w:r>
          </w:p>
        </w:tc>
        <w:tc>
          <w:tcPr>
            <w:tcW w:w="4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1,250,506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8,123,749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8,123,874</w:t>
            </w: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Series C</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preferred</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23,102</w:t>
            </w: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45,386,944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45,386,946</w:t>
            </w: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Series C</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5"/>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382,500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2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 September 30,</w:t>
            </w:r>
          </w:p>
        </w:tc>
        <w:tc>
          <w:tcPr>
            <w:tcW w:w="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8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21,572</w:t>
            </w:r>
          </w:p>
        </w:tc>
        <w:tc>
          <w:tcPr>
            <w:tcW w:w="54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7,876,688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c>
          <w:tcPr>
            <w:tcW w:w="2280" w:type="dxa"/>
            <w:vAlign w:val="bottom"/>
            <w:gridSpan w:val="4"/>
            <w:shd w:val="clear" w:color="auto" w:fill="CCEEFF"/>
          </w:tcPr>
          <w:p>
            <w:pPr>
              <w:jc w:val="right"/>
              <w:ind w:right="80"/>
              <w:spacing w:after="0" w:line="278" w:lineRule="exact"/>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(321,126,596</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389,507,374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68,381,568</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900" w:right="339" w:bottom="42"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(38,095,300)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(80,664,604)</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27,428,863</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26,025,021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41,230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39,153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2,189,252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Realized loss on sale of miner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494,087</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value of 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399,192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154,419</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5,093,193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28,960,947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(8,445,247)</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(5,580,453)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adjustments for loss contingencies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5,253,238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584,510</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(229,485)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digital currencies: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Mining revenue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(52,075,961)</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(43,778,958)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proceeds from sale of digital currencies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54,737,513</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42,563,545</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(1,133,062)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4,218,459</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5,174,903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(211,870)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(91,617)</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1,381,634</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(896,572)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(643,132)</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(1,445,109)</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to related parties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730,357</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(239,230)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(543,442)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liabilities, including contract liabilities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7,888,095</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(211,225)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(USED IN) OPERATING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8,548,842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(3,288,433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(749,528)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(14,743,269)</w:t>
            </w:r>
          </w:p>
        </w:tc>
        <w:tc>
          <w:tcPr>
            <w:tcW w:w="0" w:type="dxa"/>
            <w:vAlign w:val="bottom"/>
          </w:tcPr>
          <w:p>
            <w:pPr>
              <w:spacing w:after="0"/>
              <w:rPr>
                <w:sz w:val="1"/>
                <w:szCs w:val="1"/>
                <w:color w:val="auto"/>
              </w:rPr>
            </w:pPr>
          </w:p>
        </w:tc>
      </w:tr>
      <w:tr>
        <w:trPr>
          <w:trHeight w:val="237"/>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plant and equipment, including CIP</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221,212</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(14,743,269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(3,668,304)</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(3,196,644)</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financed insurance premiums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(4,075,388)</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(5,250,538)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debt, net of issuance costs paid in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(147,385)</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private placements, net of issuance costs paid in cash</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9,824,567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ATM, net of issuance costs paid in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PROVIDED BY FINANCING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(7,743,692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9,714,298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276,834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(8,317,404)</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4,214,613</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13,296,703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4,491,447</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4,979,299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STRONGHOLD DIGITAL MINING, INC. NOTES TO CONDENSED CONSOLIDATED FINANCIAL STATEMENTS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ind w:firstLine="4"/>
        <w:spacing w:after="0" w:line="253" w:lineRule="auto"/>
        <w:rPr>
          <w:sz w:val="20"/>
          <w:szCs w:val="20"/>
          <w:color w:val="auto"/>
        </w:rPr>
      </w:pPr>
      <w:r>
        <w:rPr>
          <w:rFonts w:ascii="Times New Roman" w:cs="Times New Roman" w:eastAsia="Times New Roman" w:hAnsi="Times New Roman"/>
          <w:sz w:val="18"/>
          <w:szCs w:val="18"/>
          <w:color w:val="auto"/>
        </w:rPr>
        <w:t>Stronghold Digital Mining, Inc. (“Stronghold Inc.” or the “Company”) is a low-cost, environmentally beneficial, vertically integrated crypto asset mining company focused on mining Bitcoin and environmental remediation and reclamation services. The Company wholly owns and operates two coal refuse power generation facilities that it has upgraded: (i) the Company’s first reclamation facility located on a 650-acre site in Scrubgrass Township, Venango County, Pennsylvania, which the Company acquired the remaining interest of in April 2021, and has the capacity to generate approximately 83.5 megawatts (“MW”) of electricity (the “Scrubgrass Plant”); and (ii) a facility located near Nesquehoning, Pennsylvania, which the Company acquired in November 2021, and has the capacity to generate approximately 80 MW of electricity (the “Panther Creek Plant,” and collectively with the Scrubgrass Plant, the “Plants”). Both facilities qualify as an Alternative Energy System because coal refuse is classified under Pennsylvania law as a Tier II Alternative Energy Source (large-scale hydropower is also classified in this tier). The Company is committed to generating energy and managing its assets sustainably, and the Company believes that it is one of the first vertically integrated crypto asset mining companies with a focus on environmentally beneficial operations.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Stronghold Inc. operates in two business segments – the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segment and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 This segment presentation is consistent with how the Company’s chief operating decision maker evaluates financial performance and makes resource allocation and strategic decisions about the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two qualifying small power production facilities under the provisions of the Public Utilities Regulatory Policies Act of 1978 and sells its electricity into the PJM Interconnection Merchant Market (“PJM”) under a Professional Services Agreement (“PSA”) with Customized Energy Solutions (“CES”), effective July 27, 2022. Under the PSA, CES agreed to act as the exclusive provider of services for the benefit of the Company related to interfacing with PJM, including handling daily marketing, energy scheduling, telemetry, capacity management, reporting, and other related services for the Plants. The initial term of the agreement is two years, and then will extend automatically on an annual basis unless terminated by either party with 60 days written (or electronic) notice prior to the current term end. The Company’s primary fuel source is waste coal which is provided by various third parties. Waste coal tax credits are earned by the Company by generating electricity utilizing coal refuse.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also a vertically integrated Bitcoin mining business. The Company buys and maintains a fleet of Bitcoin miners, as well as the required infrastructure, and provides power to third-party Bitcoin miners under hosting agreements. The Bitcoin mining operations are in their early stages, and Bitcoin and energy pricing mining economics are volatile and subject to uncertainty. The Company’s current strategy will continue to expose it to the numerous risks and volatility associated with the Bitcoin mining and power generation sectors, including fluctuating Bitcoin-to-U.S.-Dollar prices, the costs and availability of Bitcoin miners, the number of market participants mining Bitcoin, the availability of other power generation facilities to expand operations, and regulatory changes.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(As Restated)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balance sheet as of September 30, 2024, the unaudited condensed consolidated statements of operations and stockholders’ equity for the three and nine months ended September 30, 2024, and 2023, and the unaudited condensed consolidated statements of cash flows for the nine months ended September 30, 2024, and 2023, have been prepared by the Company. In the opinion of management, all adjustments, consisting of only normal and recurring adjustments necessary to present fairly the financial position, results of operations and cash flows for the periods presented, have been made. The results of operations for the three and nine months ended September 30, 2024, are not necessarily indicative of the operating results expected for the full year.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Company’s Annual Report on Form 10-K for the year ended December 31, 2023. Certain information and footnote disclosures normally included in the annual financial statements, prepared in accordance with accounting principles generally accepted in the United States of America (“GAAP”), have been condensed or omitted. Certain reclassifications of amounts previously reported have been made to the accompanying condensed consolidated financial statements in order to conform to current presentation. Additionally, since there are no differences between net income (loss) and comprehensive income (loss), all references to comprehensive income (loss) have been excluded from the condensed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2023, following approval by the Board of Directors and stockholders of the Company, the Company effected a 1-for-10 reverse stock split (“Reverse Stock Split”) of its Class A common stock, par value $0.0001 per share, and Class V common stock, par value $0.0001 per share. The par values of the Company’s Class A and Class V common stock were not adjusted as a result of the Reverse Stock Split. All share and per share amounts and related stockholders’ equity balances presented herein have been retroactively adjusted to reflect the Reverse Stock Split.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Bitfarms Merger Agreement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August 21, 2024, the Company entered into an Agreement and Plan of Merger (the “Merger Agreement”) with Bitfarms Ltd., a corporation incorporated under the Canada Business Corporations Act and continued under the Business Corporations Act (Ontario) (the “OBCA”) (“Bitfarms” or “Parent”), Backbone Mining Solutions LLC, a Delaware limited liability company and a wholly-owned, indirect subsidiary of Parent (“BMS”), and HPC &amp; AI Megacorp, Inc., a Delaware corporation and a wholly-owned, direct subsidiary of BMS (“Merger Sub”), pursuant to which Merger Sub will be merged with and into the Company (the “merger”), with the Company surviving the merger as an indirect, wholly-owned subsidiary of Bitfarms. The Merger Agreement has been unanimously approved by the Boards of Directors of the Company and Bitfarms and is expected to close in the first quarter of 2025, subject to the receipt of Stronghold stockholder approval, applicable regulatory approvals, certain third-party consents and other customary closing conditions. Under the terms of the Merger Agreement, upon the closing of the merger, holders of Class A common stock (including holders of Series C Preferred Stock and holders of Class V common stock whose shares will convert into or be exchanged for shares of Class A common stock immediately prior to the closing of the merger) will receive 2.52 Bitfarms common shares for each share of Class A common stock they own. Refer to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in this Quarterly Report on Form 10-Q for risks associated with the Company’s proposed merger with Bitfarms.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Restatement of Previously Issued Financial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2024, the Company corrected an error in its revenue recognition policy with respect to its Bitcoin miner hosting contracts to be consistent with GAAP, which requires an entity to measure noncash consideration using the estimated fair value of the consideration at contract inception. Instead of measuring the noncash (Bitcoin) consideration at the time of each hosting contract’s inception, the Company measured the noncash (Bitcoin) consideration in prior periods on a daily basis, as each Bitcoin was awarded. The Company has two hosting contracts with customers that are currently in operation, for which the quoted price of Bitcoin in the Company’s principal market at the time of each contract’s inception was approximately $23,000 and $30,000. Further information regarding the Company’s corrected revenue recognition policy is described below.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change in measurement had a $0 impact on the Company’s net loss for all quarterly periods in 2024, and therefore, the Company initially determined the resulting impact was an immaterial classification error in the Company’s condensed consolidated statements of operations. Accordingly, the Company corrected this error in its revenue recognition policy beginning on the first day of the third quarter of 2024, but the Company did not record the cumulative impact of the correction from the first and second quarters of 2024 in its unaudited condensed consolidated statements of operations for the third quarter of 2024. The cumulative impact of correcting this error from the first and second quarters of 2024, using the approaches described in Staff Accounting Bulletins No. 99 and No. 108, is a decrease to cryptocurrency hosting revenues of $3,145,003 and equal and offsetting changes to realized gain on sale of digital currencies (increase of $3,257,827) and unrealized gain/loss on digital currencies (decrease of $112,824) for the three and nine months ended September 30, 2024. As such, the cumulative impact of correcting this error does not change the Company’s previously reported net loss for any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Topic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the Company evaluated the materiality of this error on the consolidated financial statements as of and for the year ended December 31, 2023, and the unaudited consolidated financial statements as of and for the quarters and year-to-date periods ended March 31, 2023, June 30, 2023, September 30, 2023, March 31, 2024, and June 30, 2024. The Company determined that this error did not result in a material misstatement (quantitatively or qualitatively) to the Company’s financial condition, results of operations or liquidity for any of the current year or prior year periods. However, subsequent to the filing of the Original Form 10-Q and following the SEC’s 14-month review process, the SEC communicated its disagreement with the Company’s materiality assessment for the 2024 quarterly periods and, consequently, how the Company corrected the error in its condensed consolidated statements of operations for the three and nine months ended September 30, 2024. Accordingly, in connection with the SEC’s review, the Company reevaluated its materiality assessment for the 2024 quarterly periods and concluded that the cumulative classification error totaling $3,145,003 was material to the Company’s results of operations and should have been recorded in its unaudited condensed consolidated financial statements for the three and nine months ended September 30, 2024.</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additionally notes that, had it corrected this error in the prior year as of December 31, 2023, its adoption of the Financial Accounting Standards Board (“FASB”) ASU 2023-08, </w:t>
      </w:r>
      <w:r>
        <w:rPr>
          <w:rFonts w:ascii="Times New Roman" w:cs="Times New Roman" w:eastAsia="Times New Roman" w:hAnsi="Times New Roman"/>
          <w:sz w:val="18"/>
          <w:szCs w:val="18"/>
          <w:i w:val="1"/>
          <w:iCs w:val="1"/>
          <w:color w:val="auto"/>
        </w:rPr>
        <w:t>Intangibles – Goodwill and Other – Crypto Assets (Subtopic 350-60)</w:t>
      </w:r>
      <w:r>
        <w:rPr>
          <w:rFonts w:ascii="Times New Roman" w:cs="Times New Roman" w:eastAsia="Times New Roman" w:hAnsi="Times New Roman"/>
          <w:sz w:val="18"/>
          <w:szCs w:val="18"/>
          <w:color w:val="auto"/>
        </w:rPr>
        <w:t>, which requires crypto assets to be recorded at fair value, would have been different. The Company adopted ASU 2023-08 in the current year as of January 1, 2024, and recorded a cumulative-effect adjustment to increase the opening balance of retained earnings by $99,292; but including the impact of correcting this error, the cumulative-effect adjustment to retained earnings would have increased by $192,237. The Company’s adoption of ASU 2023-08 in the current year, however, corrected the cumulative balance sheet impact of this error. For this reason, there is no cumulative adjustment to correct the immaterial impact to the 2023 periods during the third quarter of 2024. Additionally, given the immaterial nature of this error (quantitatively and qualitatively) for all prior year periods, the Company has not corrected this immaterial prior-period error in the current year presentation of comparative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impact of the restatement to the specific line items presented in the Company’s previously reported unaudited condensed consolidated financial statements for the three and nine months ended September 30, 2024.</w:t>
      </w:r>
    </w:p>
    <w:p>
      <w:pPr>
        <w:sectPr>
          <w:pgSz w:w="11900" w:h="16838" w:orient="portrait"/>
          <w:cols w:equalWidth="0" w:num="1">
            <w:col w:w="11240"/>
          </w:cols>
          <w:pgMar w:left="320" w:top="9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0" w:right="555"/>
        <w:spacing w:after="0" w:line="362" w:lineRule="auto"/>
        <w:rPr>
          <w:sz w:val="20"/>
          <w:szCs w:val="20"/>
          <w:color w:val="auto"/>
        </w:rPr>
      </w:pPr>
      <w:r>
        <w:rPr>
          <w:rFonts w:ascii="Times New Roman" w:cs="Times New Roman" w:eastAsia="Times New Roman" w:hAnsi="Times New Roman"/>
          <w:sz w:val="17"/>
          <w:szCs w:val="17"/>
          <w:color w:val="auto"/>
        </w:rPr>
        <w:t>Cryptocurrency hosting Total operating revenues</w:t>
      </w:r>
    </w:p>
    <w:p>
      <w:pPr>
        <w:spacing w:after="0" w:line="99" w:lineRule="exact"/>
        <w:rPr>
          <w:sz w:val="20"/>
          <w:szCs w:val="20"/>
          <w:color w:val="auto"/>
        </w:rPr>
      </w:pPr>
    </w:p>
    <w:p>
      <w:pPr>
        <w:ind w:left="220" w:right="95"/>
        <w:spacing w:after="0" w:line="271" w:lineRule="auto"/>
        <w:rPr>
          <w:sz w:val="20"/>
          <w:szCs w:val="20"/>
          <w:color w:val="auto"/>
        </w:rPr>
      </w:pPr>
      <w:r>
        <w:rPr>
          <w:rFonts w:ascii="Times New Roman" w:cs="Times New Roman" w:eastAsia="Times New Roman" w:hAnsi="Times New Roman"/>
          <w:sz w:val="18"/>
          <w:szCs w:val="18"/>
          <w:color w:val="auto"/>
        </w:rPr>
        <w:t>Realized gain on sale of digital currencies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45"/>
        </w:trPr>
        <w:tc>
          <w:tcPr>
            <w:tcW w:w="41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7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r>
      <w:tr>
        <w:trPr>
          <w:trHeight w:val="237"/>
        </w:trPr>
        <w:tc>
          <w:tcPr>
            <w:tcW w:w="11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As Restated</w:t>
            </w:r>
          </w:p>
        </w:tc>
      </w:tr>
    </w:tbl>
    <w:p>
      <w:pPr>
        <w:spacing w:after="0" w:line="198" w:lineRule="exact"/>
        <w:rPr>
          <w:sz w:val="20"/>
          <w:szCs w:val="20"/>
          <w:color w:val="auto"/>
        </w:rPr>
      </w:pPr>
    </w:p>
    <w:p>
      <w:pPr>
        <w:ind w:left="425" w:hanging="425"/>
        <w:spacing w:after="0"/>
        <w:tabs>
          <w:tab w:leader="none" w:pos="4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1,911,610   $   (3,145,003)  $   (1,233,393)  $   11,193,438   $   (3,145,003)  $   8,048,435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-119380</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tbl>
      <w:tblPr>
        <w:tblLayout w:type="fixed"/>
        <w:tblInd w:w="5" w:type="dxa"/>
        <w:tblCellMar>
          <w:top w:w="0" w:type="dxa"/>
          <w:left w:w="0" w:type="dxa"/>
          <w:bottom w:w="0" w:type="dxa"/>
          <w:right w:w="0" w:type="dxa"/>
        </w:tblCellMar>
      </w:tblPr>
      <w:tr>
        <w:trPr>
          <w:trHeight w:val="20"/>
        </w:trPr>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11,168,073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(3,145,003)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8,023,070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57,794,397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(3,145,003)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54,649,394</w:t>
            </w:r>
          </w:p>
        </w:tc>
        <w:tc>
          <w:tcPr>
            <w:tcW w:w="60" w:type="dxa"/>
            <w:vAlign w:val="bottom"/>
          </w:tcPr>
          <w:p>
            <w:pPr>
              <w:spacing w:after="0"/>
              <w:rPr>
                <w:sz w:val="19"/>
                <w:szCs w:val="19"/>
                <w:color w:val="auto"/>
              </w:rPr>
            </w:pPr>
          </w:p>
        </w:tc>
      </w:tr>
      <w:tr>
        <w:trPr>
          <w:trHeight w:val="628"/>
        </w:trPr>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(719,795)</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(3,257,827)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(3,977,622)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(1,100,214)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(3,257,827)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(4,358,041)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-409575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55" w:space="720"/>
            <w:col w:w="7965"/>
          </w:cols>
          <w:pgMar w:left="320" w:top="902"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32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Unrealized loss (gain) on digital</w:t>
            </w: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68"/>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33,783</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112,824</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146,607</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(113,438)</w:t>
            </w: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112,824</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r>
      <w:tr>
        <w:trPr>
          <w:trHeight w:val="210"/>
        </w:trPr>
        <w:tc>
          <w:tcPr>
            <w:tcW w:w="32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28,751,780</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(3,145,003</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25,606,777</w:t>
            </w:r>
          </w:p>
        </w:tc>
        <w:tc>
          <w:tcPr>
            <w:tcW w:w="1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97,601,885</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(3,145,003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94,456,882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(17,583,707)  $</w:t>
            </w: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(17,583,707)  $</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(39,807,488)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(39,807,488)</w:t>
            </w:r>
          </w:p>
        </w:tc>
      </w:tr>
      <w:tr>
        <w:trPr>
          <w:trHeight w:val="27"/>
        </w:trPr>
        <w:tc>
          <w:tcPr>
            <w:tcW w:w="3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53"/>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237"/>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c>
          <w:tcPr>
            <w:tcW w:w="100" w:type="dxa"/>
            <w:vAlign w:val="bottom"/>
          </w:tcPr>
          <w:p>
            <w:pPr>
              <w:spacing w:after="0"/>
              <w:rPr>
                <w:sz w:val="20"/>
                <w:szCs w:val="20"/>
                <w:color w:val="auto"/>
              </w:rPr>
            </w:pPr>
          </w:p>
        </w:tc>
      </w:tr>
      <w:tr>
        <w:trPr>
          <w:trHeight w:val="216"/>
        </w:trPr>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(38,095,300)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(38,095,300)</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digital currencies: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Mining revenue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(51,963,137)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(112,824)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(52,075,961)</w:t>
            </w:r>
          </w:p>
        </w:tc>
      </w:tr>
      <w:tr>
        <w:trPr>
          <w:trHeight w:val="237"/>
        </w:trPr>
        <w:tc>
          <w:tcPr>
            <w:tcW w:w="3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(113,438)</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112,824</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r>
      <w:tr>
        <w:trPr>
          <w:trHeight w:val="236"/>
        </w:trPr>
        <w:tc>
          <w:tcPr>
            <w:tcW w:w="49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8,548,842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8,548,842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42"/>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A-3-9</w:t>
            </w: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auto"/>
        </w:rPr>
        <w:t>Revenue Recognition Accounting Policy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disclosure represents the Company’s corrected revenue recognition policy specific to its cryptocurrency hosting revenues. Except for the updates noted below, refer to the Company’s Annual Report on Form 10-K for the year ended December 31, 2023, for a detailed discussion of the Company’s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Cryptocurrency Hosting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customer hosting contracts whereby the Company promises to unload, install, provision, maintain, and operate the hosted Bitcoin mining machines located at the Company’s premises, which includes hosting services comprised of electrical power, internet access, racking infrastructure, general maintenance and operations as instructed in writing by the customer, ambient cooling, and miner reboots. Each of these promises is not separately identifiable from the other promises in the Company’s hosting contracts and, therefore, represents a single performance obligation to provide an integrated hosting service.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two customer hosting contracts that are currently in operation for initial terms of 24 months ending December 31, 2024, and April 30, 2025, that automatically renew for additional one-year periods unless one party notifies the other in writing at least 60 days prior to the conclusion of the then-current term. Neither the Company nor the customers can cancel or terminate the hosting agreements without penalty before the initial terms of 24 months elapse. Therefore, the accounting duration of the hosting contracts is two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the renewal options do not provide a material right to the hosting customers because the price charged for the Company’s integrated hosting service approximates the standalone selling price in total. Because each contract’s renewal option does not provide a material right to the hosting customers, the Company has concluded that the renewal option is not a performance obligation that requires an allocation of the transaction price. Therefore, the Company will recognize revenue for the integrated hosting service to be provided during the additional one-year renewal periods only if and when the Company provides those services.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consideration of the Company’s hosting contracts is comprised of (i) the variable cost-of-power fee, denominated in cash, and (ii) a portion of the Bitcoin mined by the customers’ Bitcoin mining machines that the Company hosts, denominated in Bitcoin. The promised amount of consideration does not include a significant financing component and, therefore, is not adjusted for the effects of the time value of money in determining the transaction price.</w:t>
      </w:r>
    </w:p>
    <w:p>
      <w:pPr>
        <w:spacing w:after="0" w:line="176" w:lineRule="exact"/>
        <w:rPr>
          <w:sz w:val="20"/>
          <w:szCs w:val="20"/>
          <w:color w:val="auto"/>
        </w:rPr>
      </w:pPr>
    </w:p>
    <w:p>
      <w:pPr>
        <w:jc w:val="both"/>
        <w:ind w:left="660" w:hanging="328"/>
        <w:spacing w:after="0" w:line="254"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cost-of-power fee is directly tied to the energy used by the hosted Bitcoin mining machines and calculated as 50% of the energy used by the Bitcoin mining machines multiplied by a formulaically derived rate. This rate is calculated by dividing (1) all fuel costs, operations and maintenance expenses, general and administrative expenses, and financing charges incurred (subject to certain adjustments), multiplied by 110%, by (2) the total number of megawatt hours generated and purchased from the grid to supply the data center. All estimates associated with the variable cost-of-power consideration are fully constrained. The Company only includes the variable cost-of-power consideration in the transaction price to the extent it is probable that a significant reversal in the amount of cumulative revenue recognized will not occur when the uncertainty associated with the variable consideration is subsequently resolved. Therefore, each quarterly reporting period when the uncertainty is resolved, the Company includes in the transaction price the actual amount of the variable cost-of-power-fee and, at that point, reassesses the estimated transaction price to determine whether an estimate of the variable consideration over the remaining two-year contract term is fully constrained.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portion of the Bitcoin mined by the customers’ Bitcoin mining machines that the Company hosts, or 50%, is also variable but in the form of noncash (Bitcoin) consideration. All estimates associated with the Company’s portion of the variable Bitcoin mined by the customers’ hosted Bitcoin mining machines are fully constrained. ASC 606 requires an entity to measure noncash consideration using the estimated fair value of the consideration at contract inception. The Company has two hosting contracts with customers that are currently in operation, for which the quoted price of Bitcoin in the Company’s principal market at the time of each contract’s inception was approximately $23,000 and $30,000. The Company only includes the variable noncash (Bitcoin) consideration in the transaction price to the extent it is probable that a significant reversal in the amount of cumulative revenue recognized will not occur when the uncertainty associated with the variable consideration is subsequently resolved. Therefore, each quarterly reporting period when the uncertainty is resolved, the Company includes in the transaction price the noncash (Bitcoin) consideration equal to the product of (1) the Company’s portion of the Bitcoin mined by the customers’ hosted Bitcoin mining machines during the reporting period, and (2) the quoted price of Bitcoin in the Company’s principal market at the time of each contract’s inception. At the end of each quarterly reporting period, the Company also reassesses the estimated transaction price to determine whether an estimate of the variable consideration over the remaining two-year contract term is fully constrained. Subsequent changes in the fair value of such noncash consideration that are due to the form of the consideration (i.e., fluctuations in the value of Bitcoin) are excluded from the transaction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spacing w:after="0" w:line="282" w:lineRule="auto"/>
        <w:rPr>
          <w:sz w:val="20"/>
          <w:szCs w:val="20"/>
          <w:color w:val="auto"/>
        </w:rPr>
      </w:pPr>
      <w:r>
        <w:rPr>
          <w:rFonts w:ascii="Times New Roman" w:cs="Times New Roman" w:eastAsia="Times New Roman" w:hAnsi="Times New Roman"/>
          <w:sz w:val="18"/>
          <w:szCs w:val="18"/>
          <w:color w:val="auto"/>
        </w:rPr>
        <w:t>Because there is only one performance obligation – to provide an integrated hosting service to the Company’s hosting customers – all of the transaction price described above is allocated to the single performance obligation for revenue recognition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the transaction price over time as the Company satisfies its performance obligation to provide an integrated hosting service. Throughout the two-year term of the hosting contracts, the hosting customers simultaneously receive and consume the benefits provided by the Company’s performance of its integrated hosting service. The Company has a right to consideration from its hosting customers in amounts that correspond directly with the value to the customer of the Company’s performance completed to date. Therefore, the Company has adopted the practical expedient under ASC 606-10-55-18, which permits an entity to recognize revenue in the amount to which the entity has a right to invoice. The amount to which the Company has a right to invoice, and therefore recognize revenue, includes the actual cost-of-power and Bitcoin mining components of the transaction price that are updated each quarterly reporting period. For the three and nine months ended September 30, 2024, the Company recognized cryptocurrency hosting revenues of $1,266,097 and $4,399,662, respectively, for the cost-of-power component of the transaction price, and $(2,499,490) and $3,648,773, respectively, for the Company’s portion of Bitcoin mined by the customer’s hosted Bitcoin mining machines.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Advance payments and customer deposits are recorded as contract liabilities, within other noncurrent liabilities or accrued liabilities as applicable, in the consolidated balance sheet. As of September 30, 2024, and December 31, 2023, the Company had contract liability balances of approximately $0.5 million and $0.2 million, respectively, associated with its two customer hosting contracts that are currently in operation. In September 2024, the Company entered into a third hosting contract that resulted in an additional contract liability balance of approximately $8.0 million as of September 30, 2024, comprised of a customer deposit of $7.8 million and an advance payment of approximately $0.2 million. This third hosting contract is not currently in operation but will become operational during the fourth quarter of 2024. Additionally, refer to </w:t>
      </w:r>
      <w:r>
        <w:rPr>
          <w:rFonts w:ascii="Times New Roman" w:cs="Times New Roman" w:eastAsia="Times New Roman" w:hAnsi="Times New Roman"/>
          <w:sz w:val="18"/>
          <w:szCs w:val="18"/>
          <w:i w:val="1"/>
          <w:iCs w:val="1"/>
          <w:color w:val="auto"/>
        </w:rPr>
        <w:t>Note 21 – Subsequent Events</w:t>
      </w:r>
      <w:r>
        <w:rPr>
          <w:rFonts w:ascii="Times New Roman" w:cs="Times New Roman" w:eastAsia="Times New Roman" w:hAnsi="Times New Roman"/>
          <w:sz w:val="18"/>
          <w:szCs w:val="18"/>
          <w:color w:val="auto"/>
        </w:rPr>
        <w:t xml:space="preserve"> for information about a fourth hosting contract the Company entered into after quarter end on October 29,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recognized cryptocurrency hosting revenues of approximately $0.4 million and $0.2 million, respectively, that were included in contract liabilities at the beginning of each respective period. The Company had no accounts receivable balances as of September 30, 2024, and December 31, 2023, associated with its two customer hosting contracts that are currently in operation.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Implemented Accounting Pronouncements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adds a new impairment model, known as the current expected credit loss (“CECL”) model, that is based on expected losses rather than incurred losses. Under the new guidance, an entity recognizes an allowance for its estimate of expected credit losses at the initial recognition of an in-scope financial instrument and applies it to most debt instruments, trade receivables, lease receivables, financial guarantee contracts, and other loan commitments. The CECL model does not have a minimum threshold for recognition of impairment losses, and entities will need to measure expected credit losses on assets that have a low risk of loss. Since the Company is a smaller reporting company, as defined by the U.S. Securities and Exchange Commission (the “SEC”), the new guidance became effective on January 1, 2023. The Company adopted ASU 2016-13 effective January 1, 2023, but the adoption of ASU 2016-13 did not have an impact on the Company’s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 – Goodwill and Other - Crypto Assets (Subtopic 350-60)</w:t>
      </w:r>
      <w:r>
        <w:rPr>
          <w:rFonts w:ascii="Times New Roman" w:cs="Times New Roman" w:eastAsia="Times New Roman" w:hAnsi="Times New Roman"/>
          <w:sz w:val="18"/>
          <w:szCs w:val="18"/>
          <w:color w:val="auto"/>
        </w:rPr>
        <w:t xml:space="preserve">, which requires all entities holding crypto assets that meet certain requirements to subsequently measure those in-scope crypto assets at fair value, with the remeasurement recorded in net income. Among other things, the new guidance also requires separate presentation of (i) the gain or loss associated with remeasurement of crypto assets on the income statement and (ii) crypto assets from other intangible assets on the balance sheet. Before this new guidance, crypto assets were generally accounted for as indefinite-lived intangible assets, which follow a cost-less-impairment accounting model that only reflects decreases, but not increases, in the fair value of crypto assets holdings until sold. Although early adoption is permitted, the new guidance becomes effective on January 1, 2025, and should be applied using a modified retrospective transition method with a cumulative-effect adjustment recorded to the opening balance of retained earnings as of the beginning of the year of adoption. The Company adopted ASU 2023-08 as of January 1, 2024, and the cumulative adjustment increased the opening balance of retained earnings by $99,292. See </w:t>
      </w:r>
      <w:r>
        <w:rPr>
          <w:rFonts w:ascii="Times New Roman" w:cs="Times New Roman" w:eastAsia="Times New Roman" w:hAnsi="Times New Roman"/>
          <w:sz w:val="18"/>
          <w:szCs w:val="18"/>
          <w:i w:val="1"/>
          <w:iCs w:val="1"/>
          <w:color w:val="auto"/>
        </w:rPr>
        <w:t>Note 2 – Digital Currencies (As Restated)</w:t>
      </w:r>
      <w:r>
        <w:rPr>
          <w:rFonts w:ascii="Times New Roman" w:cs="Times New Roman" w:eastAsia="Times New Roman" w:hAnsi="Times New Roman"/>
          <w:sz w:val="18"/>
          <w:szCs w:val="18"/>
          <w:color w:val="auto"/>
        </w:rPr>
        <w:t xml:space="preserve"> for more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2024, there have been no recently issued accounting pronouncements applicable to the Company. However, the Company continues to evaluate the impact of the following accounting pronouncements issued during the prior year.</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requires public entities to disclose significant segment expenses and other segment items on an annual and interim basis and to provide in interim periods all disclosures about a reportable segment’s profit or loss and assets that are currently required annually. Additionally, public entities with a single reportable segment will be required to provide the new disclosures and all the disclosures required under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Although early adoption is permitted, this new guidance becomes effective for fiscal years beginning after December 15, 2023, and interim periods within fiscal years beginning after December 15, 2024, on a retrospective basis. The Company is currently evaluating the impact of adopting this new guidance on its interim and annual consolidated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enhance the transparency and decision-usefulness of income tax disclosures, particularly in the rate reconciliation table and disclosures about income taxes paid. Although early adoption is permitted, this new guidance becomes effective for annual periods beginning after December 15, 2024, on a prospective basis. The Company is currently evaluating the impact of adopting this new guidance on its interim and annual consolidated financial statements and related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DIGITAL CURRENCIES (As Restated)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held an aggregate amount of $613,949 in digital currencies comprised of unrestricted Bitcoin. Changes in digital currencies consisted of the following for the three and nine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gridSpan w:val="2"/>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currencies at beginning of period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253,710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1,429,653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3,175,595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109,827</w:t>
            </w:r>
          </w:p>
        </w:tc>
        <w:tc>
          <w:tcPr>
            <w:tcW w:w="80" w:type="dxa"/>
            <w:vAlign w:val="bottom"/>
            <w:shd w:val="clear" w:color="auto" w:fill="CCEEFF"/>
          </w:tcPr>
          <w:p>
            <w:pPr>
              <w:spacing w:after="0"/>
              <w:rPr>
                <w:sz w:val="18"/>
                <w:szCs w:val="18"/>
                <w:color w:val="auto"/>
              </w:rPr>
            </w:pPr>
          </w:p>
        </w:tc>
      </w:tr>
      <w:tr>
        <w:trPr>
          <w:trHeight w:val="257"/>
        </w:trPr>
        <w:tc>
          <w:tcPr>
            <w:tcW w:w="598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Additions of digital currencies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9,648,115</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15,069,008</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52,075,961</w:t>
            </w:r>
          </w:p>
        </w:tc>
        <w:tc>
          <w:tcPr>
            <w:tcW w:w="16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43,778,958</w:t>
            </w: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3,977,622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4,358,041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725,139</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(loss) gain on digital currencies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(146,607)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losses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(357,411)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(683,241)</w:t>
            </w: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digital currencies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(13,118,891)</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(15,630,957)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(59,095,554)</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(43,288,684)</w:t>
            </w:r>
          </w:p>
        </w:tc>
      </w:tr>
      <w:tr>
        <w:trPr>
          <w:trHeight w:val="290"/>
        </w:trPr>
        <w:tc>
          <w:tcPr>
            <w:tcW w:w="598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 xml:space="preserve">Impact of ASU 2023-08 as of January 1, 2024 </w:t>
            </w:r>
            <w:r>
              <w:rPr>
                <w:rFonts w:ascii="Times New Roman" w:cs="Times New Roman" w:eastAsia="Times New Roman" w:hAnsi="Times New Roman"/>
                <w:sz w:val="29"/>
                <w:szCs w:val="29"/>
                <w:color w:val="auto"/>
                <w:vertAlign w:val="superscript"/>
              </w:rPr>
              <w:t>(2)</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99,292</w:t>
            </w:r>
          </w:p>
        </w:tc>
        <w:tc>
          <w:tcPr>
            <w:tcW w:w="1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Digital currencies at end of period</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613,949</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641,999</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613,949</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641,999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Additions of digital currencies were related to mining activities.</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 – Basis of Presentation (As Restated)</w:t>
      </w:r>
      <w:r>
        <w:rPr>
          <w:rFonts w:ascii="Times New Roman" w:cs="Times New Roman" w:eastAsia="Times New Roman" w:hAnsi="Times New Roman"/>
          <w:sz w:val="18"/>
          <w:szCs w:val="18"/>
          <w:color w:val="auto"/>
        </w:rPr>
        <w:t xml:space="preserve"> for more details regarding the Company’s adoption of ASU 2023-08 as of January 1, 2024.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7" w:name="page118"/>
    <w:bookmarkEnd w:id="117"/>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the Company adopted ASU 2023-08 effective January 1, 2024, using a modified retrospective transition method, with a cumulative-effect adjustment of $99,292 recorded to the opening balance of retained earnings. Following the adoption of ASU 2023-08, realized gains (net of realized losses) on the sale of digital currencies were $3,977,622 and $4,358,041 and unrealized (losses)/gains (net of unrealized gains/losses) on digital currencies were $(146,607) and $614 for the three and nine months ended September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with the adoption of ASU 2023-08, the Company no longer accounts for digital currencies as indefinite-live intangible assets, and therefore, no impairment losses have been recognized in the current year period. The Company used a first-in, first-out methodology to determine its cost basis for computing realized gains and losses on the sale of digital currencies. The Company’s Bitcoin mining activities are conducted in the ordinary course of business, and the digital currency assets awarded to the Company by mining pool operators are converted nearly immediately into cash. As such, the Company has classified such cash flows derived from its Bitcoin mining within operating activities in the condensed consolidated statements of cash flows.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Company’s crypto asset holdings consisted of approximately 9.7 Bitcoin with a fair value and carrying value of $613,949. None of these digital currency assets are subject to contractual sale restrictions as of September 30, 2024. The cumulative realized gains and losses from dispositions that occurred during the nine months ended September 30, 2024, totaled $1,637,590 and $537,376, respectively. As of December 31, 2023, the Company’s crypto asset holdings consisted of approximately 76.7 Bitcoin with a carrying value was $3,175,595 and fair value of $3,274,887.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INVENTORY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 components as of September 30, 2024, and December 31,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coal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2,658,462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Fuel oil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113,860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57,642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Limestone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42,856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72,969</w:t>
            </w:r>
          </w:p>
        </w:tc>
      </w:tr>
      <w:tr>
        <w:trPr>
          <w:trHeight w:val="210"/>
        </w:trPr>
        <w:tc>
          <w:tcPr>
            <w:tcW w:w="8680" w:type="dxa"/>
            <w:vAlign w:val="bottom"/>
            <w:tcBorders>
              <w:top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2,815,178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4,196,812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EQUIPMENT DEPOSITS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deposits represent contractual agreements with vendors to deliver and install miners at future dates. The following details the vendor, miner model, miner count, and expected delivery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equipment deposits of $8,000,643 as of December 31, 2023, represent cash paid for the following 5,000 miner assets: (i) 1,100 MicroBT WhatsMiner M50 miners; (ii) 2,800 Bitmain Antminer S19k Pro miners; and (iii) 1,100 Canaan Avalon A1346 miners. These miner assets were all delivered to the Company during the first quarter of 2024, resulting in an equipment deposits balance of $0 as of September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September 30, 2024, and December 31, 2023:</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plant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67,161,300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67,063,626</w:t>
            </w:r>
          </w:p>
        </w:tc>
        <w:tc>
          <w:tcPr>
            <w:tcW w:w="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Strongboxes and power transformers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8 - 30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54,588,284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54,588,284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Karbolith</w:t>
            </w: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493,626</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5 - 20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17,175,420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16,222,214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Rolling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272,267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261,000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machines and powering supplies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89,538,064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88,445,931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106,679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100,536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trailers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658,500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658,500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2,992,845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2,992,845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Not Depreciable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11,290,847</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11,562,170</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580,452</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580,452</w:t>
            </w:r>
          </w:p>
        </w:tc>
        <w:tc>
          <w:tcPr>
            <w:tcW w:w="8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244,858,284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242,475,558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5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(119,886,518)</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(97,832,787)</w:t>
            </w:r>
          </w:p>
        </w:tc>
      </w:tr>
      <w:tr>
        <w:trPr>
          <w:trHeight w:val="210"/>
        </w:trPr>
        <w:tc>
          <w:tcPr>
            <w:tcW w:w="7320" w:type="dxa"/>
            <w:vAlign w:val="bottom"/>
            <w:tcBorders>
              <w:top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5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124,971,766</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144,642,771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Construction in progress consists of various projects to build out the cryptocurrency machine power infrastructure and is not depreciable until the asset is considered in service and successfully powers and runs the attached cryptocurrency machines. Completion of these projects will have various rollouts of energized transformed containers and are designed to calibrate power from the plant to the container that houses multiple cryptocurrency machines. Currently, the balance of $11,290,847 as of September 30, 2024, represents amounts paid for ongoing or future projects.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charged to operations was $8,623,646 and $9,667,213 for the three months ended September 30, 2024, and 2023, respectively, including depreciation of assets under finance leases of $118,727 and $122,762 for the same respective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charged to operations was $27,428,863 and $26,025,021 for the nine months ended September 30, 2024, and 2023, respectively, including depreciation of assets under finance leases of $338,650 and $368,285 for the same respective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value of assets under finance leases and the related accumulated amortization approximated $3,430,357 and $1,759,386 as of September 30, 2024, respectively, and $2,797,265 and $1,420,736 as of December 31,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as of September 30, 2024, and December 31, 2023: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21,485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6,088,271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5,660,028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plant utilities and fuel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329,148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3,505,203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loss contingencies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3,238,295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transaction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2,568,831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776,673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867,448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13,846,663</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10,787,895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debt consisted of the following as of September 30, 2024, and December 31, 2023: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$499,520 loan, with interest at 2.74%, due February 2024.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$517,465 loan, with interest at 4.79%, due November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$119,000 loan, with interest at 7.40%, due December 2026.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$384,055 loan, with interest at 5.25%, due June 2029.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367,147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$585,476 loan, with interest at 4.99%, due November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214,320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345,665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$431,825 loan, with interest at 7.60%, due April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$58,149,411 Credit Agreement, with interest at 10.00% plus SOFR, due October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49,341,042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51,060,896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$92,381 loan, with interest at 1.49%, due April 2026.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$64,136 loan, with interest at 11.85%, due May 2024.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$196,909 loan, with interest at 6.49%, due October 2025.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$249,037 loan, with interest at 4.49%, due April 2029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226,569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$60,679 loan, with interest at 7.60%, due March 2025.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35,963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$3,500,000 Promissory Note, with interest at 7.50%, due October 2025.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$1,184,935 Promissory Note, due June 2024.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592,468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$552,024 Promissory Note, due July 2024.</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552,024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outstanding borrowings</w:t>
            </w: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53,446,035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56,139,909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 net of discounts and issuance fees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19,566,519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7,936,147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 of discounts and issuance fees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33,879,516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color w:val="auto"/>
              </w:rPr>
              <w:t>A-3-15</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auto"/>
        </w:rPr>
        <w:t>WhiteHawk Refinancing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2022, the Company entered into a secured credit agreement (the “Credit Agreement”) with WhiteHawk Finance LLC (“WhiteHawk”) to refinance an existing equipment financing agreement, dated June 30, 2021, by and between Stronghold Digital Mining Equipment, LLC and WhiteHawk (the “WhiteHawk Financing Agreement”). Upon closing, the Credit Agreement consisted of $35.1 million in term loans and $23.0 million in additional commitments.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financing pursuant to the Credit Agreement (such financing, the “WhiteHawk Refinancing Agreement”) was entered into by Stronghold Digital Mining Holdings, LLC (“Stronghold LLC”), as Borrower (in such capacity, the “Borrower”), and is secured by substantially all of the assets of the Company and its subsidiaries and is guaranteed by the Company and each of its material subsidiaries. The WhiteHawk Refinancing Agreement requires equal monthly amortization payments resulting in full amortization at maturity. The WhiteHawk Refinancing Agreement has customary representations, warranties and covenants including restrictions on indebtedness, liens, restricted payments and dividends, investments, asset sales and similar covenants and contains customary events of default.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6, 2023, the Company, Stronghold LLC, as borrower, their subsidiaries and WhiteHawk Capital Partners LP (“WhiteHawk Capital”), as collateral agent and administrative agent, and the other lenders thereto, entered into an amendment to the Credit Agreement (the “First Amendment”) in order to modify certain covenants and remove certain prepayment requirements contained therein. As a result of the First Amendment, amortization payments for the period from February 2023 through July 2024 were not required, with monthly amortization resuming July 31, 2024. However, in December 2023, the Company made two amortization payments of the WhiteHawk Refinancing Agreement that were otherwise due on July 31, 2024, and August 31, 2024. During the third quarter of 2024, the Company resumed the required monthly amortization payments of the WhiteHawk Refinancing Agreement with its payment of the September 2024 amortization payment.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Beginning June 30, 2023, following a five-month holiday, Stronghold LLC began to make monthly prepayments of the loan in an amount equal to 50% of its average daily cash balance (including cryptocurrencies) in excess of $7,500,000 for such month. Consistent with the First Amendment, the Company made loan prepayments of $0 and $217,800 during the three and nine months ended September 30, 2024, respectively. The First Amendment also modified the financial covenants to (i) in the case of the requirement of the Company to maintain a leverage ratio no greater than 4.00:1.00, such covenant will not be tested until the fiscal quarter ending September 30, 2024, and (ii) in the case of the minimum liquidity covenant, modified to require minimum liquidity at any time to be not less than: (A) until March 31, 2024, $2,500,000; (B) during the period beginning April 1, 2024, through and including December 31, 2024, $5,000,000; and (C) from and after January 1, 2025, $7,500,000. On February 15, 2024, the Company and WhiteHawk Capital, as collateral agent and administrative agent, and the other lenders thereto, entered into a Third Amendment to the Credit Agreement (the “Third Amendment”) which, among other items, amended the Company’s minimum liquidity requirement to not be less than: (A) until June 30, 2025, $2,500,000 and (B) from and after July 1, 2025, $5,000,000. The Company was in compliance with all applicable covenants under the WhiteHawk Refinancing Agreement as of September 30, 2024.</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borrowings under the WhiteHawk Refinancing Agreement mature on October 26, 2025, and bear interest at a rate of either (i) the Secured Overnight Financing Rate (“SOFR”) plus 10% or (ii) a reference rate equal to the greater of (x) 3%, (y) the federal funds rate plus 0.5% and (z) the term SOFR rate plus 1%, plus 9%. Borrowings under the WhiteHawk Refinancing Agreement may also be accelerated in certain circumstances. The average interest rate for borrowings under the WhiteHawk Refinancing Agreement approximated 15.54% and 15.10% for the nine months ended September 30, 2024, and 2023,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the Company’s Credit Agreement with its primary lender matures on October 26, 2025. The Company has entered into a merger agreement that is subject to final closing conditions. The merger is considered probable as both the Company’s Board of Directors and the acquiring company’s Board of Directors have approved the merger. The plan of merger will pay off the Company’s current outstanding borrowings, thereby reducing liquidity needs to enable continuation of operations, as a wholly owned subsidiary of the acquiring company,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 Exchange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30, 2022, the Company entered into an exchange agreement with the holders (the “Purchasers”) of the Company’s Amended and Restated 10% Notes (the “Amended May 2022 Notes”), providing for the exchange of the Amended May 2022 Notes (the “Exchange Agreement”) for shares of the Company’s newly-created Series C Convertible Preferred Stock, par value $0.0001 per share (the “Series C Preferred Stock”). On February 20, 2023, the transactions contemplated under the Exchange Agreement were consummated, and the Amended May 2022 Notes were deemed paid in full. Approximately $16.9 million of principal amount of debt was extinguished in exchange for the issuance of the shares of Series C Preferred Stock. As a result of this transaction, the Company incurred a loss on debt extinguishment of approximately $28,960,947 during the first quarter of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auto"/>
        </w:rPr>
        <w:t>Bruce &amp; Merrilees Promissory Note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28, 2023, the Company and Stronghold LLC entered into a settlement agreement (the “B&amp;M Settlement”) with its electrical contractor, Bruce &amp; Merrilees Electric Co. (“B&amp;M”). Pursuant to the B&amp;M Settlement, B&amp;M agreed to eliminate an approximately $11.4 million outstanding payable in exchange for a promissory note in the amount of $3,500,000 (the “B&amp;M Note”) and a stock purchase warrant for the right to purchase from the Company 300,000 shares of Class A common stock (the “B&amp;M Warrant”). The B&amp;M Note has no definitive payment schedule or term. Pursuant to the B&amp;M Settlement, B&amp;M released ten (10) 3000kva transformers to the Company and fully cancelled ninety (90) transformers remaining under a pre-existing order with a third-party supplier. The terms of the B&amp;M Settlement included a mutual release of all claims. Simultaneous with the B&amp;M Settlement, the Company and each of its subsidiaries entered into a subordination agreement with B&amp;M and WhiteHawk Capital pursuant to which all obligations, liabilities and indebtedness of every nature of the Company and each of its subsidiaries owed to B&amp;M shall be subordinate and subject in right and time of payment, to the prior payment of full of the Company’s obligation to WhiteHawk Capital pursuant to the Credit Agreement. This subordination agreement became effective on March 28, 2023, with the Second Amendment to the Credit Agreement.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B&amp;M Note, the first $500,000 of the principal amount of the loan was payable in four equal monthly installments of $125,000 beginning on April 30, 2023, so long as (i) no default or event of default has occurred or is occurring under the WhiteHawk Credit Agreement and (ii) no PIK Option (as such term is defined in the WhiteHawk Refinancing Agreement) has been elected by the Company. The principal amount under the B&amp;M Note bears interest at seven and one-half percent (7.5%). As of September 30, 2024, the Company has paid $500,000 of principal pursuant to the B&amp;M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Canaan Promissory Notes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19, 2023, the Company entered into a Sales and Purchase Contract with Canaan Inc. (“Canaan”) whereby the Company purchased 2,000 A1346 Bitcoin miners for a total purchase price of $2,962,337. The purchase price was payable to Canaan via an upfront payment of $1,777,402 on or before August 1, 2023, which the Company paid on July 25, 2023, and a promissory note of $1,184,935 due to Canaan in ten (10) equal, interest-free installments on the first day of each consecutive month thereafter until the remaining promissory note balance is fully repaid. The miners were delivered and installed during the third quarter of 2023 at the Company’s Panther Creek Plant. As of September 30, 2024, the Company fully repaid the promissory note due to Canaan.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26, 2023, the Company entered into a second Sales and Purchase Contract with Canaan whereby the Company purchased 1,100 A1346 Bitcoin miners for a total purchase price of $1,380,060. The purchase price was payable to Canaan via an upfront payment of $828,036 on or before December 26, 2023, which the Company paid on December 26, 2023, and a promissory note of $552,024 due to Canaan in six (6) equal, interest-free installments on the first day of each consecutive month thereafter, beginning in 2024, until the remaining promissory note balance is fully repaid. The miners were delivered and installed during the first quarter of 2024 at the Company’s Scrubgrass Plant. As of September 30, 2024, the Company fully repaid the promissory note due to Canaan.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Waste Coal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obligated under a Waste Coal Agreement (the “WCA”) to take minimum annual delivery of 200,000 tons of waste coal as long as there is a sufficient quantity of waste coal that meets the Average Quality Characteristics (as defined in the WCA). Under the terms of the WCA, the Company is not charged for the waste coal itself but is charged a $6.07 per ton base handling fee as it is obligated to mine, process, load, and otherwise handle the waste coal for itself and also for other customers of Coal Valley Sales, LLC (“CVS”) from the Company’s Russellton site specifically. The Company is also obligated to unload and properly dispose of ash at its Russellton site. The Company is charged a reduced handling fee of $1.00 per ton for any tons in excess of the minimum take of 200,000 tons. The Company is the designated operator of the Russellton site, and therefore, is responsible for complying with all state and federal requirements and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purchases coal from Coal Valley Properties, LLC, a single-member limited liability company which is entirely owned by one individual who has ownership in Q Power LLC (“Q Power”), and from CVS. CVS is a single-member limited liability company which is owned by a coal reclamation partnership of which an owner of Q Power has a direct and an indirect interest in the partnership of 16.26%.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expensed $413,500 and $195,161 for the three months ended September 30, 2024, and 2023, respectively, and $1,036,977 and $495,161 for the nine months ended September 30, 2024 and 2023, respectively, associated with coal purchases from CVS, which is included in fuel expense in the condensed consolidated statements of operations. See the composition of the due to related parties balance as of September 30, 2024, and December 31, 2023,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Fuel Service and Beneficial Use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Fuel Service and Beneficial Use Agreement (“FBUA”) with Northampton Fuel Supply Company, Inc. (“NFS”), a wholly owned subsidiary of Olympus Power. The Company buys fuel from and sends ash to NFS, for the mutual benefit of both facilities, under the terms and rates established in the FBUA. The FBUA expired on December 31, 2023. The Company expensed $0 and $324,925 for the three months ended September 30, 2024, and 2023, respectively, and $1,442,640 and $2,406,726 for the nine months ended September 30, 2024, and 2023, respectively, which is included in fuel expense in the condensed consolidated statements of operations. See the composition of the due to related parties balance as of September 30, 2024, and December 31, 2023,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Northampton is no longer a related party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Fuel Management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Panther Creek Fuel Services LLC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August 1, 2012, the Company entered into the Fuel Management Agreement (the “Panther Creek Fuel Agreement”) with Panther Creek Fuel Services LLC, a wholly owned subsidiary of Olympus Services LLC which, in turn, is a wholly owned subsidiary of Olympus Power LLC. Under the Panther Creek Fuel Agreement, Panther Creek Fuel Services LLC provides the Company with operations and maintenance services with respect to the Panther Creek Plant. The Company reimburses Panther Creek Energy Services LLC for actual wages and salaries. The Company expensed $0 and $2,093 for the three months ended September 30, 2024, and 2023, respectively, and $0 and $929,942 for the nine months ended September 30, 2024, and 2023, which is included in operations and maintenance expense in the condensed consolidated statements of operations. See the composition of the due to related parties balance as of September 30, 2024, and December 31, 2023, below.</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Panther Creek Fuel Services LLC is no longer a related party entity.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Scrubgrass Fuel Services, LLC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February 1, 2022, the Company entered into the Fuel Management Agreement (the “Scrubgrass Fuel Agreement”) with Scrubgrass Fuel Services LLC, a wholly owned subsidiary of Olympus Services LLC, which, in turn, is a wholly owned subsidiary of Olympus Power LLC. Under the Scrubgrass Fuel Agreement, Scrubgrass Fuel Services LLC provides the Company with operations and maintenance services with respect to the Panther Creek Plant. The Company reimburses Scrubgrass Energy Services LLC for actual wages and salaries. The Company expensed $0 and $0 for the three months ended September 30, 2024, and 2023, respectively, and $0 and $374,944 for the nine months ended September 30, 2024, and 2023, which is included in operations and maintenance expense in the condensed consolidated statements of operations. See the composition of the due to related parties balance as of September 30, 2024, and December 31, 2023, below.</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Scrubgrass Fuel Services, LLC is no longer a related party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auto"/>
        </w:rPr>
        <w:t>O&amp;M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Olympus Power LLC</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 2021, Stronghold LLC entered into an Operations, Maintenance and Ancillary Services Agreement (the “Omnibus Services Agreement”) with Olympus Stronghold Services, LLC (“Olympus Stronghold Services”), whereby Olympus Stronghold Services provided certain operations and maintenance services to Stronghold LLC and employed certain personnel to operate the Plants. Stronghold LLC reimbursed Olympus Stronghold Services for those costs incurred by Olympus Stronghold Services and approved by Stronghold LLC in the course of providing services under the Omnibus Services Agreement, including payroll and benefits costs and insurance costs. The material costs incurred by Olympus Stronghold Services were to be approved by Stronghold LLC. From November 2, 2021, until October 1, 2023, Stronghold LLC also agreed to pay Olympus Stronghold Services a management fee at the rate of $1,000,000 per year, payable monthly for services provided at each of the Plants, and an additional one-time mobilization fee of $150,000 upon the effective date of the Omnibus Services Agreement, which was deferred. Effective October 1, 2022, Stronghold LLC began paying Olympus Stronghold Services a management fee for the Panther Creek Plant in the amount of $500,000 per year, payable monthly for services provided at the Panther Creek Plant. This was a reduction of $500,000 from the $1,000,000 per year management fee that the Company was previously scheduled to pay Olympus Stronghold Services. The Company expensed $30,000 and $133,499 for the three months ended September 30, 2024, and 2023, respectively, and $90,000 and $603,563 for the nine months ended September 30, 2024, and 2023, respectively, which includes the monthly management fees plus reimbursable costs incurred by Olympus Stronghold Services for payroll, benefits and insurance. See the composition of the due to related parties balance as of September 30, 2024, and December 31, 2023, below. On February 13, 2024, Stronghold LLC and Olympus Services entered into a Termination and Release Agreement (the “Termination and Release”) whereby the Omnibus Services Agreement was terminated. The Termination and Release contained a mutual customary release. The Company expects to continue to pay Olympus Power LLC $10,000 per month for ongoing assistance at each of the Scrubgrass Plant and Panther Creek Plant.</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disclosed above, effective February 13, 2024, the Company terminated its Omnibus Services Agreement with Olympus Power, and therefore, Olympus Power LLC is no longer a related party entity.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Panther Creek Energy Services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August 2, 2021, the Company entered into the Operations and Maintenance Agreement (the “O&amp;M Agreement”) with Panther Creek Energy Services LLC, a wholly owned subsidiary of Olympus Services LLC which, in turn, is a wholly owned subsidiary of Olympus Power LLC. Under the O&amp;M Agreement, Panther Creek Energy Services LLC provides the Company with operations and maintenance services with respect to the Panther Creek Plant. The Company reimburses Panther Creek Energy Services LLC for actual wages and salaries. The Company also agreed to pay a management fee of $175,000 per operating year, which is payable monthly, and is adjusted by the consumer price index on each anniversary date of the effective date. The Company expensed $0 and $10,337 for the three months ended September 30, 2024, and 2023, respectively, and $0 and $1,856,501 for the nine months ended September 30, 2024, and 2023, respectively, which includes the monthly management fees plus reimbursable costs incurred by Olympus Stronghold Services for payroll, benefits and insurance. See the composition of the due to related parties balance as of September 30, 2024, and December 31, 2023, below.</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equity contribution agreement, effective July 9, 2021 (the “Equity Contribution Agreement”), the Company entered into the Amended and Restated Operations and Maintenance Agreement (the “Amended O&amp;M Agreement”) with Panther Creek Energy Services LLC. Under the Amended O&amp;M Agreement, the management fee is $250,000 for the twelve-month period following the effective date and $325,000 per year thereafter. The effective date of the Amended O&amp;M Agreement was the closing date of the Equity Contribution Agreement. Effective November 1, 2023, Stronghold LLC no longer pays Olympus Stronghold Services a management fee for the Panther Creek Plant.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Panther Creek Energy Services LLC is no longer a related party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i w:val="1"/>
          <w:iCs w:val="1"/>
          <w:color w:val="auto"/>
        </w:rPr>
        <w:t>Scrubgrass Energy Services,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February 1, 2022, the Company entered into the Operations and Maintenance Agreement (the “Scrubgrass O&amp;M Agreement”) with Scrubgrass Energy Services LLC, a wholly owned subsidiary of Olympus Services LLC which, in turn, is a wholly owned subsidiary of Olympus Power LLC. Under the Scrubgrass O&amp;M Agreement, Scrubgrass Energy Services LLC provides the Company with operations and maintenance services with respect to the Scrubgrass Plant. The Company reimburses Scrubgrass Energy Services LLC for actual wages and salaries. The Company also agreed to pay a management fee of $175,000 per operating year, which is payable monthly, and is adjusted by the consumer price index on each anniversary date of the effective date. The Company expensed $0 and $0 for the three months ended September 30, 2024, and 2023, respectively, and $0 and $2,269,290 for the nine months ended September 30, 2024, and 2023, respectively, which includes the monthly management fees plus reimbursable costs incurred by Olympus Stronghold Services for payroll, benefits and insurance. See the composition of the due to related parties balance as of September 30, 2024, and December 31, 2023, below.</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Equity Contribution Agreement effective July 9, 2021, the Company entered into the Amended and Restated Operations and Maintenance Agreement (the “Scrubgrass Amended O&amp;M Agreement”) with Scrubgrass Energy Services LLC. Under the Scrubgrass Amended O&amp;M Agreement, the management fee is $250,000 for the twelve-month period following the effective date and $325,000 per year thereafter. The effective date of the Scrubgrass Amended O&amp;M Agreement is the closing date of the Equity Contribution Agreement. Effective October 1, 2022, Stronghold LLC no longer pays Olympus Stronghold Services a management fee for the Scrubgrass Plant.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13, 2024, the Company terminated its Omnibus Services Agreement with Olympus Power, and therefore, Scrubgrass Energy Services, LLC is no longer a related party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Services Agreement</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April 19, 2023, pursuant to an independent consulting agreement the Company entered into with William Spence in connection with his departure from the Board (the “Spence Consulting Agreement”), Mr. Spence’s annualized management fee of $600,000 decreased to the greater of $200,000 or 10% of any economic benefits derived from the sale of beneficial use ash, carbon sequestration efforts or alternative fuel arrangements, in each case, arranged by Mr. Spence. The previous consulting and advisory agreement with Mr. Spence was terminated in connection with entry into the Spence Consulting Agreement.</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2023, as part of the compensation pursuant to the Spence Consulting Agreement, Mr. Spence also received a one-time grant of 250,000 fully vested shares of the Company’s Class A common stock, which was recorded as stock-based compensation in the second quarter of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13, 2022, the Company entered into a Securities Purchase Agreement with Greg Beard, the Company’s chairman and chief executive officer, for the purchase and sale of 60,241 shares of Class A common stock and warrants to purchase 60,241 shares of Class A common stock, at an initial exercise price of $17.50 per share, subsequently amended to $10.10 per share and then $7.51 per share.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Additionally, on April 20, 2023, Mr. Beard invested $1.0 million in exchange for 100,000 shares of Class A common stock and 100,000 pre-funded warrants.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as of September 30, 2024, and December 31, 2023,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Coal Valley Sales, LLC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Panther Creek Operating LLC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14,511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Northampton Generating Fuel Supply Company, Inc.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226,951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Olympus Power LLC and other subsidiaries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44,181</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Spence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183,333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Due to related parties</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1,449,195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718,838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CONCENTRATIONS (As Restated)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is the risk of loss the Company would incur if counterparties fail to perform their contractual obligations (including accounts receivable). The Company primarily conducts business with counterparties in the cryptocurrency mining and energy industry. This concentration of counterparties may impact the Company’s overall exposure to credit risk, either positively or negatively, in that its counterparties may be similarly affected by changes in economic, regulatory or other conditions. The Company mitigates potential credit losses by dealing, where practical, with counterparties that are rated at investment grade by a major credit agency or have a history of reliable performance within the cryptocurrency mining and energy industry.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Financial instruments which potentially expose the Company to concentrations of credit risk consist primarily of cash and cash equivalents and accounts receivable. Cash and cash equivalents customarily exceed federally insured limits. For accounts receivable, the Company’s significant credit risk is primarily concentrated with CES. CES accounted for approximately 92% and 100% of the Company’s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segment revenues for the three months ended September 30, 2024, and 2023, respectively, and approximately 88% and 100% of the Company’s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segment revenues for the nine months ended September 30, 2024, and 2023,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approximately 14% and 19% of the Company’s total revenues for the nine months ended September 30, 2024, and 2023, respectively, were derived from services provided to two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September 30, 2024, and 2023, the Company purchased approximately 0% and 41% of waste coal, respectively, from two suppliers. For the nine months ended September 30, 2024, and 2023, the Company purchased approximately 40% and 49% of waste coal, respectively, from the same related parties. See </w:t>
      </w:r>
      <w:r>
        <w:rPr>
          <w:rFonts w:ascii="Times New Roman" w:cs="Times New Roman" w:eastAsia="Times New Roman" w:hAnsi="Times New Roman"/>
          <w:sz w:val="18"/>
          <w:szCs w:val="18"/>
          <w:i w:val="1"/>
          <w:iCs w:val="1"/>
          <w:color w:val="auto"/>
        </w:rPr>
        <w:t>Note 8 – Related Party Transactions</w:t>
      </w:r>
      <w:r>
        <w:rPr>
          <w:rFonts w:ascii="Times New Roman" w:cs="Times New Roman" w:eastAsia="Times New Roman" w:hAnsi="Times New Roman"/>
          <w:sz w:val="18"/>
          <w:szCs w:val="18"/>
          <w:color w:val="auto"/>
        </w:rPr>
        <w:t xml:space="preserve">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 Equipment Deposits</w:t>
      </w:r>
      <w:r>
        <w:rPr>
          <w:rFonts w:ascii="Times New Roman" w:cs="Times New Roman" w:eastAsia="Times New Roman" w:hAnsi="Times New Roman"/>
          <w:sz w:val="18"/>
          <w:szCs w:val="18"/>
          <w:color w:val="auto"/>
        </w:rPr>
        <w:t>, the Company has entered into various equipment contracts to purchase miners. Most of these contracts required a percentage of deposits upfront and subsequent payments to cover the contracted purchase price of the equipment. Details of the outstanding purchase agreement with MinerVa are summarized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MinerVa Semiconductor Corp</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 2021, the Company entered into a purchase agreement (the “MinerVa Purchase Agreement”) with MinerVa for the acquisition of 15,000 of their MV7 ASIC SHA256 model cryptocurrency miners with a total terahash to be delivered equal to 1.5 million terahash. The price per miner was $4,892.50 for an aggregate purchase price of $73,387,500 to be paid in installments. The first installment equal to 60% of the purchase price, or $44,032,500, was paid on April 2, 2021, and an additional payment of 20% of the purchase price, or $14,677,500, was paid on June 2, 2021. As of September 30, 2024, there were no remaining deposits owed.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extended the deadline for delivery of the MinerVa miners to April 2022. In March 2022, MinerVa was again unable to meet its delivery date and had only delivered approximately 3,200 of the 15,000 miners. As a result, an impairment totaling $12,228,742 was recorded in the first quarter of 2022. Furthermore, in the fourth quarter of 2022, the difference between the fair value of the MinerVa equipment deposits and the carrying value resulted in the Company recording an additional impairment charge of $5,120,000.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MinerVa had delivered, refunded cash or swapped into deliveries of industry-leading miners of equivalent value to approximately 12,700 of the 15,000 miners. As disclosed below, the Company is pursuing legal action through the dispute resolution process, and as a result, the Company no longer expects equipment deliveries.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Proceedings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experiences litigation in the normal course of business. Certain of these matters are discussed below. The Company accrues for estimated costs related to existing lawsuits, claims and legal proceedings when it is probable that it will incur these costs in the future and the costs are reasonably estimable.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McClymonds Supply &amp; Transit Company, Inc. and DTA, L.P. vs. Scrubgrass Generating Company, 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2020, McClymonds Supply and Transit Company, Inc. (“McClymonds”) made a Demand for Arbitration, as required by the terms of the Transportation Agreement between McClymonds and Scrubgrass Generating Company, L.P. (“Scrubgrass”) dated April 8, 2013 (the “Agreement”). In its demand, McClymonds alleged damages in the amount of $5,042,350 for failure to pay McClymonds for services. On February 18, 2020, Scrubgrass submitted its answering statement denying the claim of McClymonds in its entirety. On March 31, 2020, Scrubgrass submitted its counterclaim against McClymonds in the amount of $6,747,328 as the result of McClymonds’ failure to deliver fuel as required under the terms of the Agreement. Hearings were held from January 31, 2022, to February 3, 2022. On May 9, 2022, an award in the amount of $5.0 million plus interest of approximately $0.8 million was issued in favor of McClymonds. The two managing members of Q Power have executed a binding document to pay the full amount of the award and have begun to pay the full amount of the award, such that there will be no effect on the financial condition of the Company. McClymonds shall have no recourse to the Company with respect to the award.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Allegheny Mineral Corporation v. Scrubgrass Generating Company, L.P., Butler County Court of Common Pleas, No. AD 19-11039</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2019, Allegheny Mineral Corporation (“Allegheny Mineral”) filed suit against the Company seeking payment of approximately $1,200,000 in outstanding invoices. In response, the Company filed counterclaims against Allegheny Mineral asserting breach of contract, breach of express and implied warranties, and fraud in the amount of $1,300,000. After unsuccessful mediation in August 2020, the parties again attempted to mediate the case on October 26, 2022, which led to a mutual agreement to settlement terms of a $300,000 cash payment, and a supply agreement for limestone. Subject to completion of the settlement terms, this matter has been stayed in Butler County Court, and the outstanding litigation has been terminated.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i w:val="1"/>
          <w:iCs w:val="1"/>
          <w:color w:val="auto"/>
        </w:rPr>
        <w:t>Federal Energy Regulatory Commission (“FERC”)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19, 2021, Scrubgrass received a notice of breach from PJM Interconnection, LLC alleging that Scrubgrass breached Interconnection Service Agreement – No. 1795 (the “ISA”) by failing to provide advance notice to PJM Interconnection, LLC and Mid-Atlantic Interstate Transmission, LLC pursuant to ISA, Appendix 2, section 3, of modifications made to the Scrubgrass Plant. On December 16, 2021, Scrubgrass responded to the notice of breach and respectfully disagreed that the ISA had been breached. On January 7, 2022, Scrubgrass participated in an information gathering meeting with representatives from PJM regarding the notice of breach and continued to work with PJM regarding the dispute, including conducting a necessary study agreement with respect to the Scrubgrass Plant. On January 20, 2022, the Company sent PJM a letter regarding the installation of a resistive computational load bank at the Panther Creek Plant. On March 1, 2022, the Company executed a necessary study agreement with respect to the Panther Creek Plant.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PJM’s investigation and discussions with the Company regarding the notice of breach at the Scrubgrass Plant and the Panther Creek Plant are ongoing, including with respect to interim procedures, until the Company receives revised Interconnect Service Agreements for the Scrubgrass Plant and the Panther Creek Plant. Stronghold does not expect to make any material payments related to any resettlements of prior billing statements. The Company continues to expect to source electricity for its computational load banks from the Scrubgrass and Panther Creek Plants; however, Stronghold expects that, until the revised Interconnect Service Agreements are finalized and potentially thereafter, the Company will pay retail rates for electricity that is imported from the grid should it be unable to fully supply power to the computational load banks.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11, 2022, the Division of Investigations of the FERC Office of Enforcement (“OE”) informed the Company that the OE was conducting a non-public preliminary investigation concerning Scrubgrass’ compliance with various aspects of the PJM tariff. The OE requested that the Company provide certain information and documents concerning Scrubgrass’ operations by June 10, 2022. On July 13, 2022, after being granted an extension to respond by the OE, the Company submitted a formal response to the OE’s request. Since the Company submitted its formal response to the OE’s request, the Company has had further discussions with the OE regarding the Company’s formal response. The OE’s investigation, and discussions between the OE and the Company, regarding potential instances of non-compliance is continuing. The Company does not believe that the PJM notice of breach, the Panther Creek necessary study agreement, discussions regarding other potential issues related to the computational load bank, including power consumption and potential resettlements of billing statements for certain prior months, or the preliminary investigation by the OE will have a material adverse effect on the Company’s reported financial position or results of operations, although the Company cannot predict with certainty the final outcome of these proceedings.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Securities and Derivative Lawsuits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14, 2022, the Company, and certain of our current and former directors, officers and underwriters were named in a putative class action complaint filed in the United States District Court for the Southern District of New York (Winter v. Stronghold Digital Mining, Case No. 1:22-cv-3088). On August 4, 2022, co-lead plaintiffs were appointed. On October 18, 2022, the plaintiffs filed an amended complaint, alleging that the Company made misleading statements and/or failed to disclose material facts in violation of Section 11 of the Securities Act, 15 U.S.C. §77k and Section 15 of the Securities Act of 1933, as amended (the “Securities Act”), about the Company’s business, operations, and prospects in the Company’s registration statement on Form S-1 related to its initial public offering, and when subsequent disclosures were made regarding these operational issues when the Company announced its fourth quarter and full year 2021 financial results, the Company’s stock price fell, causing significant losses and damages. As relief, the plaintiffs are seeking, among other things, compensatory damages. The amended complaint also alleged violations of Section 12 of the Securities Act based on alleged false or misleading statements in the Company’s prospectus related to its initial public offering. On December 19, 2022, the Company filed a motion to dismiss, which the court largely denied on August 10, 2023. On September 8, 2023, the Court entered a Case Management Order, which set a number of case deadlines, including the completion of all discovery by April 21, 2025. On January 19, 2024, the Court granted the motion of one co-lead plaintiff to withdraw from the case, leaving one plaintiff remaining. Plaintiff filed a motion for class certification on February 19, 2024, and defendants’ response to that motion is due on June 10, 2024. The defendants continue to believe the allegations in the complaint are without merit and intend to defend these suits vigorously.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8" w:name="page129"/>
    <w:bookmarkEnd w:id="128"/>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5, 2023, and September 15, 2023, respectively, purported shareholders of the Company filed two derivative actions in the United States District Court for the Southern District of New York (Wilson v. Beard, Case No. 1:23-cv-7840, and Navarro v. Beard, Case No. 1:23-cv-08714) against certain of our current and former directors and officers, and the Company as a nominal defendant. The shareholders generally allege that the individual defendants breached their fiduciary duties by making or failing to prevent the misrepresentations alleged in the putative Winter securities class action, and assert claims for breach of fiduciary duty, unjust enrichment, abuse of control, gross mismanagement, corporate waste, and for contribution under Section 11 of the Securities Act and Section 21D of the Securities Exchange Act of 1934. The two cases were consolidated on October 24, 2023, under the case name In Re Stronghold Digital Mining, Inc., Stockholder Derivative Litigation (the “Consolidated Derivative Action”). On November 21, 2023, the Court entered an order staying the Consolidated Derivative Action pending a ruling on the motion for class certification in the putative Winter securities class action. The defendants believe the allegations in the Consolidated Derivative Action are without merit and intend to defend the suits vigorously.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14, 2023, and February 4, 2024, respectfully, purported shareholders of the Company filed two additional derivative actions in the United States District Court for the Southern District of New York (Parker v. Beard, Case No. 23 Civ. 10028 and Bruno v. Beard, Case No. 24 Civ. 798) against certain of our current and former directors and officers, and the Company as a nominal defendant. These lawsuits assert substantially the same claims and allegations as the Wilson and Navarro complaints. Plaintiff in the Bruno action had previously served a books and records demand, as well as an investigation/litigation demand, on the Company making similar allegations. On April 24, 2024, the Parker and Bruno cases were consolidated with the Consolidated Derivative Action by agreement of the parties. As a result, the Parker and Bruno cases are also stayed pending further proceedings in the putative Winter securities class action.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Representatives for the Company and plaintiffs executed a Memorandum of Understanding reflecting the terms of their agreement in principle on July 18, 2024. On November 8, 2024, counsel for all parties to the Class Action executed a Stipulation of Settlement (the “Stipulation”) which contains the terms of the settlement of the Class Action. Among other terms, the Company has agreed to pay an amount equal to $4.75 million payable in cash on the first day of the month following entry by the District Court of an order preliminarily approving the Stipulation (the “Preliminary Approval”). The Preliminary Approval is expected to be entered into within ninety (90 days) of November 8, 2024. $2.5 million is expected to be covered in full by the Company’s insurance providers and paid directly at the time of Preliminary Approval. The terms of the Stipulation also include the Company paying the cash value of twenty-five (25) Bitcoins, one of which will be paid monthly for two years beginning on the first day of the month following Preliminary Approval, and two of which will be paid in the final month. The cash value of each Bitcoin is expected to be calculated monthly according to a price set by the Nasdaq Bitcoin reference price index. The Company expects District Court to enter the Preliminary Approval Order and to schedule a Final Hearing, at which time the shareholders may raise objections to the terms of the settlement as set forth in the Stipulation. The Company expects the final hearing to be scheduled approximately 120 days after the District Court enters the Preliminary Order. The Company has not executed a Memorandum of Understanding with respect to the Consolidated Derivative Actions to date.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agreed to settle the claims in order to avoid the cost, risks and distraction of continued litigation, as the expected costs of defense likely exceeded to amounts agreed to in the Stipulation. The Company continues to deny all allegations of wrongdoing and the Stipulation is not an admission of guilt. However, given the inherent risk of any trial and the potential cost of an adverse resolution of the litigation, the Company believes that the Stipulation is in the Company’s best interest and in the best interests of its stockholders.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Mark Grams v. Treis Blockchain, LLC, Chain Enterprises, LLC, Cevon Technologies, LLC, Stronghold Digital Mining, LLC, David Pence, Michael Bolick, Senter Smith, Brian Lambretti and John Chain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2023, Stronghold Digital Mining, LLC, a subsidiary of the Company, was named as one of several defendants in a complaint filed in the United States District Court for the Middle District of Alabama Eastern Division (the “Grams Complaint”). The Grams Complaint alleges that certain Bitcoin miners the Company purchased from Treis Blockchain, LLC (“Treis”) in December 2021 contained firmware that is alleged to have constituted “trade secrets” owned by Grams. Principally, the Grams Complaint included allegations of misappropriation of these alleged trade secrets.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the allegations against it and its subsidiaries in the Grams Complaint are without merit and intends to vigorously defend the suit. To that end, the Company has entered into a joint defense agreement with Treis and the other named defendants. The Company has also entered into a tolling agreement with Treis. The Company filed a motion to dismiss the case for lack of personal jurisdiction on June 23, 2023. On October 6, 2023, Grams filed an Amended Complaint, to which the Company filed a renewed Motion to Dismiss for Lack of Personal Jurisdiction, or in the Alternative to Transfer the Case to the District of South Carolina, in addition to a renewed Motion to Dismiss several causes of action alleged in the Amended Complaint. On December 8, 2023, the Company filed its reply to Plaintiff’s response to the Company’s Motion to Transfer or Alternatively to Dismiss pursuant to Rule 12(b)(2). On April 12, 2024, Grams filed an opposition to the Company’s previously filed motion to dismiss. On April 22, 2024, the Company filed a reply in support of its motion to dismiss. A ruling on the pending motions is expected to be forthcoming in the foreseeable future. On July 8, 2024, the Court denied the Motion to Dismiss for Lack of Personal Jurisdiction, or in the Alternative to Transfer the Case to the District of South Carolina. It further requested the Defendants to refile their Motion to Dismiss several causes of action alleged in the Amended Complaint so that the court could consider that motion separately. Defendants filed their Motion to Dismiss on July 22, 2024. The Company does not believe the Grams Complaint will have a material adverse effect on the Company’s reported financial position or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i w:val="1"/>
          <w:iCs w:val="1"/>
          <w:color w:val="auto"/>
        </w:rPr>
        <w:t>MinerVa Purchase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2022, the Company provided written notice of dispute to MinerVa pursuant to the MinerVa Purchase Agreement. Under the MinerVa Purchase Agreement, the Company and MinerVa were required to work together in good faith towards a resolution for a period of sixty (60) days following this notice, after which, if no settlement had been reached, the Company could end discussions, declare an impasse, and adhere to the dispute resolution provisions of the MinerVa Purchase Agreement. As the 60-day period has expired, the Company is evaluating all available remedies under the MinerVa Purchase Agreement. On October 30, 2023, the Company sent MinerVa a Notice of Impasse. On October 31, 2023, the Company filed a Statement of Claim in Calgary, Alberta against MinerVa for breach of contract related to the MinerVa Purchase Agreement. On October 18, 2024, the Company filed an Amended Statement of Claim that adds additional misrepresentation allegations against MinerVa and Chong Chao Ma, MinerVa’s former Chief Executive Officer and Director. The Claim is ongoing before the Alberta courts.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 Krynock v. Panther Creek Fuel Services, LLC c/o Olympus Power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 2023, Panther Creek Fuel Services, LLC, an affiliate of the Company was named as a defendant in a Federal Black Lung Case under Title IV of the Federal Coal Mine Health and Safety Act of 1969. The Plaintiff previously settled a state law claim with a predecessor in interest of the Company. The Company denies any liability in connection with the claim and intends to defend the suit vigorously. The Company does not believe that the claim will have a material adverse effect on the Company’s reported financial position or results of operations, although the Company cannot predict with any certainty the outcome of these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Environmental Protection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9, 2023, the Company entered into a Consent Order and Agreement (“COA”) with the Commonwealth of Pennsylvania, Department of Environmental Protection (“DEP”). Pursuant to the COA, the DEP found that a July 5, 2022, inspection of the Company’s Scrubgrass Plant observed that coal ash at the Scrubgrass Plant exceeded the capacity of the permitted ash conditioning area as approved by the DEP on September 12, 2007. The COA found that the Scrubgrass Plant’s storage of excess waste coal ash violated certain provisions of the Solid Waste Management Act and Pennsylvania Code, among other items. Pursuant to the COA, Scrubgrass must pay a civil penalty in the amount of $28,800, in two equal installments within ninety (90) days of entry into the COA. The Company made the first payment to the DEP on November 10, 2023. The terms of the COA also require the Company to remove (i) a minimum of 80,000 tons of excess waste coal ash by November 9, 2024, (ii) 160,000 aggregate tons of excess waste coal ash by November 9, 2025, (iii) 220,000 aggregate tons of excess waste coal ash by November 9, 2026, and (iv) all remaining excess waste coal ash by November 9, 2027, such that the ash conditioning area is consistent with the specifications accepted by the DEP on September 7, 2007. Beginning on January 24, 2024, the Company is to provide quarterly progress reports to the DEP. On December 15, 2023, the Scrubgrass Creek Watershed Association and Citizens for Pennsylvania’s Future filed a Notice of Appeal to the Environmental Hearing Board regarding the COA (the “COA Appeal”). The Company has removed in excess of 80,000 tons coal ash from the Scrubgrass Plant during the time period from November 9, 2023 until November 9, 2024. The Company has been made aware that waste coal ash from one transporter may not have arrived at its contracted location. The Company is currently investigating this situation. This waste coal ash represents a small percentage of the waste coal ash to be removed under the COA. Previously, in connection with the COA, in 2023 the Company had discussions with the Pennsylvania Public Utilities Commission (“PUC”) and the DEP regarding potential resettlement or forfeiture of Pennsylvania Tier II Alternative Energy Credits during any period of non-compliance, between July 5-22, 2022. In February of 2024, the Company retired 25,968 Alternative Energy Credits reflective of the amount of credits generated during the period of non-compliance from July 5-22, 2022. At this time, the Company does not believe the COA, COA Appeal or discussions with the PUC will have a material adverse effect on the Company’s reported financial position or its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i w:val="1"/>
          <w:iCs w:val="1"/>
          <w:color w:val="auto"/>
        </w:rPr>
        <w:t>Save Carbon County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26, 2024, the Company, Panther Creek Power Operating, LLC, Stronghold and Stronghold LLC were named as defendants (collectively, the “Stronghold Defendants”) in a complaint filed in the Court of Common Pleas in Philadelphia County by Save Carbon County (the “Complaint”). In addition to the Stronghold Defendants, Josh Shapiro in his capacity as the Governor of the Commonwealth of Pennsylvania, the Pennsylvania Department of Environmental Protection, Jessica Shirley in her capacity as the Interim Secretary for the Pennsylvania Department of Environmental Protection, and the Pennsylvania Public Utility Commission were named as defendants. Pursuant to the Complaint, Save Carbon County alleges certain public nuisance, private nuisance, products liability, and negligence claims against the Stronghold Defendants and demands compensatory and punitive damages, together with costs of suit, interest, and attorney’s fees. On July 30, 2024, the parties stipulated to the transfer of the litigation to the Commonwealth Court of Pennsylvania, where the litigation will resume in the initial pleading stage, including resolution of preliminary objections to dismiss or narrow the scope of the Complaint’s claims. The Commonwealth Court processed the transfer on October 8, 2024, and the Company filed its preliminary objections on October 28, 2024. The Company believes the Complaint is without merit. The Company does not believe that the claim will have a material adverse effect on the Company’s reported financial position or results of operations, although the Company cannot predict with any certainty the outcome of these proceedings.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REDEEMABLE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Class V common stock represented 14.0% and 17.8% ownership of Stronghold LLC, as of September 30, 2024, and December 31, 2023, respectively, granting the owners of Q Power economic rights and, as a holder, one vote on all matters to be voted on by the Company’s stockholders generally, and a redemption right into Class A shares. Refer to </w:t>
      </w:r>
      <w:r>
        <w:rPr>
          <w:rFonts w:ascii="Times New Roman" w:cs="Times New Roman" w:eastAsia="Times New Roman" w:hAnsi="Times New Roman"/>
          <w:sz w:val="18"/>
          <w:szCs w:val="18"/>
          <w:i w:val="1"/>
          <w:iCs w:val="1"/>
          <w:color w:val="auto"/>
        </w:rPr>
        <w:t>Note 12 – Noncontrolling Interests</w:t>
      </w:r>
      <w:r>
        <w:rPr>
          <w:rFonts w:ascii="Times New Roman" w:cs="Times New Roman" w:eastAsia="Times New Roman" w:hAnsi="Times New Roman"/>
          <w:sz w:val="18"/>
          <w:szCs w:val="18"/>
          <w:color w:val="auto"/>
        </w:rPr>
        <w:t xml:space="preserve"> for more details.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its Class V common stock as redeemable common stock in the accompanying condensed consolidated balance sheets as, pursuant to the Stronghold LLC Agreement, the redemption rights of each unit held by Q Power for either shares of Class A common stock or an equivalent amount of cash is not solely within the Company’s control. This is due to the holders of the Class V common stock collectively owning a majority of the voting stock of the Company, which allows the holders of Class V common stock to elect the members of the Board, including those directors who determine whether to make a cash payment upon a Stronghold LLC unit holder’s exercise of its redemption rights. Redeemable common stock is recorded at the greater of the book value or redemption amount from the date of the issuance, April 1, 2021, and the reporting date as of September 30,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recorded redeemable common stock as presented in the table below.</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5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 Class V</w:t>
            </w:r>
          </w:p>
        </w:tc>
      </w:tr>
      <w:tr>
        <w:trPr>
          <w:trHeight w:val="236"/>
        </w:trPr>
        <w:tc>
          <w:tcPr>
            <w:tcW w:w="8680" w:type="dxa"/>
            <w:vAlign w:val="bottom"/>
          </w:tcPr>
          <w:p>
            <w:pPr>
              <w:spacing w:after="0"/>
              <w:rPr>
                <w:sz w:val="20"/>
                <w:szCs w:val="20"/>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2,405,760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20,416,116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(5,588,300)</w:t>
            </w:r>
          </w:p>
        </w:tc>
      </w:tr>
      <w:tr>
        <w:trPr>
          <w:trHeight w:val="25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Maximum redemption right valuation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(3,291,655)</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2,405,760</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11,536,161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is the sole managing member of Stronghold LLC and, as a result, consolidates the financial results of Stronghold LLC and reports a noncontrolling interest representing the common units of Stronghold LLC held by Q Power. Changes in the Company’s ownership interest in Stronghold LLC, while the Company retains its controlling interest, are accounted for as redeemable common stock transactions. As such, future redemptions or direct exchanges of common units of Stronghold LLC by the continuing equity owners will result in changes to the amount recorded as noncontrolling interest. Refer to </w:t>
      </w:r>
      <w:r>
        <w:rPr>
          <w:rFonts w:ascii="Times New Roman" w:cs="Times New Roman" w:eastAsia="Times New Roman" w:hAnsi="Times New Roman"/>
          <w:sz w:val="18"/>
          <w:szCs w:val="18"/>
          <w:i w:val="1"/>
          <w:iCs w:val="1"/>
          <w:color w:val="auto"/>
        </w:rPr>
        <w:t>Note 11 – Redeemable Common Stock</w:t>
      </w:r>
      <w:r>
        <w:rPr>
          <w:rFonts w:ascii="Times New Roman" w:cs="Times New Roman" w:eastAsia="Times New Roman" w:hAnsi="Times New Roman"/>
          <w:sz w:val="18"/>
          <w:szCs w:val="18"/>
          <w:color w:val="auto"/>
        </w:rPr>
        <w:t xml:space="preserve"> which describes the redemption rights of the noncontrolling interest.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1" w:name="page132"/>
    <w:bookmarkEnd w:id="131"/>
    <w:p>
      <w:pPr>
        <w:jc w:val="both"/>
        <w:spacing w:after="0" w:line="266" w:lineRule="auto"/>
        <w:rPr>
          <w:sz w:val="20"/>
          <w:szCs w:val="20"/>
          <w:color w:val="auto"/>
        </w:rPr>
      </w:pPr>
      <w:r>
        <w:rPr>
          <w:rFonts w:ascii="Times New Roman" w:cs="Times New Roman" w:eastAsia="Times New Roman" w:hAnsi="Times New Roman"/>
          <w:sz w:val="18"/>
          <w:szCs w:val="18"/>
          <w:color w:val="auto"/>
        </w:rPr>
        <w:t>Class V common stock represented 14.0% and 17.8% ownership of Stronghold LLC as of September 30, 2024, and December 31, 2023, respectively, granting the owners of Q Power economic rights and, as a holder, one vote on all matters to be voted on by the Company’s stockholders generally, and a redemption right into shares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redeemable common stock adjustments pertaining to the noncontrolling interest as of and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Class V</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16"/>
        </w:trPr>
        <w:tc>
          <w:tcPr>
            <w:tcW w:w="720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720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5"/>
        </w:trPr>
        <w:tc>
          <w:tcPr>
            <w:tcW w:w="7200" w:type="dxa"/>
            <w:vAlign w:val="bottom"/>
          </w:tcPr>
          <w:p>
            <w:pPr>
              <w:spacing w:after="0"/>
              <w:rPr>
                <w:sz w:val="21"/>
                <w:szCs w:val="21"/>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2,405,760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20,416,116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(5,588,300)</w:t>
            </w:r>
          </w:p>
        </w:tc>
      </w:tr>
      <w:tr>
        <w:trPr>
          <w:trHeight w:val="290"/>
        </w:trPr>
        <w:tc>
          <w:tcPr>
            <w:tcW w:w="720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 xml:space="preserve">Adjustment of redeemable common stock to redemption amount </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(3,291,655)</w:t>
            </w:r>
          </w:p>
        </w:tc>
      </w:tr>
      <w:tr>
        <w:trPr>
          <w:trHeight w:val="210"/>
        </w:trPr>
        <w:tc>
          <w:tcPr>
            <w:tcW w:w="7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2,405,760</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11,536,161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7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Redeemable common stock adjustment based on Class V common stock outstanding at fair value price at each quarter end, using a 10-day variable weighted average price of trading dates including the closing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$1,486,286 and $787,811 for the three months ended September 30, 2024, and 2023, respectively, and $5,093,193 and $7,603,859 for the nine months ended September 30, 2024, and 2023, respectively, and is included in general and administrative expense in the condensed consolidated statements of operations. There was no income tax benefit related to stock-based compensation expense due to the Company having a full valuation allowance recorded against its deferred income tax assets.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22, 2024, the Company entered into award agreements with certain executive officers in which the executive officers were granted 135,000 restricted stock units. Similarly, on March 15, 2023, the Company entered into award agreements with certain executive officers in which the executive officers were granted 272,500 restricted stock units in exchange for the cancellation of 98,669 stock options and 25,000 performance share units previously granted to the executive officers. All restricted stock units were granted under the Company’s previously adopted Omnibus Incentive Plan, dated October 19, 2021.</w:t>
      </w:r>
    </w:p>
    <w:p>
      <w:pPr>
        <w:spacing w:after="0" w:line="18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Additionally, in April 2023, as part of the compensation pursuant to the Spence Consulting Agreement described in </w:t>
      </w:r>
      <w:r>
        <w:rPr>
          <w:rFonts w:ascii="Times New Roman" w:cs="Times New Roman" w:eastAsia="Times New Roman" w:hAnsi="Times New Roman"/>
          <w:sz w:val="18"/>
          <w:szCs w:val="18"/>
          <w:i w:val="1"/>
          <w:iCs w:val="1"/>
          <w:color w:val="auto"/>
        </w:rPr>
        <w:t>Note 8 – Related Party Transactions</w:t>
      </w:r>
      <w:r>
        <w:rPr>
          <w:rFonts w:ascii="Times New Roman" w:cs="Times New Roman" w:eastAsia="Times New Roman" w:hAnsi="Times New Roman"/>
          <w:sz w:val="18"/>
          <w:szCs w:val="18"/>
          <w:color w:val="auto"/>
        </w:rPr>
        <w:t>, Mr. Spence received a one-time grant of 250,000 fully vested shares of the Company’s Class A common stock, which was recorded as stock-based compensation in the second quarter of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WARRANTS</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outstanding warrants as of September 30, 2024.</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990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990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6"/>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5,277,985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(1,300,000)</w:t>
            </w:r>
          </w:p>
        </w:tc>
      </w:tr>
      <w:tr>
        <w:trPr>
          <w:trHeight w:val="210"/>
        </w:trPr>
        <w:tc>
          <w:tcPr>
            <w:tcW w:w="99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Outstanding as of September 30, 2024</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3,977,985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2022 Private Placement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13, 2022, the Company entered into Securities Purchase Agreements with Armistice Capital Master Fund Ltd. (“Armistice”) and Greg Beard, the Company’s chairman and chief executive officer, for the purchase and sale of 227,435 and 60,241 shares of Class A common stock, respectively, and warrants to purchase an aggregate of 560,241 shares of Class A common stock, at an initial exercise price of $17.50 per share. Refer to </w:t>
      </w:r>
      <w:r>
        <w:rPr>
          <w:rFonts w:ascii="Times New Roman" w:cs="Times New Roman" w:eastAsia="Times New Roman" w:hAnsi="Times New Roman"/>
          <w:sz w:val="18"/>
          <w:szCs w:val="18"/>
          <w:i w:val="1"/>
          <w:i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Issuances </w:t>
      </w:r>
      <w:r>
        <w:rPr>
          <w:rFonts w:ascii="Times New Roman" w:cs="Times New Roman" w:eastAsia="Times New Roman" w:hAnsi="Times New Roman"/>
          <w:sz w:val="18"/>
          <w:szCs w:val="18"/>
          <w:color w:val="auto"/>
        </w:rPr>
        <w:t>for additional details and information regarding subsequent amendments. As part of the transaction, Armistice purchased the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for 272,565 shares of Class A common stock at a purchase price of $16.00 per warrant. The pre-funded warrants have an exercise price of $0.001 per warrant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April 2023, the Company, Armistice and Mr. Beard entered into amendments to, among other things, adjust the strike price of the remaining outstanding warrants from $17.50 per share to $10.10 per share. In December 2023, the Company and Armistice entered into an amendment to, among other things, adjust the strike price of the remaining outstanding warrants from $10.10 per share to $7.00 per share and extend the expiration date through December 31, 2029. Furthermore, in January 2024, the Company and Mr. Beard entered into an amendment to, among other things, adjust the strike price of the remaining outstanding warrants from $10.10 per share to $7.51 per share.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560,241 warrants issued in connection with the September 2022 Private Placement remained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2023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April 20, 2023, the Company entered into Securities Purchase Agreements with an institutional investor and Greg Beard, the Company’s chairman and chief executive officer, for the purchase and sale of shares of Class A common stock, par value $0.0001 per share at a purchase price of $10.00 per share, and warrants to purchase shares of Class A common stock, at an initial exercise price of $11.00 per share (the “April 2023 Private Placement”). Pursuant to the Securities Purchase Agreements, the institutional investor invested $9.0 million in exchange for an aggregate of 900,000 shares of Class A common stock and pre-funded warrants, and Mr. Beard invested $1.0 million in exchange for an aggregate of 100,000 shares of Class A common stock, in each case at a price of $10.00 per share equivalent. Further, the institutional investor and Mr. Beard received warrants exercisable for 900,000 shares and 100,000 shares, respectively, of Class A common stock.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January 2024, the Company and Mr. Beard entered into an amendment to, among other things, adjust the strike price of the remaining outstanding warrants from $11.00 per share to $7.51 per share.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warrants exercisable for a total of 1,000,000 shares of Class A common stock remained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21, 2023, the Company entered into a Securities Purchase Agreement with an institutional investor for the purchase and sale of shares of Class A common stock, par value $0.0001 per share at a purchase price of $6.71 per share, and warrants to purchase shares of Class A common stock, at an initial exercise price of $7.00 per share. Pursuant to the Securities Purchase Agreement, the institutional investor invested $15.4 million in exchange for an aggregate of 2,300,000 shares of Class A common stock and pre-funded warrants at a price of $6.71 per share equivalent. Further, the institutional investor received warrants exercisable for 2,300,000 shares of Class A common stock. Refer to </w:t>
      </w:r>
      <w:r>
        <w:rPr>
          <w:rFonts w:ascii="Times New Roman" w:cs="Times New Roman" w:eastAsia="Times New Roman" w:hAnsi="Times New Roman"/>
          <w:sz w:val="18"/>
          <w:szCs w:val="18"/>
          <w:i w:val="1"/>
          <w:iCs w:val="1"/>
          <w:color w:val="auto"/>
        </w:rPr>
        <w:t>Note 15 – Equity Issuances</w:t>
      </w:r>
      <w:r>
        <w:rPr>
          <w:rFonts w:ascii="Times New Roman" w:cs="Times New Roman" w:eastAsia="Times New Roman" w:hAnsi="Times New Roman"/>
          <w:sz w:val="18"/>
          <w:szCs w:val="18"/>
          <w:color w:val="auto"/>
        </w:rPr>
        <w:t xml:space="preserve"> for additional details.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institutional investor exercised all 1,300,000 of its pre-funded warrants for an approximately equal amount of shares of Class A common stock. As of September 30, 2024, warrants exercisable for a total of 2,300,000 shares of Class A common stock remained outstanding.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NOTE 15 – EQUITY ISSUANCES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Convertible Preferred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30, 2022, the Company entered into the Exchange Agreement with the Purchasers of the Amended May 2022 Notes whereby the Amended May 2022 Notes were to be exchanged for shares of Series C Preferred Stock that, among other things, will convert into shares of Class A common stock or pre-funded warrants that may be exercised for shares of Class A common stock, at a conversion rate equal to the stated value of $1,000 per share plus cash in lieu of fractional shares, divided by a conversion price of $4.00 per share of Class A common stock. Upon the fifth anniversary of the Series C Preferred Stock, each outstanding share of Series C Preferred Stock will automatically and immediately convert into Class A common stock or pre-funded warrants. In the event of a liquidation, the Purchasers shall be entitled to receive an amount per share of Series C Preferred Stock equal to its stated value of $1,000 per share. The Exchange Agreement closed on February 20,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Exchange Agreement, the Purchasers received an aggregate 23,102 shares of the Series C Preferred Stock, in exchange for the cancellation of an aggregate $17,893,750 of principal and accrued interest, representing all of the amounts owed to the Purchasers under the May 2022 Notes. On February 20, 2023, one Purchaser converted 1,530 shares of the Series C Preferred Stock to 382,500 shares of the Company’s Class A common stock. The rights and preferences of the Series C Preferred Stock are designated in a certificate of designation, and the Company provided certain registration rights to the Purchasers. As of September 30, 2024, 5,990 shares of the Series C Preferred Stock remain outstanding following the Series D Exchange Agreement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Exchange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2023, the Company consummated a transaction (the “Series D Exchange Transaction”) pursuant to an exchange agreement, dated November 13, 2023 (the “Series D Exchange Agreement”) with Adage Capital Partners, LP (the “Holder”) whereby the Company issued to the Holder an aggregate of 15,582 shares of a newly created series of preferred stock, the Series D Convertible Preferred Stock, par value $0.0001 per share (the “Series D Preferred Stock”), in exchange for 15,582 shares of Series C Preferred Stock held by the Holder, which represented all of the shares of Series C Preferred Stock held by the Holder. The Series D Preferred Stock contains substantially similar terms as the Series C Preferred Stock except with respect to a higher conversion price. The Series D Exchange Agreement contains representations, warranties, covenants, releases, and indemnities customary for transactions of this type, as well as certain trading volume restrictions. As a result of the Series D Exchange Transaction, the Company recorded a deemed contribution of $20,492,568 resulting from the extinguishment of 15,582 shares of Series C Preferred Stock associated with the Series D Exchange Transaction. The deemed contribution represented the difference between the carrying value of the existing Series C Preferred Stock and the estimated fair value of the newly-issued Series D Preferred Stock. During the first quarter of 2024, the remaining 7,610 shares of Series D Convertible Preferred Stock were converted to 1,414,117 shares of Class A common stock.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incurred $19,637 of final offering costs which has been recorded within additional paid-in capital in the condensed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2022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2022, the Company entered into Securities Purchase Agreements with Armistice and Greg Beard, the Company’s chairman and chief executive officer (together with Armistice, the “September 2022 Private Placement Purchasers”), for the purchase and sale of 227,435 and 60,241 shares, respectively, of Class A common stock, par value $0.0001 per share at a purchase price of $16.00 and $16.60, respectively, and warrants to purchase an aggregate of 560,241 shares of Class A common stock, at an initial exercise price of $17.50 per share (subject to certain adjustments). Subject to certain ownership limitations, such warrants are exercisable upon issuance and will be exercisable for five and a half years commencing upon the date of issuance. Armistice also purchased the pre-funded warrants to purchase 272,565 shares of Class A common stock at a purchase price of $16.00 per pre-funded warrant. The pre-funded warrants have an exercise price of $0.001 per warrant share. The transaction closed on September 19, 2022. The gross proceeds from the sale of such securities, before deducting offering expenses, were approximately $9.0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condensed consolidated statements of operations. The fair value of the warrant liabilities was estimated as of September 30, 2024,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7"/>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2,446,409</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December 2023 Private Placement (discussed below), the Company and Armistice entered into an amendment to, among other things, adjust the strike price of the remaining outstanding warrants from $10.10 per share to $7.00 per share and extend the expiration date through December 31, 2029. Furthermore, in January 2024, the Company and Mr. Beard entered into an amendment to, among other things, adjust the strike price of the remaining outstanding warrants from $10.10 per share to $7.51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2023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20, 2023, the Company entered into Securities Purchase Agreements with an institutional investor and the Company’s chairman and chief executive officer, Greg Beard, for the purchase and sale of shares of Class A common stock, par value $0.0001 per share at a purchase price of $10.00 per share, and warrants to purchase shares of Class A common stock, at an initial exercise price of $11.00 per share (subject to certain adjustments in accordance with the terms thereof). Pursuant to the Securities Purchase Agreements, the institutional investor invested $9.0 million in exchange for an aggregate of 900,000 shares of Class A common stock and pre-funded warrants, and Mr. Beard invested $1.0 million in exchange for an aggregate of 100,000 shares of Class A common stock, in each case at a price of $10.00 per share equivalent. Further, the institutional investor and Mr. Beard received warrants exercisable for 900,000 shares and 100,000 shares, respectively, of Class A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warrants are exercisable six months after issuance. The warrants are exercisable for five and a half years commencing upon the date of issuance, subject to certain ownership limitations. The pre-funded warrants have an exercise price of $0.001 per warrant share and are immediately exercisable, subject to certain ownership limitations. The gross proceeds from the April 2023 Private Placement, before deducting offering expenses, were approximately $10.0 million. The April 2023 Private Placement closed on April 21,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condensed consolidated statements of operations. The fair value of the warrant liabilities was estimated as of September 30, 2024,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99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4,395,995</w:t>
            </w:r>
          </w:p>
        </w:tc>
      </w:tr>
      <w:tr>
        <w:trPr>
          <w:trHeight w:val="21"/>
        </w:trPr>
        <w:tc>
          <w:tcPr>
            <w:tcW w:w="9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as previously disclosed, the Company entered into Securities Purchase Agreements with the September 2022 Private Placement Purchasers for, in part, warrants to purchase an aggregate of 560,241 shares of Class A common stock, at an exercise price of $17.50 per share. On April 20, 2023, the Company and the September 2022 Private Placement Purchasers entered into amendments to, among other things, adjust the strike price of the warrants from $17.50 per share to $10.10 per share.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Greg Beard’s employment agreement with the Company dated September 6, 2023, Mr. Beard is eligible for an annual bonus if the applicable targets to achieve such annual bonus are met. For Mr. Beard’s 2023 annual bonus, on January 29, 2024, the Compensation Committee of the Company amended Mr. Beard’s warrants under the September 2022 Private Placement (described above) and the April 2023 Private Placement such that the exercise price of the warrants was adjusted to $7.51.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2023, the Company entered into a Securities Purchase Agreement with an institutional investor for the purchase and sale of shares of Class A common stock, par value $0.0001 per share at a purchase price of $6.71 per share, and warrants to purchase shares of Class A common stock, at an initial exercise price of $7.00 per share (the “December 2023 Private Placement”). Pursuant to the Securities Purchase Agreement, the institutional investor invested $15.4 million in exchange for an aggregate of 2,300,000 shares of Class A common stock and pre-funded warrants at a price of $6.71 per share equivalent. Further, the institutional investor received warrants exercisable for 2,300,000 shares of Class A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warrants are exercisable six months after issuance. The warrants are exercisable for five and a half years commencing upon the date of issuance, subject to certain ownership limitations. The pre-funded warrants have an exercise price of $0.001 per warrant share and are immediately exercisable, subject to certain ownership limitations. The gross proceeds from the December 2023 Private Placement, before deducting offering expenses, were approximately $15.4 million. The December 2023 Private Placement closed on December 21,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are subject to remeasurement at each balance sheet date, and any change in fair value is recognized as “changes in fair value of warrant liabilities” in the condensed consolidated statements of operations. The fair value of the warrant liabilities was estimated as of September 30, 2024, using a Black-Scholes model with significant inputs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99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7"/>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9,922,778</w:t>
            </w:r>
          </w:p>
        </w:tc>
      </w:tr>
      <w:tr>
        <w:trPr>
          <w:trHeight w:val="21"/>
        </w:trPr>
        <w:tc>
          <w:tcPr>
            <w:tcW w:w="9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institutional investor exercised all 1,300,000 of its pre-funded warrants for an approximately equal amount of shares of Class A common stock. As of September 30, 2024, warrants exercisable for a total of 2,300,000 shares of Class A common stock remained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the Company entered into an at-the-market offering agreement (the “ATM Agreement”) with H.C. Wainwright &amp; Co., LLC (“HCW”) to sell shares of its Class A common stock having aggregate sales proceeds of up to $15.0 million (the “ATM Shares”), from time to time, through an “at the market” equity offering program under which HCW acts as sales agent and/or principal.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ATM Agreement, the ATM Shares may be offered and sold through HCW in transactions that are deemed to be “at the market” offerings as defined in Rule 415 under the Securities Act, including sales made directly on The Nasdaq Stock Market LLC (“Nasdaq”) or sales made to or through a market maker other than on an exchange or in negotiated transactions. Under the ATM Agreement, HCW is entitled to compensation equal to 3.0% of the gross proceeds from the sale of the ATM Shares sold through HCW. The Company has no obligation to sell any of the ATM Shares under the ATM Agreement and may at any time suspend solicitations and offers under the ATM Agreement. The Company and HCW may each terminate the ATM Agreement at any time upon specified prior written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6" w:name="page137"/>
    <w:bookmarkEnd w:id="136"/>
    <w:p>
      <w:pPr>
        <w:jc w:val="both"/>
        <w:spacing w:after="0" w:line="261" w:lineRule="auto"/>
        <w:rPr>
          <w:sz w:val="20"/>
          <w:szCs w:val="20"/>
          <w:color w:val="auto"/>
        </w:rPr>
      </w:pPr>
      <w:r>
        <w:rPr>
          <w:rFonts w:ascii="Times New Roman" w:cs="Times New Roman" w:eastAsia="Times New Roman" w:hAnsi="Times New Roman"/>
          <w:sz w:val="18"/>
          <w:szCs w:val="18"/>
          <w:color w:val="auto"/>
        </w:rPr>
        <w:t>The ATM Shares have been and are being issued pursuant to the Company’s shelf registration statement on Form S-3 (File No. 333-271671), filed with the SEC on May 5, 2023, as amended by Amendment No. 1 to the registration statement filed with the SEC on May 23, 2023 (as amended, the “ATM Registration Statement”). Pursuant to the ATM Agreement, no sales may be made until 30 days following the date on which the ATM Registration Statement is declared effective. The ATM Registration Statement was declared effective on May 25,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 Company sold zero ATM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REPORTING (As Restated)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financial information is available that is evaluated regularly in deciding how to allocate resources and assess performance. The Company’s CEO is the chief operating decision maker. The Company functions in two operating segments, </w:t>
      </w:r>
      <w:r>
        <w:rPr>
          <w:rFonts w:ascii="Times New Roman" w:cs="Times New Roman" w:eastAsia="Times New Roman" w:hAnsi="Times New Roman"/>
          <w:sz w:val="18"/>
          <w:szCs w:val="18"/>
          <w:i w:val="1"/>
          <w:iCs w:val="1"/>
          <w:color w:val="auto"/>
        </w:rPr>
        <w:t>Energy Operations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about which separate financial information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 Operations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546,686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1,252,688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1,611,598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6,266,851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8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7,476,384</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16,474,269</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53,037,796</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46,960,062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8,023,070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17,726,957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54,649,394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53,226,913</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 Operations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(6,079,564)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(9,685,721)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(23,155,919)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(29,864,794)</w:t>
            </w:r>
          </w:p>
        </w:tc>
        <w:tc>
          <w:tcPr>
            <w:tcW w:w="0" w:type="dxa"/>
            <w:vAlign w:val="bottom"/>
          </w:tcPr>
          <w:p>
            <w:pPr>
              <w:spacing w:after="0"/>
              <w:rPr>
                <w:sz w:val="1"/>
                <w:szCs w:val="1"/>
                <w:color w:val="auto"/>
              </w:rPr>
            </w:pPr>
          </w:p>
        </w:tc>
      </w:tr>
      <w:tr>
        <w:trPr>
          <w:trHeight w:val="23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8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(11,504,143)</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(10,019,215)</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(16,651,569)</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(20,035,786)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operating loss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(17,583,707)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(19,704,936)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(39,807,488)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(49,900,580)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OTHER (EXPENSE) INCOME </w:t>
            </w:r>
            <w:r>
              <w:rPr>
                <w:rFonts w:ascii="Times New Roman" w:cs="Times New Roman" w:eastAsia="Times New Roman" w:hAnsi="Times New Roman"/>
                <w:sz w:val="29"/>
                <w:szCs w:val="29"/>
                <w:b w:val="1"/>
                <w:bCs w:val="1"/>
                <w:color w:val="auto"/>
                <w:vertAlign w:val="superscript"/>
              </w:rPr>
              <w:t>(1)</w:t>
            </w:r>
          </w:p>
        </w:tc>
        <w:tc>
          <w:tcPr>
            <w:tcW w:w="180" w:type="dxa"/>
            <w:vAlign w:val="bottom"/>
          </w:tcPr>
          <w:p>
            <w:pPr>
              <w:spacing w:after="0"/>
              <w:rPr>
                <w:sz w:val="24"/>
                <w:szCs w:val="24"/>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(5,086,885)</w:t>
            </w:r>
          </w:p>
        </w:tc>
        <w:tc>
          <w:tcPr>
            <w:tcW w:w="16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(2,606,977)</w:t>
            </w:r>
          </w:p>
        </w:tc>
        <w:tc>
          <w:tcPr>
            <w:tcW w:w="16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1,712,188</w:t>
            </w:r>
          </w:p>
        </w:tc>
        <w:tc>
          <w:tcPr>
            <w:tcW w:w="160" w:type="dxa"/>
            <w:vAlign w:val="bottom"/>
          </w:tcPr>
          <w:p>
            <w:pPr>
              <w:spacing w:after="0"/>
              <w:rPr>
                <w:sz w:val="24"/>
                <w:szCs w:val="24"/>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(30,764,024)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(22,670,592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(22,311,913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(38,095,300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(80,664,604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 Operations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(1,359,278)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(1,341,076)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(4,031,499)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(4,004,596)</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(7,264,368)</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(8,326,137)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(23,397,364)</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(22,020,425)</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depreciation and amortization</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(8,623,646</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(9,667,213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(27,428,863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(26,025,021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 Operations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(22,056)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(39,007)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(70,721)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(450,472)</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Cryptocurrency Operations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(2,214,531)</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(2,402,132)</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(6,677,338)</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(6,978,058)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interest expense</w:t>
            </w:r>
          </w:p>
        </w:tc>
        <w:tc>
          <w:tcPr>
            <w:tcW w:w="18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(2,236,587</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(2,441,139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(6,748,059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(7,428,530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195" w:lineRule="auto"/>
        <w:tabs>
          <w:tab w:leader="none" w:pos="340" w:val="left"/>
        </w:tabs>
        <w:numPr>
          <w:ilvl w:val="0"/>
          <w:numId w:val="49"/>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color w:val="auto"/>
        </w:rPr>
        <w:t>The Company does not allocate other income (expense) for segment reporting purposes. Amount is shown as a reconciling item between net operating income (loss) and consolidated net income (loss). Refer to the accompanying condensed consolidated statements of operations for further details.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2024, and 2023, the loss on disposal of fixed assets, realized loss (gain) on sale of digital currencies, unrealized loss (gain) on digital currencies, realized loss on sale of miner assets, and impairments on digital currencies recorded in the condensed consolidated statements of operations were entirely attributable to the </w:t>
      </w:r>
      <w:r>
        <w:rPr>
          <w:rFonts w:ascii="Times New Roman" w:cs="Times New Roman" w:eastAsia="Times New Roman" w:hAnsi="Times New Roman"/>
          <w:sz w:val="18"/>
          <w:szCs w:val="18"/>
          <w:i w:val="1"/>
          <w:iCs w:val="1"/>
          <w:color w:val="auto"/>
        </w:rPr>
        <w:t>Cryptocurrency Operations</w:t>
      </w:r>
      <w:r>
        <w:rPr>
          <w:rFonts w:ascii="Times New Roman" w:cs="Times New Roman" w:eastAsia="Times New Roman" w:hAnsi="Times New Roman"/>
          <w:sz w:val="18"/>
          <w:szCs w:val="18"/>
          <w:color w:val="auto"/>
        </w:rPr>
        <w:t xml:space="preserve">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NOTE 17 – EARNINGS (LOSS) PER SHARE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EPS is computed by dividing the Company’s net income (loss) by the weighted average number of Class A shares of common stock outstanding during the period. Diluted EPS reflects the potential dilution that could occur if securities or other contracts to issue common stock were exercised or converted into common stock or resulted in the issuance of common stock that then shared in the earnings of the entity.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loss per share of Class A common stock for the three and nine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59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(22,670,592)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(22,311,913)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(38,095,300)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(80,664,604)</w:t>
            </w:r>
          </w:p>
        </w:tc>
        <w:tc>
          <w:tcPr>
            <w:tcW w:w="0" w:type="dxa"/>
            <w:vAlign w:val="bottom"/>
          </w:tcPr>
          <w:p>
            <w:pPr>
              <w:spacing w:after="0"/>
              <w:rPr>
                <w:sz w:val="1"/>
                <w:szCs w:val="1"/>
                <w:color w:val="auto"/>
              </w:rPr>
            </w:pPr>
          </w:p>
        </w:tc>
      </w:tr>
      <w:tr>
        <w:trPr>
          <w:trHeight w:val="237"/>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8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(3,181,407)</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(5,188,727)</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(5,588,300)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(26,663,731)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Stronghold Digital Mining, Inc.</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(19,489,185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(17,123,186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(32,507,000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(54,000,873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9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14,594,955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7,569,511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14,319,202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6,047,891</w:t>
            </w:r>
          </w:p>
        </w:tc>
        <w:tc>
          <w:tcPr>
            <w:tcW w:w="0" w:type="dxa"/>
            <w:vAlign w:val="bottom"/>
          </w:tcPr>
          <w:p>
            <w:pPr>
              <w:spacing w:after="0"/>
              <w:rPr>
                <w:sz w:val="1"/>
                <w:szCs w:val="1"/>
                <w:color w:val="auto"/>
              </w:rPr>
            </w:pPr>
          </w:p>
        </w:tc>
      </w:tr>
      <w:tr>
        <w:trPr>
          <w:trHeight w:val="216"/>
        </w:trPr>
        <w:tc>
          <w:tcPr>
            <w:tcW w:w="5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Securities that could potentially dilute earnings (loss) per share in the future were not included in the computation of diluted net loss per share for the three and nine months ended September 30, 2024, and 2023, because their inclusion would be anti-dilutive. As of September 30, 2024, the potentially dilutive impact of Series C Preferred Stock not yet exchanged for shares of Class A common stock was 1,497,500, the potentially dilutive impact of Class V shares not yet exchanged for shares of Class A common stock was 2,405,760, and the potentially dilutive impact of outstanding warrants (excluding those with a $0.01 exercise price) was 3,865,910.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Receivable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Tax Receivable Agreement (“TRA”) with Q Power and an agent named by Q Power on April 1, 2021 (to which an additional holder was subsequently joined as an additional “TRA Holder” on March 14, 2023), pursuant to which the Company will pay the TRA Holders 85% of the realized (or, in certain circumstances, deemed to be realized) cash tax savings attributable to the tax basis step-ups arising from taxable exchanges of units and certain other items.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2022 and 2023, taxable exchanges of Stronghold LLC units, together with a corresponding number of Class V common shares by Q Power for Class A common stock of the Company, resulted in adjustments to the tax basis of Stronghold LLC’s assets. Such step-ups in tax basis, which were allocated to Stronghold Inc., are expected to increase Stronghold Inc.’s tax depreciation, amortization and/or other cost recovery deductions, which may reduce the amount of tax Stronghold Inc. would otherwise be required to pay in the future. No cash tax savings have been realized by Stronghold Inc. with respect to these basis adjustments due to the Company’s estimated taxable losses, and the realization of cash tax savings in the future is dependent, in part, on estimates of sufficient future taxable income. As such, a deferred income tax asset has not been recorded due to maintaining a valuation allowance on the Company’s deferred income tax assets, and no liability has been recorded with respect to the TRA in light of the applicable criteria for accrual.</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Estimating the amount and timing of Stronghold Inc.’s realization of income tax benefits subject to the TRA is imprecise and unknown at this time and will vary based on a number of factors, including when future redemptions actually occur. Accordingly, the Company has not recorded any deferred income tax asset or liability associated with the TRA.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i w:val="1"/>
          <w:iCs w:val="1"/>
          <w:color w:val="auto"/>
        </w:rPr>
        <w:t>TRA Waiver and Termination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the Company, Parent and each of the TRA Holders entered into a TRA Waiver and Termination Agreement (the “TRA Waiver”), pursuant to which the parties agreed, among other things, subject to and effective upon the consummation of the transactions contemplated by the Merger Agreement, to (i) terminate the TRA, dated April 1, 2021, as amended November 9, 2022, by and among the Company and the TRA Holders and (ii) waive the Early Termination Payment (as defined in the TRA) pursuant to the TRA, which would have otherwise become payable to the TRA Holders in connection with the consummation of the merger, and any other amounts to which the TRA Holders would have otherwise been entitled under the TRA. The TRA continues to be in effect prior to the completion of the Merger Agreement, but due to the TRA Waiver discussed above, the TRA is not recorded and is not currently expected to have an impact on the Company’s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and nine months ended September 30, 2024, and 2023, was zero, resulting in an effective income tax rate of zero. The difference between the statutory income tax rate of 21% and the Company’s effective tax rate for the three and nine months ended September 30, 2024, and 2023, was primarily due to pre-tax losses attributable to the noncontrolling interest and due to maintaining a valuation allowance against the Company’s deferred income tax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determination to record a valuation allowance was based on management’s assessment of all available evidence, both positive and negative, supporting realizability of the Company’s net operating losses and other deferred income tax assets, as required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light of the criteria under ASC 740 for recognizing the tax benefit of deferred income tax assets, the Company maintained a valuation allowance against its federal and state deferred income tax assets as of September 30,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SUPPLEMENTAL CASH AND NON-CASH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for the nine months ended September 30,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payments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5,981,021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7,054,387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Supplementary non-cash investing and financing activities consisted of the following for the nine months ended September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financed with debt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1,184,935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 through finance leases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633,092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60,679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 included in accounts payable or 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145,093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exchanged for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291,291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from deposits to property, plant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8,000,643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4,658,970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 as part of financing: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Warrants – April 2023 Private Placement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8,882,914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Exchange for Series C Convertible Preferred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Extinguishment of convertible note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16,812,500</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Extinguishment of accrued interest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655,500</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Series C convertible preferred stock, net of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45,386,944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B&amp;M Settlement: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Warrants – B&amp;M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1,739,882</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Return of transformers to settle outstanding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6,007,500</w:t>
            </w: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B&amp;M Note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w:t>
            </w:r>
          </w:p>
        </w:tc>
      </w:tr>
      <w:tr>
        <w:trPr>
          <w:trHeight w:val="216"/>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Elimination of 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11,426,720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2,100,249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1,887,824</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issued to settle outstanding payables or accrued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134,984</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1,014,780</w:t>
            </w:r>
          </w:p>
        </w:tc>
      </w:tr>
      <w:tr>
        <w:trPr>
          <w:trHeight w:val="637"/>
        </w:trPr>
        <w:tc>
          <w:tcPr>
            <w:tcW w:w="8680" w:type="dxa"/>
            <w:vAlign w:val="bottom"/>
            <w:tcBorders>
              <w:bottom w:val="single" w:sz="8" w:color="auto"/>
            </w:tcBorders>
          </w:tcPr>
          <w:p>
            <w:pPr>
              <w:ind w:left="5360"/>
              <w:spacing w:after="0"/>
              <w:rPr>
                <w:sz w:val="20"/>
                <w:szCs w:val="20"/>
                <w:color w:val="auto"/>
              </w:rPr>
            </w:pPr>
            <w:r>
              <w:rPr>
                <w:rFonts w:ascii="Times New Roman" w:cs="Times New Roman" w:eastAsia="Times New Roman" w:hAnsi="Times New Roman"/>
                <w:sz w:val="18"/>
                <w:szCs w:val="18"/>
                <w:color w:val="auto"/>
              </w:rPr>
              <w:t>A-3-34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NOTE 20 – FAIR VALUE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to assets and liabilities that are measured at fair value on a recurring basis, such as digital currencies pursuant to ASU 2023-08 as described above in </w:t>
      </w:r>
      <w:r>
        <w:rPr>
          <w:rFonts w:ascii="Times New Roman" w:cs="Times New Roman" w:eastAsia="Times New Roman" w:hAnsi="Times New Roman"/>
          <w:sz w:val="18"/>
          <w:szCs w:val="18"/>
          <w:i w:val="1"/>
          <w:iCs w:val="1"/>
          <w:color w:val="auto"/>
        </w:rPr>
        <w:t>Note 1 – Basis of Presentation (As Restated)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2 – Digital Currencies (As Restated)</w:t>
      </w:r>
      <w:r>
        <w:rPr>
          <w:rFonts w:ascii="Times New Roman" w:cs="Times New Roman" w:eastAsia="Times New Roman" w:hAnsi="Times New Roman"/>
          <w:sz w:val="18"/>
          <w:szCs w:val="18"/>
          <w:color w:val="auto"/>
        </w:rPr>
        <w:t>, the Company also measures certain assets and liabilities at fair value on a nonrecurring basis. The Company’s non-financial assets, including operating lease right-of-use assets and property, plant and equipment, are measured at fair value when there is an indication of impairment and the carrying amount exceeds the asset’s projected undiscounted cash flows. These assets are recorded at fair value only when an impairment charge is recognized.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prepaid expenses and other current assets, accounts payable, and accrued liabilities approximate their carrying values because of the short-term nature of these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changes in business climate, including decreases in the price of Bitcoin and resulting decreases in the market price of miners, may indicate that an impairment triggering event has occurred. If the testing performed indicates the estimated fair value of the Company’s miners to be less than their net carrying value, an impairment charge will be recognized, decreasing the net carrying value of the Company’s miners to their estimated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Matthew Smith Resignation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25, 2024, the Company announced that Matthew Smith, the Company’s Chief Financial Officer, will resign from such position effective November 15, 2024. Mr. Smith will also resign from the Company’s Board at such time. Mr. Smith’s resignation was not because of any disagreement with the Company on any matter relating to the Company’s operations, policies or practices, including accounting principles and practices. At this time, the Company does not intend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fill the vacancy on the Board that will be created following the effective date of Mr. Smith’s resignation.</w:t>
      </w:r>
    </w:p>
    <w:p>
      <w:pPr>
        <w:spacing w:after="0" w:line="2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Simultaneous with his departure, the Company and Mr. Smith entered into a Consulting Agreement (the “Consulting Agreement”) pursuant to which Mr. Smith will provide assistance with the Company’s finance function, and a transition from Mr. Smith’s prior employment with the Company, as requested by the Company. Pursuant to the Consulting Agreement, Mr. Smith will be paid $400 per hour, and a minimum of $8,000 per month representative of twenty (20) hours per month. The Consulting Agreement has a three (3) month term and may be terminated at any time by either party upon five (5) days’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Bitfarms Hosting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29, 2024, Stronghold Digital Mining Hosting, LLC (“Stronghold Hosting”), a Delaware limited liability company and indirect subsidiary of the Company entered into a Hosting Agreement (the “Second Hosting Agreement”) with Backbone Mining Solutions LLC (“BMS”), a Delaware limited liability company and a subsidiary of Bitfarms Ltd., a corporation organized under the Business Corporations Act (Ontario) (“Bitfarms”), pursuant to which BMS will deliver approximately 10,000 Bitmain T21 or similar miners owned by BMS (the “BMS Miners”) to the Company’s mining facilities, and the Company will provide power to, maintain, host and operate the BMS Miners.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term of the Second Hosting Agreement will commence on November 1, 2024 and remain effective until December 31, 2025, after which it will automatically renew for additional one year periods unless either party provides written notice of non-renewal to the other party at least sixty days prior to the expiration of the then-current initial term or renewal term, as applicable. Upon the occurrence of an event of default that is not cured within fifteen days, the non-breaching party may terminate the Second Hosting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Second Hosting Agreement, BMS will pay Stronghold Hosting a monthly fee equal to fifty percent (50%) of the profit generated by the BMS Miners, subject to certain monthly adjustments between the parties to account for the upfront monthly payment due from BMS to Stronghold Hosting in an amount of $600,000, and for taxes and the net cost of power associated with the operation of the BMS Miners.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Second Hosting Agreement, BMS deposited with Stronghold Hosting $7,800,000 (the “Second Deposit”), equal to the estimated cost of power for three months of operations of the BMS Miners, which will be refundable in full to BMS within one business day of the end of the initial term expiring on December 31, 2025. The Second Deposit will bear interest at a floating rate equal to the forward-looking term secured overnight financing rate as administered by CME Group Benchmark Administration Limited for the applicable interest period plus 1.0%, payable in kind on the last day of each calendar quarter by capitalizing and adding such interest to the then-outstanding amount of the Second Deposit. Upon the occurrence and during the continuance of an event of default under the Second Hosting Agreement, the principal of, and all accrued and unpaid interest on, the Second Deposit shall bear interest from the date of such event of default, until cured or waived, at a rate equal to 24.0%.</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Given the Company’s efforts to high-grade its fleet, including through the First Hosting Agreement and Second Hosting Agreement with Bitfarms, we are exploring alternatives for a portion of our current fleet of Bitcoin miners.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Amendment to the Cantaloupe Hosting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2024, Stronghold Digital Mining Hashco, LLC and Cantaloupe Digital, LLC (“Cantaloupe”) entered into a fourth amendment (the “Fourth Amendment”) to the Hosting Agreement dated April 27, 2023. Pursuant to the Fourth Amendment, Cantaloupe is to deliver 4,000 Model A1446 Bitcoin miners, to replace the previously delivered 4,000 Model A1346 Bitcoin miners, to the Company’s Panther Creek facility by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Sunnyside Sale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13, 2024, as part of the Company’s efforts to high-grade its Bitcoin mining fleet following entry into the First Hosting Agreement and Second Hosting Agreement, Stronghold LLC entered into a Sale and Purchase Agreement (the “Sunnyside Purchase Agreement”) with Sunnyside Digital, Inc. (“Sunnyside”). Pursuant to the Sunnyside Purchase Agreement, Stronghold LLC sold 6,000 M50 Bitcoin miners to Sunnyside for $4.60 per terahash, for a total purchase price of $3,256,800. Pursuant to the Sunnyside Purchase Agreement, the Company shall make the M50 Bitcoin miners available to Sunnyside within ten (10) days of the transaction at the Company’s Panther Creek Plant. The Company expects the proceeds from the Sunnyside Purchase Agreement to be immediately applied towards indebtedness under the Company’s Credit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SHORT FORM BASE SHELF PROSPECTUS</w:t>
      </w:r>
    </w:p>
    <w:p>
      <w:pPr>
        <w:spacing w:after="0" w:line="229"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8"/>
          <w:szCs w:val="18"/>
          <w:color w:val="auto"/>
        </w:rPr>
        <w:t>November 10,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156845</wp:posOffset>
            </wp:positionV>
            <wp:extent cx="2520315" cy="5314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US$375,000,000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Subscription Receipts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 Purchase Contracts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short form base shelf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relates to the offering for sale from time to time, during the 25-month period, that this prospectus, including any amendments hereto, remains effective, of the securities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xml:space="preserve">”) listed above in one or more series or issuances, with a total offering price of such securities, in the aggregate, of up to </w:t>
      </w:r>
      <w:r>
        <w:rPr>
          <w:rFonts w:ascii="Times New Roman" w:cs="Times New Roman" w:eastAsia="Times New Roman" w:hAnsi="Times New Roman"/>
          <w:sz w:val="18"/>
          <w:szCs w:val="18"/>
          <w:b w:val="1"/>
          <w:bCs w:val="1"/>
          <w:color w:val="auto"/>
        </w:rPr>
        <w:t>US$375,000,000</w:t>
      </w:r>
      <w:r>
        <w:rPr>
          <w:rFonts w:ascii="Times New Roman" w:cs="Times New Roman" w:eastAsia="Times New Roman" w:hAnsi="Times New Roman"/>
          <w:sz w:val="18"/>
          <w:szCs w:val="18"/>
          <w:color w:val="auto"/>
        </w:rPr>
        <w:t xml:space="preserve"> (or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common shares of the Company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are listed for trading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trading symbol “BITF” and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under the trading symbol “BITF”. On November 9, 2023, being the last complete trading day prior to the date hereof, the closing price of the Common Shares on the TSX and Nasdaq was C$1.66 and US$1.20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Times New Roman" w:cs="Times New Roman" w:eastAsia="Times New Roman" w:hAnsi="Times New Roman"/>
          <w:sz w:val="18"/>
          <w:szCs w:val="18"/>
          <w:b w:val="1"/>
          <w:bCs w:val="1"/>
          <w:color w:val="auto"/>
        </w:rPr>
        <w:t>There is currently no market through which the</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Company’s 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acquisition of the Company’s securities described herein may have tax consequences in Canada and/or the United States. This prospectus or any applicable prospectus supplement may not describe these tax consequences fully. Such consequences for investors who are resident in, or citizens of, the United States may not be described fully herein or in the applicable prospectus supplement. You should read the tax discussion in any applicable prospectus supplement with respect to any particular offering and consult your own tax advisor with respect to your own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underwriter has been involved in the preparation of this prospectus or performed any review of the contents of this prospectus.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subsections 4.1(1) and 5.5(7) of NI 44-102, the Company will file, with this Prospectus, an undertaking with the securities regulatory authorities in each of the provinces and territories of Canada that the Company will not distribute Securities that, at the time of distribution, are novel specified derivatives or novel asset-backed securities, without first pre-clearing with the applicable regulator the disclosure to be contained in any Prospectus Supplement pertaining to the distribution of the novel specified derivatives or asset-backed securities. 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Times New Roman" w:cs="Times New Roman" w:eastAsia="Times New Roman" w:hAnsi="Times New Roman"/>
          <w:sz w:val="18"/>
          <w:szCs w:val="18"/>
          <w:b w:val="1"/>
          <w:bCs w:val="1"/>
          <w:color w:val="auto"/>
        </w:rPr>
        <w:t>NI 44-102</w:t>
      </w:r>
      <w:r>
        <w:rPr>
          <w:rFonts w:ascii="Times New Roman" w:cs="Times New Roman" w:eastAsia="Times New Roman" w:hAnsi="Times New Roman"/>
          <w:sz w:val="18"/>
          <w:szCs w:val="18"/>
          <w:color w:val="auto"/>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 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 This Prospectus may qualify an “at-the-market distribution” as defined in NI 44-102.</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 the Nasdaq, or other existing trading markets for the Securities, and as set forth in a prospectus supplement for such purpose.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Times New Roman" w:cs="Times New Roman" w:eastAsia="Times New Roman" w:hAnsi="Times New Roman"/>
          <w:sz w:val="18"/>
          <w:szCs w:val="18"/>
          <w:b w:val="1"/>
          <w:bCs w:val="1"/>
          <w:i w:val="1"/>
          <w:iCs w:val="1"/>
          <w:color w:val="auto"/>
        </w:rPr>
        <w:t>SECONDARY OFFERING BY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SECURITYHOLDERS”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w:t>
      </w:r>
    </w:p>
    <w:p>
      <w:pPr>
        <w:spacing w:after="0" w:line="5" w:lineRule="exact"/>
        <w:rPr>
          <w:sz w:val="20"/>
          <w:szCs w:val="20"/>
          <w:color w:val="auto"/>
        </w:rPr>
      </w:pPr>
    </w:p>
    <w:p>
      <w:pPr>
        <w:jc w:val="both"/>
        <w:ind w:firstLine="8"/>
        <w:spacing w:after="0" w:line="251" w:lineRule="auto"/>
        <w:tabs>
          <w:tab w:leader="none" w:pos="31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Selling Securityholder</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SECONDARY OFFERING BY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spacing w:after="0" w:line="255" w:lineRule="auto"/>
        <w:rPr>
          <w:sz w:val="20"/>
          <w:szCs w:val="20"/>
          <w:color w:val="auto"/>
        </w:rPr>
      </w:pPr>
      <w:r>
        <w:rPr>
          <w:rFonts w:ascii="Times New Roman" w:cs="Times New Roman" w:eastAsia="Times New Roman" w:hAnsi="Times New Roman"/>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(State of Washington, U.S.A.), Backbone Hosting Solutions SAU (Argentina), D&amp;N Ingenieria SA (Paraguay) and Backbone Hosting Solutions Paraguay SA (Paraguay). In addition, certain of the Company’s directors and officers reside outside of Canada, namely, Emiliano Joel Grodzki, Nicolas Bonta, Andres Finkielsztain, Edith M. Hofmeister, Jeffrey Lucas, and Benjamin Gagnon, and they have appointed the Company at its registered office set forth below as their agent for service of process in Canada.</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THESE SECURITIES HAVE NOT BEEN APPROVED OR DISAPPROVED BY THE UNITED STATES SECURITIES AND EXCHANGE COMMISSION (THE “SEC”) OR ANY STATE SECURITIES COMMISSION OR REGULATORY AUTHORITY NOR HAS THE SEC OR ANY STATE SECURITIES COMMISSION OR REGULATORY AUTHORITY PASSED UPON THE ACCURACY OR ADEQUACY OF THIS PROSPECTUS. ANY REPRESENTATION TO THE CONTRARY IS A CRIMINAL OFFENSE.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is located at 110 Yonge Street, Suite 1601, Toronto, ON M5C 1T4.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80" w:type="dxa"/>
            <w:vAlign w:val="bottom"/>
            <w:tcBorders>
              <w:bottom w:val="single" w:sz="8" w:color="CCEEFF"/>
            </w:tcBorders>
            <w:gridSpan w:val="1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470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3100" w:type="dxa"/>
            <w:vAlign w:val="bottom"/>
            <w:tcBorders>
              <w:bottom w:val="single" w:sz="8" w:color="CCEEFF"/>
            </w:tcBorders>
            <w:gridSpan w:val="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7340" w:type="dxa"/>
            <w:vAlign w:val="bottom"/>
            <w:tcBorders>
              <w:top w:val="single" w:sz="8" w:color="CCEEFF"/>
            </w:tcBorders>
            <w:gridSpan w:val="23"/>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SECONDARY OFFERING BY 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486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760" w:type="dxa"/>
            <w:vAlign w:val="bottom"/>
            <w:tcBorders>
              <w:top w:val="single" w:sz="8" w:color="CCEEFF"/>
            </w:tcBorders>
            <w:gridSpan w:val="4"/>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7480" w:type="dxa"/>
            <w:vAlign w:val="bottom"/>
            <w:tcBorders>
              <w:bottom w:val="single" w:sz="8" w:color="CCEEFF"/>
            </w:tcBorders>
            <w:gridSpan w:val="25"/>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EARNINGS COVERAGE</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80" w:type="dxa"/>
            <w:vAlign w:val="bottom"/>
            <w:tcBorders>
              <w:bottom w:val="single" w:sz="8" w:color="CCEEFF"/>
            </w:tcBorders>
            <w:gridSpan w:val="11"/>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RECEIPTS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PURCHASE CONTRACTS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418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4440" w:type="dxa"/>
            <w:vAlign w:val="bottom"/>
            <w:tcBorders>
              <w:top w:val="single" w:sz="8" w:color="CCEEFF"/>
            </w:tcBorders>
            <w:gridSpan w:val="5"/>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350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120" w:type="dxa"/>
            <w:vAlign w:val="bottom"/>
            <w:tcBorders>
              <w:top w:val="single" w:sz="8" w:color="CCEEFF"/>
            </w:tcBorders>
            <w:gridSpan w:val="9"/>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4560" w:type="dxa"/>
            <w:vAlign w:val="bottom"/>
            <w:tcBorders>
              <w:bottom w:val="single" w:sz="8" w:color="CCEEFF"/>
            </w:tcBorders>
            <w:gridSpan w:val="6"/>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AGENTS FOR SERVICE OF PROCESS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UNDER SECURITIES LAWS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76" w:lineRule="exact"/>
        <w:rPr>
          <w:sz w:val="20"/>
          <w:szCs w:val="20"/>
          <w:color w:val="auto"/>
        </w:rPr>
      </w:pPr>
    </w:p>
    <w:p>
      <w:pPr>
        <w:ind w:left="980" w:right="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 of cryptocurrencies, such as Bitcoin and the other types of digital assets which Bitfarms and its subsidiaries may earn, hold and trade;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intended use of net proceeds from the sale of its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the Company intends to issue;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pricing for services and solutions in the businesses of the Company and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market price of the Common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sufficiency of its capital resources and requirements for additional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decrease of the market price of the Common Shares if the Company’s shareholders sell substantial amounts of Common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sales or issuances of equity securities diluting voting power and reducing future earnings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market through which the Company’s securities, other than Common Shares, may be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governmental laws and regulations, including tax regulations; and</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novel coronavirus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outbreak or other future global pandemics.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www.sedarplus.ca) or in the United States through EDGAR at the website of the SEC at www.sec.gov. Other material factors or assumptions that were applied in formulating the forward-looking statements contained herein include or relate to the following:</w:t>
      </w:r>
    </w:p>
    <w:p>
      <w:pPr>
        <w:spacing w:after="0" w:line="180" w:lineRule="exact"/>
        <w:rPr>
          <w:sz w:val="20"/>
          <w:szCs w:val="20"/>
          <w:color w:val="auto"/>
        </w:rPr>
      </w:pPr>
    </w:p>
    <w:p>
      <w:pPr>
        <w:ind w:left="980" w:right="2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economic conditions affecting the Company’s operations in their current state, including, general levels of economic activity, regulations, taxes and interest rates;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profitably produce the computational power sold to Mining Pools to solve block regards, which may be paid in Bitcoin, U.S. dollars, or other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acquire and maintain required regulatory licenses and qualifications;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prices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cryptocurrency and blockchain markets and sectors;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good business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and integrate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identify, hire and retain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sufficient debt or equity financing to support the Company’s continued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suffer a material impact or disruption from a cybersecurity incident, cyber-attack or theft of digital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maintenance and development of cryptocurrency mining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usage and in the blockchain for various applications;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 stable public infrastructure, with the necessary speed, data capacity and security required to operate blockchain networks;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adverse regulation or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changes in the legislative, regulatory or operating framework for the Company’s existing and anticipated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spacing w:after="0" w:line="282" w:lineRule="auto"/>
        <w:rPr>
          <w:sz w:val="20"/>
          <w:szCs w:val="20"/>
          <w:color w:val="auto"/>
        </w:rPr>
      </w:pPr>
      <w:r>
        <w:rPr>
          <w:rFonts w:ascii="Times New Roman" w:cs="Times New Roman" w:eastAsia="Times New Roman" w:hAnsi="Times New Roman"/>
          <w:sz w:val="18"/>
          <w:szCs w:val="18"/>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62"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 and expansion.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Price Volatility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Fluctuations.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Uncertainty of Additional Financing and Dilution.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Bitcoin Mining Algorithms Transitioning to Proof of Stake Validation.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History of De-centralized Financial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Network Difficulty and Impact of Increased Global Computing Power.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Profits/Losses and Production Revenues/Expenses.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Failure of Cryptocurrency Exchanges, Custodians and Other Trading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Mining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Mining Pool.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Agreements Governed by Foreign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447" w:gutter="0" w:footer="0" w:header="0"/>
        </w:sectPr>
      </w:pPr>
    </w:p>
    <w:bookmarkStart w:id="148" w:name="page149"/>
    <w:bookmarkEnd w:id="148"/>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and/or Widespread Use of Cryptocurrency is Uncertain.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 and Similar Legislation.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of Bitfarms Being Classified as a Passive Foreign Investment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and Infectious Disease Risk (including COVID-19).</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 and other Challenges in Argentina and/or Paraguay.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of Argentina and Paraguay Economies to External Shocks.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Corruption and Anti-Corruption Laws in Operating Locations.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of Tax Rates, Capital Controls and Foreign Exchange Restrictions in Argentina.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Over Use of Proceeds.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Public Market for Certain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Changes in Interest Rates on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Fluctuations in Foreign Currency Markets on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 of Common Shares and Volatility.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Additional information on these and other factors is discussed under the heading “</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 in this prospectus and in the documents incorporated by reference herein including in the 2022 MD&amp;A (as defined herein) under the headings “Financial Instruments and Risks” and “Other Risks” and in the 2022 AIF (as defined herein) under the heading “Risk Factors”, as may be modified or superseded by other subsequently filed documents that are also incorporated or deemed to be incorporated by reference in this prospectus.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expressly qualified by this cautionary statement. Except as required by law, the Company does not undertake any obligation to publicly update or revise any forward-looking statements, whether as a result of new information, future events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has been incorporated by reference in this short form base shelf prospectus from documents filed with the securities commissions or similar authorities in Canada and filed with, or furnished to, the SEC.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Copies of the documents incorporated herein by reference may be obtained on request without charge from the Chief Financial Officer of Bitfarms at 110 Yonge Street, Suite 1601, Toronto, ON M5C 1T4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at www.sedarplus.ca or in the United States through EDGAR at the website of the SEC at www.sec.gov. The filings of the Company available on the Company’s website, SEDAR and EDGAR are not incorporated by reference in this prospectus except as specifically set out herein.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securities commissions or similar regulatory authorities in each of the provinces and territories of Canada, are specifically incorporated by reference into, and form an integral part of, this short form base shelf prospectus:</w:t>
      </w:r>
    </w:p>
    <w:p>
      <w:pPr>
        <w:spacing w:after="0" w:line="162" w:lineRule="exact"/>
        <w:rPr>
          <w:sz w:val="20"/>
          <w:szCs w:val="20"/>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information form for the year ended December 31, 2022, dated as at March 20, 2023 and filed on </w:t>
      </w:r>
      <w:hyperlink r:id="rId241">
        <w:r>
          <w:rPr>
            <w:rFonts w:ascii="Times New Roman" w:cs="Times New Roman" w:eastAsia="Times New Roman" w:hAnsi="Times New Roman"/>
            <w:sz w:val="18"/>
            <w:szCs w:val="18"/>
            <w:u w:val="single" w:color="auto"/>
            <w:color w:val="0000EE"/>
          </w:rPr>
          <w:t>March 21,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2022 AIF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audited consolidated financial statements as at and for the years ended December 31, 2022 and 2021 the notes thereto and the Report of Independent Registered Public Accounting Firm thereon, filed on </w:t>
      </w:r>
      <w:hyperlink r:id="rId242">
        <w:r>
          <w:rPr>
            <w:rFonts w:ascii="Times New Roman" w:cs="Times New Roman" w:eastAsia="Times New Roman" w:hAnsi="Times New Roman"/>
            <w:sz w:val="18"/>
            <w:szCs w:val="18"/>
            <w:u w:val="single" w:color="auto"/>
            <w:color w:val="0000EE"/>
          </w:rPr>
          <w:t>March 21,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2022 Annual Financial Statements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auto"/>
          </w:rPr>
          <w:t xml:space="preserve">the Company’s management’s discussion and analysis for the year ended December 31, 2022, dated as at March 20, 2023 and filed on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auto"/>
        </w:rPr>
        <w:t xml:space="preserve"> </w:t>
      </w:r>
      <w:hyperlink r:id="rId243">
        <w:r>
          <w:rPr>
            <w:rFonts w:ascii="Times New Roman" w:cs="Times New Roman" w:eastAsia="Times New Roman" w:hAnsi="Times New Roman"/>
            <w:sz w:val="18"/>
            <w:szCs w:val="18"/>
            <w:u w:val="single" w:color="auto"/>
            <w:color w:val="0000EE"/>
          </w:rPr>
          <w:t>21, 2023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color w:val="000000"/>
          </w:rPr>
          <w:t>2022 MD&amp;A</w:t>
        </w:r>
        <w:r>
          <w:rPr>
            <w:rFonts w:ascii="Times New Roman" w:cs="Times New Roman" w:eastAsia="Times New Roman" w:hAnsi="Times New Roman"/>
            <w:sz w:val="18"/>
            <w:szCs w:val="18"/>
            <w:color w:val="000000"/>
          </w:rPr>
          <w:t>”);</w:t>
        </w:r>
      </w:hyperlink>
    </w:p>
    <w:p>
      <w:pPr>
        <w:spacing w:after="0" w:line="188" w:lineRule="exact"/>
        <w:rPr>
          <w:rFonts w:ascii="Times New Roman" w:cs="Times New Roman" w:eastAsia="Times New Roman" w:hAnsi="Times New Roman"/>
          <w:sz w:val="18"/>
          <w:szCs w:val="18"/>
          <w:color w:val="0000EE"/>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unaudited interim condensed interim consolidated financial statements as at September 30, 2023 and for the three and nine months ended September 30, 2023 and 2022 and filed on </w:t>
      </w:r>
      <w:hyperlink r:id="rId244">
        <w:r>
          <w:rPr>
            <w:rFonts w:ascii="Times New Roman" w:cs="Times New Roman" w:eastAsia="Times New Roman" w:hAnsi="Times New Roman"/>
            <w:sz w:val="18"/>
            <w:szCs w:val="18"/>
            <w:u w:val="single" w:color="auto"/>
            <w:color w:val="0000EE"/>
          </w:rPr>
          <w:t>November 7,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management’s discussion and analysis for the three and nine months ended September 30, 2023 and 2022 and filed on </w:t>
      </w:r>
      <w:hyperlink r:id="rId245">
        <w:r>
          <w:rPr>
            <w:rFonts w:ascii="Times New Roman" w:cs="Times New Roman" w:eastAsia="Times New Roman" w:hAnsi="Times New Roman"/>
            <w:sz w:val="18"/>
            <w:szCs w:val="18"/>
            <w:u w:val="single" w:color="auto"/>
            <w:color w:val="0000EE"/>
          </w:rPr>
          <w:t>November 7,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Interim MD&amp;A</w:t>
      </w:r>
      <w:r>
        <w:rPr>
          <w:rFonts w:ascii="Times New Roman" w:cs="Times New Roman" w:eastAsia="Times New Roman" w:hAnsi="Times New Roman"/>
          <w:sz w:val="18"/>
          <w:szCs w:val="18"/>
          <w:color w:val="000000"/>
        </w:rPr>
        <w:t>”);</w:t>
      </w:r>
    </w:p>
    <w:p>
      <w:pPr>
        <w:spacing w:after="0" w:line="157" w:lineRule="exact"/>
        <w:rPr>
          <w:rFonts w:ascii="Times New Roman" w:cs="Times New Roman" w:eastAsia="Times New Roman" w:hAnsi="Times New Roman"/>
          <w:sz w:val="18"/>
          <w:szCs w:val="18"/>
          <w:color w:val="0000EE"/>
        </w:rPr>
      </w:pPr>
    </w:p>
    <w:p>
      <w:pPr>
        <w:ind w:left="980" w:right="20" w:hanging="324"/>
        <w:spacing w:after="0" w:line="28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circular dated </w:t>
      </w:r>
      <w:hyperlink r:id="rId246">
        <w:r>
          <w:rPr>
            <w:rFonts w:ascii="Times New Roman" w:cs="Times New Roman" w:eastAsia="Times New Roman" w:hAnsi="Times New Roman"/>
            <w:sz w:val="18"/>
            <w:szCs w:val="18"/>
            <w:u w:val="single" w:color="auto"/>
            <w:color w:val="0000EE"/>
          </w:rPr>
          <w:t>April 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respect to an annual general and special meeting of shareholders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held on May 24, 2023, filed on April 24, 2023;</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47">
        <w:r>
          <w:rPr>
            <w:rFonts w:ascii="Times New Roman" w:cs="Times New Roman" w:eastAsia="Times New Roman" w:hAnsi="Times New Roman"/>
            <w:sz w:val="18"/>
            <w:szCs w:val="18"/>
            <w:u w:val="single" w:color="auto"/>
            <w:color w:val="0000EE"/>
          </w:rPr>
          <w:t>January 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relating to an update to the Company’s Bitcoin earned in the 2022 financial year;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48">
        <w:r>
          <w:rPr>
            <w:rFonts w:ascii="Times New Roman" w:cs="Times New Roman" w:eastAsia="Times New Roman" w:hAnsi="Times New Roman"/>
            <w:sz w:val="18"/>
            <w:szCs w:val="18"/>
            <w:u w:val="single" w:color="auto"/>
            <w:color w:val="0000EE"/>
          </w:rPr>
          <w:t>January 13,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initiative to modify its equipment loan facility;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49">
        <w:r>
          <w:rPr>
            <w:rFonts w:ascii="Times New Roman" w:cs="Times New Roman" w:eastAsia="Times New Roman" w:hAnsi="Times New Roman"/>
            <w:sz w:val="18"/>
            <w:szCs w:val="18"/>
            <w:u w:val="single" w:color="auto"/>
            <w:color w:val="0000EE"/>
          </w:rPr>
          <w:t>February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January 2023;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0">
        <w:r>
          <w:rPr>
            <w:rFonts w:ascii="Times New Roman" w:cs="Times New Roman" w:eastAsia="Times New Roman" w:hAnsi="Times New Roman"/>
            <w:sz w:val="18"/>
            <w:szCs w:val="18"/>
            <w:u w:val="single" w:color="auto"/>
            <w:color w:val="0000EE"/>
          </w:rPr>
          <w:t>February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modification of the loan agreement with BlockFi Lending LLC;</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1">
        <w:r>
          <w:rPr>
            <w:rFonts w:ascii="Times New Roman" w:cs="Times New Roman" w:eastAsia="Times New Roman" w:hAnsi="Times New Roman"/>
            <w:sz w:val="18"/>
            <w:szCs w:val="18"/>
            <w:u w:val="single" w:color="auto"/>
            <w:color w:val="0000EE"/>
          </w:rPr>
          <w:t>March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relating to an update to the Company’s Bitcoin earned for the month of February 2023;</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2">
        <w:r>
          <w:rPr>
            <w:rFonts w:ascii="Times New Roman" w:cs="Times New Roman" w:eastAsia="Times New Roman" w:hAnsi="Times New Roman"/>
            <w:sz w:val="18"/>
            <w:szCs w:val="18"/>
            <w:u w:val="single" w:color="auto"/>
            <w:color w:val="0000EE"/>
          </w:rPr>
          <w:t>March 21,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reporting of its financial performance for the year ended December 31, 2022. In this material change report, the Company stated that in 2022 it ranked “among the cost-effective publicly trade BTC mining companies”. In support of this statement, the Company relied upon data provided by www.theminermag.com, namely the “Estimated Gross Margin of Proprietary Bitcoin Hashrate Activities.” With data starting in 2023, www.theminermag.com also reports the “Implied Cost of Bitcoin Production from Proprietary Hashrate”, being the absolute cost of producing Bitcoin, denominated in United States dollars. This data is not presented for the 2022 calendar year, and consequently the Company’s statement in its March 21, 2023 material change report is supported on only a gross margin basis and not on an absolute cost basis;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4">
        <w:r>
          <w:rPr>
            <w:rFonts w:ascii="Times New Roman" w:cs="Times New Roman" w:eastAsia="Times New Roman" w:hAnsi="Times New Roman"/>
            <w:sz w:val="18"/>
            <w:szCs w:val="18"/>
            <w:u w:val="single" w:color="auto"/>
            <w:color w:val="0000EE"/>
          </w:rPr>
          <w:t>April 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relating to an update to the Company’s Bitcoin earned for the month of March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5">
        <w:r>
          <w:rPr>
            <w:rFonts w:ascii="Times New Roman" w:cs="Times New Roman" w:eastAsia="Times New Roman" w:hAnsi="Times New Roman"/>
            <w:sz w:val="18"/>
            <w:szCs w:val="18"/>
            <w:u w:val="single" w:color="auto"/>
            <w:color w:val="0000EE"/>
          </w:rPr>
          <w:t>April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entering into of an agreement to acquire 22 MW of power capacity in Baie-Comeau, Quebec;</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6">
        <w:r>
          <w:rPr>
            <w:rFonts w:ascii="Times New Roman" w:cs="Times New Roman" w:eastAsia="Times New Roman" w:hAnsi="Times New Roman"/>
            <w:sz w:val="18"/>
            <w:szCs w:val="18"/>
            <w:u w:val="single" w:color="auto"/>
            <w:color w:val="0000EE"/>
          </w:rPr>
          <w:t>April 24,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receipt of a permit to expand its power capacity up to 100 MW at its Rio Cuarto, Argentina facility;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7">
        <w:r>
          <w:rPr>
            <w:rFonts w:ascii="Times New Roman" w:cs="Times New Roman" w:eastAsia="Times New Roman" w:hAnsi="Times New Roman"/>
            <w:sz w:val="18"/>
            <w:szCs w:val="18"/>
            <w:u w:val="single" w:color="auto"/>
            <w:color w:val="0000EE"/>
          </w:rPr>
          <w:t>April 28,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achievement of obtaining an aggregate hashrate of 5.0 EH/s;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8">
        <w:r>
          <w:rPr>
            <w:rFonts w:ascii="Times New Roman" w:cs="Times New Roman" w:eastAsia="Times New Roman" w:hAnsi="Times New Roman"/>
            <w:sz w:val="18"/>
            <w:szCs w:val="18"/>
            <w:u w:val="single" w:color="auto"/>
            <w:color w:val="0000EE"/>
          </w:rPr>
          <w:t>May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 regaining compliance with Nasdaq continued listing requirements;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9">
        <w:r>
          <w:rPr>
            <w:rFonts w:ascii="Times New Roman" w:cs="Times New Roman" w:eastAsia="Times New Roman" w:hAnsi="Times New Roman"/>
            <w:sz w:val="18"/>
            <w:szCs w:val="18"/>
            <w:u w:val="single" w:color="auto"/>
            <w:color w:val="0000EE"/>
          </w:rPr>
          <w:t>May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April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0">
        <w:r>
          <w:rPr>
            <w:rFonts w:ascii="Times New Roman" w:cs="Times New Roman" w:eastAsia="Times New Roman" w:hAnsi="Times New Roman"/>
            <w:sz w:val="18"/>
            <w:szCs w:val="18"/>
            <w:u w:val="single" w:color="auto"/>
            <w:color w:val="0000EE"/>
          </w:rPr>
          <w:t>May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Company’s achievement of mining 21,000 Bitcoin over its six years of operations;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1">
        <w:r>
          <w:rPr>
            <w:rFonts w:ascii="Times New Roman" w:cs="Times New Roman" w:eastAsia="Times New Roman" w:hAnsi="Times New Roman"/>
            <w:sz w:val="18"/>
            <w:szCs w:val="18"/>
            <w:u w:val="single" w:color="auto"/>
            <w:color w:val="0000EE"/>
          </w:rPr>
          <w:t>May 15,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reporting of the Company’s financial statements for the first quarter of the 2023 financial year;</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2">
        <w:r>
          <w:rPr>
            <w:rFonts w:ascii="Times New Roman" w:cs="Times New Roman" w:eastAsia="Times New Roman" w:hAnsi="Times New Roman"/>
            <w:sz w:val="18"/>
            <w:szCs w:val="18"/>
            <w:u w:val="single" w:color="auto"/>
            <w:color w:val="0000EE"/>
          </w:rPr>
          <w:t>June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May 2023;</w:t>
      </w:r>
    </w:p>
    <w:p>
      <w:pPr>
        <w:spacing w:after="0" w:line="25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3">
        <w:r>
          <w:rPr>
            <w:rFonts w:ascii="Times New Roman" w:cs="Times New Roman" w:eastAsia="Times New Roman" w:hAnsi="Times New Roman"/>
            <w:sz w:val="18"/>
            <w:szCs w:val="18"/>
            <w:u w:val="single" w:color="auto"/>
            <w:color w:val="0000EE"/>
          </w:rPr>
          <w:t>June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purchase of 4,660 high performance miners;</w:t>
      </w:r>
    </w:p>
    <w:p>
      <w:pPr>
        <w:spacing w:after="0" w:line="25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4">
        <w:r>
          <w:rPr>
            <w:rFonts w:ascii="Times New Roman" w:cs="Times New Roman" w:eastAsia="Times New Roman" w:hAnsi="Times New Roman"/>
            <w:sz w:val="18"/>
            <w:szCs w:val="18"/>
            <w:u w:val="single" w:color="auto"/>
            <w:color w:val="0000EE"/>
          </w:rPr>
          <w:t>June 12,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increase in the Company’s operational hashrate;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5">
        <w:r>
          <w:rPr>
            <w:rFonts w:ascii="Times New Roman" w:cs="Times New Roman" w:eastAsia="Times New Roman" w:hAnsi="Times New Roman"/>
            <w:sz w:val="18"/>
            <w:szCs w:val="18"/>
            <w:u w:val="single" w:color="auto"/>
            <w:color w:val="0000EE"/>
          </w:rPr>
          <w:t>July 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June 2023;</w:t>
      </w:r>
    </w:p>
    <w:p>
      <w:pPr>
        <w:spacing w:after="0" w:line="252"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6">
        <w:r>
          <w:rPr>
            <w:rFonts w:ascii="Times New Roman" w:cs="Times New Roman" w:eastAsia="Times New Roman" w:hAnsi="Times New Roman"/>
            <w:sz w:val="18"/>
            <w:szCs w:val="18"/>
            <w:u w:val="single" w:color="auto"/>
            <w:color w:val="0000EE"/>
          </w:rPr>
          <w:t>July 6,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commencement of operations at its Baie-Comeau facility and the increase of its hashrate target to 6.3 EH/s by the end of the third financial quarter of 2023;</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7">
        <w:r>
          <w:rPr>
            <w:rFonts w:ascii="Times New Roman" w:cs="Times New Roman" w:eastAsia="Times New Roman" w:hAnsi="Times New Roman"/>
            <w:sz w:val="18"/>
            <w:szCs w:val="18"/>
            <w:u w:val="single" w:color="auto"/>
            <w:color w:val="0000EE"/>
          </w:rPr>
          <w:t>July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entering into of power purchase agreements in Paraguay for up to 150 MW of hydropower;</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8">
        <w:r>
          <w:rPr>
            <w:rFonts w:ascii="Times New Roman" w:cs="Times New Roman" w:eastAsia="Times New Roman" w:hAnsi="Times New Roman"/>
            <w:sz w:val="18"/>
            <w:szCs w:val="18"/>
            <w:u w:val="single" w:color="auto"/>
            <w:color w:val="0000EE"/>
          </w:rPr>
          <w:t>August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July 2023;</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9">
        <w:r>
          <w:rPr>
            <w:rFonts w:ascii="Times New Roman" w:cs="Times New Roman" w:eastAsia="Times New Roman" w:hAnsi="Times New Roman"/>
            <w:sz w:val="18"/>
            <w:szCs w:val="18"/>
            <w:u w:val="single" w:color="auto"/>
            <w:color w:val="0000EE"/>
          </w:rPr>
          <w:t>August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deployment plan of a 50 MW of hydropower substation located in Paraguay;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0">
        <w:r>
          <w:rPr>
            <w:rFonts w:ascii="Times New Roman" w:cs="Times New Roman" w:eastAsia="Times New Roman" w:hAnsi="Times New Roman"/>
            <w:sz w:val="18"/>
            <w:szCs w:val="18"/>
            <w:u w:val="single" w:color="auto"/>
            <w:color w:val="0000EE"/>
          </w:rPr>
          <w:t>August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announcement of the Company’s second quarter 2023 financial results;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1">
        <w:r>
          <w:rPr>
            <w:rFonts w:ascii="Times New Roman" w:cs="Times New Roman" w:eastAsia="Times New Roman" w:hAnsi="Times New Roman"/>
            <w:sz w:val="18"/>
            <w:szCs w:val="18"/>
            <w:u w:val="single" w:color="auto"/>
            <w:color w:val="0000EE"/>
          </w:rPr>
          <w:t>September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August 2023;</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2">
        <w:r>
          <w:rPr>
            <w:rFonts w:ascii="Times New Roman" w:cs="Times New Roman" w:eastAsia="Times New Roman" w:hAnsi="Times New Roman"/>
            <w:sz w:val="18"/>
            <w:szCs w:val="18"/>
            <w:u w:val="single" w:color="auto"/>
            <w:color w:val="0000EE"/>
          </w:rPr>
          <w:t>October 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September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3">
        <w:r>
          <w:rPr>
            <w:rFonts w:ascii="Times New Roman" w:cs="Times New Roman" w:eastAsia="Times New Roman" w:hAnsi="Times New Roman"/>
            <w:sz w:val="18"/>
            <w:szCs w:val="18"/>
            <w:u w:val="single" w:color="auto"/>
            <w:color w:val="0000EE"/>
          </w:rPr>
          <w:t>October 23,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increase of operating capacity at the Company’s facility located in Baie-Comeau to 240 MW;</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4">
        <w:r>
          <w:rPr>
            <w:rFonts w:ascii="Times New Roman" w:cs="Times New Roman" w:eastAsia="Times New Roman" w:hAnsi="Times New Roman"/>
            <w:sz w:val="18"/>
            <w:szCs w:val="18"/>
            <w:u w:val="single" w:color="auto"/>
            <w:color w:val="0000EE"/>
          </w:rPr>
          <w:t>November 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an update to the Company’s Bitcoin earned for the month of October 2023;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75">
        <w:r>
          <w:rPr>
            <w:rFonts w:ascii="Times New Roman" w:cs="Times New Roman" w:eastAsia="Times New Roman" w:hAnsi="Times New Roman"/>
            <w:sz w:val="18"/>
            <w:szCs w:val="18"/>
            <w:u w:val="single" w:color="auto"/>
            <w:color w:val="0000EE"/>
          </w:rPr>
          <w:t>November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announcement of the Company’s third quarter 2023 financial results.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1" w:name="page152"/>
    <w:bookmarkEnd w:id="151"/>
    <w:p>
      <w:pPr>
        <w:jc w:val="both"/>
        <w:spacing w:after="0" w:line="255" w:lineRule="auto"/>
        <w:rPr>
          <w:sz w:val="20"/>
          <w:szCs w:val="20"/>
          <w:color w:val="auto"/>
        </w:rPr>
      </w:pPr>
      <w:r>
        <w:rPr>
          <w:rFonts w:ascii="Times New Roman" w:cs="Times New Roman" w:eastAsia="Times New Roman" w:hAnsi="Times New Roman"/>
          <w:sz w:val="18"/>
          <w:szCs w:val="18"/>
          <w:color w:val="auto"/>
        </w:rPr>
        <w:t>Any documents of the type described in Section 11.1 of Form 44-101F1 Short Form Prospectuses filed by the Company with a securities commission or similar authority in any province or territory of Canada subsequent to the date of this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such document or information shall also be deemed to be incorporated by reference as an exhibit to the Registration Statement (in the case of a report on Form 6-K, if and to the extent expressly provided in such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the Company’s website in any documents that are incorporated by reference into this prospectus do not incorporate by reference the information on such website into this prospectus, and we disclaim any such incorporation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high, low, average and closing rates for the U.S. dollar in terms of Canadian dollars for each of the financial periods indicated below, as quoted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Canada,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80" w:type="dxa"/>
            <w:vAlign w:val="bottom"/>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(expressed in Canadian dollars)</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1.3674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1.3726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1.3856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1.3128</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1.2753</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1.2451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1.3414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1.3013</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1.3520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1.3707</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1.3544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1.2678</w:t>
            </w:r>
          </w:p>
        </w:tc>
      </w:tr>
    </w:tbl>
    <w:p>
      <w:pPr>
        <w:spacing w:after="0" w:line="17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On November 9, 2023, the daily exchange rate for the U.S. dollar in terms of Canadian dollars, as quoted by the Bank of Canada, was $1.00 = C$1.3781.</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FILED AS PART OF THE REGISTRATION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documents have been, or will be, filed with the SEC as part of the Registration Statement, of which this prospectus forms a part: (1) the documents listed under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(2) the consent of PricewaterhouseCoopers LLP; (3) powers of attorney from certain of the Company’s directors and officers; and (4) the forms of senior and subordinated indenture relating to the debt securities.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241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9">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as well as the documents incorporated by reference into this prospectus and the applicable prospectus supplement, before making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decision.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Address and Incorporation</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October 11, 2018, and continued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on August 27, 2021. The Company has its registered and head office located at 110 Yonge Street, Suite 1601, Toronto, ON M5C 1T4. The Company’s Common Shares are listed for trading on the Nasdaq and on the TSX under the trading symbol “BITF”.</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principal material subsidiaries of the Company as of the date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100" w:type="dxa"/>
            <w:vAlign w:val="bottom"/>
          </w:tcPr>
          <w:p>
            <w:pPr>
              <w:spacing w:after="0"/>
              <w:rPr>
                <w:sz w:val="21"/>
                <w:szCs w:val="21"/>
                <w:color w:val="auto"/>
              </w:rPr>
            </w:pPr>
          </w:p>
        </w:tc>
        <w:tc>
          <w:tcPr>
            <w:tcW w:w="42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Assets Held</w:t>
            </w:r>
          </w:p>
        </w:tc>
      </w:tr>
      <w:tr>
        <w:trPr>
          <w:trHeight w:val="216"/>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(Israel)</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Inc.</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 cryptocurrency</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SAU</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Paraguay SA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Paraguay</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Mining Solutions LLC</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194"/>
        </w:trPr>
        <w:tc>
          <w:tcPr>
            <w:tcW w:w="5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9159-9290 Québec Inc. (operating under the name “Volta Électrique</w:t>
            </w:r>
          </w:p>
        </w:tc>
        <w:tc>
          <w:tcPr>
            <w:tcW w:w="1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Quebec</w:t>
            </w:r>
          </w:p>
        </w:tc>
        <w:tc>
          <w:tcPr>
            <w:tcW w:w="430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Provides professional electrical services to Backbone</w:t>
            </w:r>
          </w:p>
        </w:tc>
      </w:tr>
      <w:tr>
        <w:trPr>
          <w:trHeight w:val="238"/>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w:t>
            </w:r>
            <w:r>
              <w:rPr>
                <w:rFonts w:ascii="Times New Roman" w:cs="Times New Roman" w:eastAsia="Times New Roman" w:hAnsi="Times New Roman"/>
                <w:sz w:val="18"/>
                <w:szCs w:val="18"/>
                <w:b w:val="1"/>
                <w:bCs w:val="1"/>
                <w:color w:val="auto"/>
              </w:rPr>
              <w:t>Volta</w:t>
            </w: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Hosting Solutions Inc. and outside customers</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 Constellation Technologies Inc.</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Quebec</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D&amp;N Ingenieria SA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Paraguay</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41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Description of the Business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primary business is the mining of cryptocurrency. Through its subsidiaries, the Company owns and operates server farms, composed of computers (referred to as “</w:t>
      </w:r>
      <w:r>
        <w:rPr>
          <w:rFonts w:ascii="Times New Roman" w:cs="Times New Roman" w:eastAsia="Times New Roman" w:hAnsi="Times New Roman"/>
          <w:sz w:val="18"/>
          <w:szCs w:val="18"/>
          <w:b w:val="1"/>
          <w:bCs w:val="1"/>
          <w:color w:val="auto"/>
        </w:rPr>
        <w:t>Miners</w:t>
      </w:r>
      <w:r>
        <w:rPr>
          <w:rFonts w:ascii="Times New Roman" w:cs="Times New Roman" w:eastAsia="Times New Roman" w:hAnsi="Times New Roman"/>
          <w:sz w:val="18"/>
          <w:szCs w:val="18"/>
          <w:color w:val="auto"/>
        </w:rPr>
        <w:t>”) designed for the purpose of validating transactions on the Bitcoin Blockchain (referred to as “</w:t>
      </w: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Bitfarms generally operates Miners 24 hours a day producing computational power (measured by hashrate) which it sells to Mining Pools (as defined herein), for a formula-driven rate commonly known in the industry as Full Pay Per Share (“</w:t>
      </w:r>
      <w:r>
        <w:rPr>
          <w:rFonts w:ascii="Times New Roman" w:cs="Times New Roman" w:eastAsia="Times New Roman" w:hAnsi="Times New Roman"/>
          <w:sz w:val="18"/>
          <w:szCs w:val="18"/>
          <w:b w:val="1"/>
          <w:bCs w:val="1"/>
          <w:color w:val="auto"/>
        </w:rPr>
        <w:t>FPPS</w:t>
      </w:r>
      <w:r>
        <w:rPr>
          <w:rFonts w:ascii="Times New Roman" w:cs="Times New Roman" w:eastAsia="Times New Roman" w:hAnsi="Times New Roman"/>
          <w:sz w:val="18"/>
          <w:szCs w:val="18"/>
          <w:color w:val="auto"/>
        </w:rPr>
        <w:t>”). For more information regarding the Company’s Mining Pool arrangements, see “</w:t>
      </w:r>
      <w:r>
        <w:rPr>
          <w:rFonts w:ascii="Times New Roman" w:cs="Times New Roman" w:eastAsia="Times New Roman" w:hAnsi="Times New Roman"/>
          <w:sz w:val="18"/>
          <w:szCs w:val="18"/>
          <w:i w:val="1"/>
          <w:iCs w:val="1"/>
          <w:color w:val="auto"/>
        </w:rPr>
        <w:t>THE COMPANY – Summary Description of the Business –</w:t>
      </w:r>
      <w:r>
        <w:rPr>
          <w:rFonts w:ascii="Times New Roman" w:cs="Times New Roman" w:eastAsia="Times New Roman" w:hAnsi="Times New Roman"/>
          <w:sz w:val="18"/>
          <w:szCs w:val="18"/>
          <w:color w:val="auto"/>
        </w:rPr>
        <w:t xml:space="preserve"> Mining Pool Participation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For more information regarding the business of the Company, see the 2022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350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1">
                      <a:extLst>
                        <a:ext uri="{28A0092B-C50C-407E-A947-70E740481C1C}"/>
                      </a:extLst>
                    </a:blip>
                    <a:srcRect/>
                    <a:stretch>
                      <a:fillRect/>
                    </a:stretch>
                  </pic:blipFill>
                  <pic:spPr bwMode="auto">
                    <a:xfrm>
                      <a:off x="0" y="0"/>
                      <a:ext cx="7127875" cy="4350385"/>
                    </a:xfrm>
                    <a:prstGeom prst="rect">
                      <a:avLst/>
                    </a:prstGeom>
                    <a:noFill/>
                  </pic:spPr>
                </pic:pic>
              </a:graphicData>
            </a:graphic>
          </wp:anchor>
        </w:drawing>
        <w:t>In the description of the business of the Company in this short form base shelf prospectus:</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76"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“Block Reward” </w:t>
      </w:r>
      <w:r>
        <w:rPr>
          <w:rFonts w:ascii="Times New Roman" w:cs="Times New Roman" w:eastAsia="Times New Roman" w:hAnsi="Times New Roman"/>
          <w:sz w:val="18"/>
          <w:szCs w:val="18"/>
          <w:color w:val="auto"/>
        </w:rPr>
        <w:t>shall refer to the new bitcoins that are awarded by the Blockchain network to eligible cryptocurrency Miners for each block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successfully mine. The current block reward is 6.25 Bitcoin per block;</w:t>
      </w:r>
    </w:p>
    <w:p>
      <w:pPr>
        <w:spacing w:after="0" w:line="15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“Blockchain” </w:t>
      </w:r>
      <w:r>
        <w:rPr>
          <w:rFonts w:ascii="Times New Roman" w:cs="Times New Roman" w:eastAsia="Times New Roman" w:hAnsi="Times New Roman"/>
          <w:sz w:val="18"/>
          <w:szCs w:val="18"/>
          <w:color w:val="auto"/>
        </w:rPr>
        <w:t>shall refer to a cloud-based public ledger that exists on computers that participate on the network globally. The Blockchain grows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82"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“Hash” </w:t>
      </w:r>
      <w:r>
        <w:rPr>
          <w:rFonts w:ascii="Times New Roman" w:cs="Times New Roman" w:eastAsia="Times New Roman" w:hAnsi="Times New Roman"/>
          <w:sz w:val="18"/>
          <w:szCs w:val="18"/>
          <w:color w:val="auto"/>
        </w:rPr>
        <w:t>shall refer to a function that converts or maps an input of letters and numbers into an encrypted output of a fixed length, which outputs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often referred to as Hashes. A Hash is created using an algorithm. The algorithm used in the validation of Bitcoin transactions is the SHA-256 algorithm.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“Hashrate” </w:t>
      </w:r>
      <w:r>
        <w:rPr>
          <w:rFonts w:ascii="Times New Roman" w:cs="Times New Roman" w:eastAsia="Times New Roman" w:hAnsi="Times New Roman"/>
          <w:sz w:val="18"/>
          <w:szCs w:val="18"/>
          <w:color w:val="auto"/>
        </w:rPr>
        <w:t>shall refer to the number of Hash operations performed per second and is a measure of computing power in Mining cryptocurrency;</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Pool</w:t>
      </w:r>
      <w:r>
        <w:rPr>
          <w:rFonts w:ascii="Times New Roman" w:cs="Times New Roman" w:eastAsia="Times New Roman" w:hAnsi="Times New Roman"/>
          <w:sz w:val="18"/>
          <w:szCs w:val="18"/>
          <w:color w:val="auto"/>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shall refer to a megawatt, which is 1,000 kilowatts of electricity and, in the industry of cryptocurrency mining, is typically a reference to the number of megawatts of electricity that is available for use.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55" w:name="page156"/>
    <w:bookmarkEnd w:id="155"/>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935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3">
                      <a:extLst>
                        <a:ext uri="{28A0092B-C50C-407E-A947-70E740481C1C}"/>
                      </a:extLst>
                    </a:blip>
                    <a:srcRect/>
                    <a:stretch>
                      <a:fillRect/>
                    </a:stretch>
                  </pic:blipFill>
                  <pic:spPr bwMode="auto">
                    <a:xfrm>
                      <a:off x="0" y="0"/>
                      <a:ext cx="7127875" cy="7093585"/>
                    </a:xfrm>
                    <a:prstGeom prst="rect">
                      <a:avLst/>
                    </a:prstGeom>
                    <a:noFill/>
                  </pic:spPr>
                </pic:pic>
              </a:graphicData>
            </a:graphic>
          </wp:anchor>
        </w:drawing>
        <w:t>Prior to January 2021, the Company routinely exchanged cryptocurrencies earned into U.S. dollars through reputable cryptocurrency trading platforms. At the beginning of Fiscal 2021, the Company implemented the Digital Asset Management Program under which the Company decided how many earned Bitcoin would be held by the Company through its custodians. See the 2022 AIF under the heading “</w:t>
      </w:r>
      <w:r>
        <w:rPr>
          <w:rFonts w:ascii="Times New Roman" w:cs="Times New Roman" w:eastAsia="Times New Roman" w:hAnsi="Times New Roman"/>
          <w:sz w:val="18"/>
          <w:szCs w:val="18"/>
          <w:i w:val="1"/>
          <w:iCs w:val="1"/>
          <w:color w:val="auto"/>
        </w:rPr>
        <w:t>DESCRIPTION OF BUSINESS -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Overview – Digital Asset Management Program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October 31, 2023, Bitfarms operates eleven total server farms around the world. Eight server farm facilities are located in Québec, Canada, with electrical infrastructure capacity of 158 MW for Mining Bitcoin and expansion opportunities up to 179 MW; one server farm facility is located in Washington State, United States, with operational electrical infrastructure capacity of 18 MW and expansion opportunities up to 24 MW; one server farm facility is located in Villarrica, Paraguay, with electrical infrastructure capacity of 10 MW and expansion opportunities up to 160 MW in Paraguay; and one server farm facility is located in Argentina, with current operational electrical infrastructure capacity of 55 MW, of which 54 MW are currently operating. The Company has contracts securing an aggregate of 179 MW, 160 MW and 24 MW of hydro-electric green energy in Quebec, Paraguay, and Washington, respectively, and up to 210 MW of natural gas energy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2022 and is continually being updated to enhance its features and improve its functionality. The revised system is referred to as MGMT-2.</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Volta provides electrician services to both commercial and residential customers in Québec, while assisting Bitfarms in building and maintaining its server farms in Quebec.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working capital of the Company at September 30, 2023 is approximately $54.0 million. In 2021, 2022 and the first nine months of 2023, the Company raised capital through the issuance of common shares through its at-the-market equity offering program which commenced on August 16, 2021. The decrease in the Company’s working capital through 2022 is attributable primarily to a decrease in the price of Bitcoin relative to prior years, the Company holding fewer Bitcoins, and the spending of capital on property, plant and equipment acquisitions for the Company’s several expansions, which increased the Company’s Hashrate to 6.3 EH/s in October 2023. As at November 9, 2023, the Company holds approximately 774 Bitcoins.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cash operating expenditures are estimated to approximate $148.8 million for the next 12 months, or about $12.4 million per month based on approximately $8.4 million per month for energy costs of the Company’s infrastructure that is estimated to reach 158 MW in Quebec, 18 MW in Washington State, 30 MW in Paraguay and 55 MW in Argentina at the blended contractual energy price of approximately $0.045 USD/KwH or less, facilities expense of approximately $0.5 million per month, cash compensation expense of approximately $1.7 million per month and the balance for recurring professional fees and other ongoing general and administrative expenses of approximately $1.8 million per month. Offsetting the impact to the Company’s working capital of the cash operating expenditures are the generation of Bitcoin from operations. In the most recently completed month, October 2023, the Company earned 398 Bitcoin with a value of approximately $11.8 million based on an average price of $29,600 during the month. The Company’s existing operations are contributing positively to the Company’s working capital position and will allow it to continue operations for the foreseeable future under current Bitcoin price and difficulty conditions.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xml:space="preserve">, the Company’s planned capital expenditures, including acquisitions, over the next 18 months are anticipated to be approximately $100 million to $300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 – Business Objectives and Milestones”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the Company has raised net proceeds of approximately $54.1 million and $68.5 million in the 2022 financial year and in the first nine months of 2023, respectively, through the issuance of common shares through its at-the-market equity offering program. The Company may be able to raise an additional approximately $80.5 million from the exercise of outstanding warrants to purchase Common Shares. In addition to the foregoing and the proceeds of any financing pursuant to this prospectus, the Company may utilize debt facilities from existing and new lenders to the Company as well as borrowing against, or if necessary, liquidating, its Bitcoin inventory. Liquidating or borrowing against the Company’s Bitcoin inventory is not anticipated to impact the Company’s operating activities and its revenue stream from ongoing Mining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56" w:name="page157"/>
    <w:bookmarkEnd w:id="15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053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5">
                      <a:extLst>
                        <a:ext uri="{28A0092B-C50C-407E-A947-70E740481C1C}"/>
                      </a:extLst>
                    </a:blip>
                    <a:srcRect/>
                    <a:stretch>
                      <a:fillRect/>
                    </a:stretch>
                  </pic:blipFill>
                  <pic:spPr bwMode="auto">
                    <a:xfrm>
                      <a:off x="0" y="0"/>
                      <a:ext cx="7127875" cy="8053705"/>
                    </a:xfrm>
                    <a:prstGeom prst="rect">
                      <a:avLst/>
                    </a:prstGeom>
                    <a:noFill/>
                  </pic:spPr>
                </pic:pic>
              </a:graphicData>
            </a:graphic>
          </wp:anchor>
        </w:drawing>
        <w:t>More detailed information regarding the business of the Company as well as its mining operations can be found in the 2022 AIF under the heading “</w:t>
      </w:r>
      <w:r>
        <w:rPr>
          <w:rFonts w:ascii="Times New Roman" w:cs="Times New Roman" w:eastAsia="Times New Roman" w:hAnsi="Times New Roman"/>
          <w:sz w:val="18"/>
          <w:szCs w:val="18"/>
          <w:i w:val="1"/>
          <w:iCs w:val="1"/>
          <w:color w:val="auto"/>
        </w:rPr>
        <w:t>DESCRIPTION OF THE BUSINESS – Description of the Busines</w:t>
      </w:r>
      <w:r>
        <w:rPr>
          <w:rFonts w:ascii="Times New Roman" w:cs="Times New Roman" w:eastAsia="Times New Roman" w:hAnsi="Times New Roman"/>
          <w:sz w:val="18"/>
          <w:szCs w:val="18"/>
          <w:color w:val="auto"/>
        </w:rPr>
        <w:t>s”, the 2022 MD&amp;A and the Interim MD&amp;A, all of which are incorporated by reference 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Mining Profitability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possible to determine with certainty the price of Bitcoin at which the Company’s costs would exceed its revenues. This is because the price of Bitcoin and network difficulty are interdependent factors and must be analyzed together to determine whether the economics warrant pausing of mining activities. The Company would consider pausing mining activity if the network difficulty and Bitcoin price resulted in revenue per teraHash decreasing below 4 cents – a level at which the variable cost of mining (i.e. the incremental cost of mining Bitcoin) exceeds the revenue per teraHash. In such a circumstance, the Company would consider the long-term impact of pausing its operations, in addition to the direct economic impact.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difficulty levels as at the end of September 2023, the Company’s average direct cost per Bitcoin was approximately US$16,300; however, the Company would likely be in a position to continue mining Bitcoin profitably if the price per Bitcoin decreased to this level. In the event that the price per Bitcoin decreased below approximately US$16,300, the Company would expect that many other miners in the industry would earn revenue below their break-even cost of production and suspend operations. Consequently, the Company would expect that the network difficulty would decrease (causing the Company’s cost per Bitcoin to also decrease). In the event that the price of Bitcoin decreases below US$16,300 and network difficulty does not change, the Company may temporarily pause mining until the price surpasses the Company’s average direct cost per Bitcoin.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the event the network difficulty rises or the Bitcoin price decreases such that the direct cost exceeds the Hashrate per teraHash, the Company may consider reducing the clock rate of its miners, resulting in greater electrical efficiency and a lower direct cost per Bitcoin.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Cryptocurrency Network Difficulty and Impact of Increased Global Computing Power”.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2023, network difficulty increased to over 57 trillion Hashes. As of the date hereof, network difficulty remains over 62 trillion Hashes. The increase in network difficulty has had the effect of reducing the Company’s quantity of Bitcoin the Company earns on an ongoing basis, as the Company’s Hashrate did not increase in proportion to the increase in network difficulty. Bitcoin mining difficulty increased by approximately 5 trillion Hashes, or about 9%, from the end of September to the end of October. Assuming no change in the Company’s Hashrate, the Company would receive approximately 8% less Bitcoin due to the increase in Bitcoin mining difficulty. The reduction in the quantity of Bitcoin earned resulted in an increase of the Company’s average direct cost per Bitcoin (as the costs incurred are allocated over fewer earned Bitcoins). However, the Company’s revenues increased in October 2023 compared to September 2023 as the price of Bitcoin and the Company’s average hashrate increased to minimize the impact of the Company earning fewer Bitcoins as a result of the increased mining difficulty.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Mining Pool Participation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generally operates Miners 24 hours a day producing computational power (measured by hashrate) which it sells to Mining Pools (as defined herein), and is compensated on a FPPS basis. Bitfarms currently participates in only one Mining Pool, being Foundry USA Pool (“</w:t>
      </w:r>
      <w:r>
        <w:rPr>
          <w:rFonts w:ascii="Times New Roman" w:cs="Times New Roman" w:eastAsia="Times New Roman" w:hAnsi="Times New Roman"/>
          <w:sz w:val="18"/>
          <w:szCs w:val="18"/>
          <w:b w:val="1"/>
          <w:bCs w:val="1"/>
          <w:color w:val="auto"/>
        </w:rPr>
        <w:t>Foundry Pool</w:t>
      </w:r>
      <w:r>
        <w:rPr>
          <w:rFonts w:ascii="Times New Roman" w:cs="Times New Roman" w:eastAsia="Times New Roman" w:hAnsi="Times New Roman"/>
          <w:sz w:val="18"/>
          <w:szCs w:val="18"/>
          <w:color w:val="auto"/>
        </w:rPr>
        <w:t>”).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The Company provides its Mining Pool with computing power (Hashrate) over a 24-hour period and continues to record the recognition of revenue upon delivery of the service which generally coincides with the receipt of crypto assets in exchange for mining activities. Mining Pools generate revenue by Mining with purchased Hashrate through the accumulation of block rewards and transaction fees issued by the Bitcoin network. Mining Pools are purchasing Hashrate and take on risk with the aim to mine more blocks than they should in a given time period.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miners’ Hashrate is directed to Foundry Pool’s cloud-based network with a specific URL address. Bitfarms uses at least one unique URL address per location. Mining Pools (including Foundry Pool) generally have software to compute distribution proportions among participating Miners, verify Miner’s contributions, and distribute rewards to each Miner. Other members of the Mining Pool also direct </w:t>
      </w:r>
      <w:r>
        <w:rPr>
          <w:rFonts w:ascii="Times New Roman" w:cs="Times New Roman" w:eastAsia="Times New Roman" w:hAnsi="Times New Roman"/>
          <w:sz w:val="18"/>
          <w:szCs w:val="18"/>
          <w:i w:val="1"/>
          <w:iCs w:val="1"/>
          <w:color w:val="auto"/>
        </w:rPr>
        <w:t>their</w:t>
      </w:r>
      <w:r>
        <w:rPr>
          <w:rFonts w:ascii="Times New Roman" w:cs="Times New Roman" w:eastAsia="Times New Roman" w:hAnsi="Times New Roman"/>
          <w:sz w:val="18"/>
          <w:szCs w:val="18"/>
          <w:color w:val="auto"/>
        </w:rPr>
        <w:t xml:space="preserve"> Miners Hashrate to Foundry Pool with URL address(es) that are unique to </w:t>
      </w:r>
      <w:r>
        <w:rPr>
          <w:rFonts w:ascii="Times New Roman" w:cs="Times New Roman" w:eastAsia="Times New Roman" w:hAnsi="Times New Roman"/>
          <w:sz w:val="18"/>
          <w:szCs w:val="18"/>
          <w:i w:val="1"/>
          <w:iCs w:val="1"/>
          <w:color w:val="auto"/>
        </w:rPr>
        <w:t>those</w:t>
      </w:r>
      <w:r>
        <w:rPr>
          <w:rFonts w:ascii="Times New Roman" w:cs="Times New Roman" w:eastAsia="Times New Roman" w:hAnsi="Times New Roman"/>
          <w:sz w:val="18"/>
          <w:szCs w:val="18"/>
          <w:color w:val="auto"/>
        </w:rPr>
        <w:t xml:space="preserve"> members.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expects that it could earn marginally more revenues over a specific time period by not participating in a Mining Pool (as a result of not being charged any fee by the Mining Pool), it elects to do so primarily to make its earning more predictable and to generate revenues on a daily basis, i.e. based on what it would be expected to mine. Indeed, prior to the commencement of a particular day, the Company is able to formulate a reasonably accurate estimate of the revenues it will earn that day, based on its expected Hashrate contributed to the Pool. In practice, the Hashrate contributed to the Mining Pool by the Company will vary somewhat for any number of reasons, (e.g. an individual miner malfunctions, requiring repairs).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57" w:name="page158"/>
    <w:bookmarkEnd w:id="15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6847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7">
                      <a:extLst>
                        <a:ext uri="{28A0092B-C50C-407E-A947-70E740481C1C}"/>
                      </a:extLst>
                    </a:blip>
                    <a:srcRect/>
                    <a:stretch>
                      <a:fillRect/>
                    </a:stretch>
                  </pic:blipFill>
                  <pic:spPr bwMode="auto">
                    <a:xfrm>
                      <a:off x="0" y="0"/>
                      <a:ext cx="7127875" cy="7684770"/>
                    </a:xfrm>
                    <a:prstGeom prst="rect">
                      <a:avLst/>
                    </a:prstGeom>
                    <a:noFill/>
                  </pic:spPr>
                </pic:pic>
              </a:graphicData>
            </a:graphic>
          </wp:anchor>
        </w:drawing>
        <w:t>The short-term impact of not using a Mining Pool cannot be estimated. It is possible that the Company experiences a period of good fortune and solves a greater number of blocks than it would be expected to based solely on its Hashrate, in which case its revenues would be greater than the FPPS payout methodology, for that specific time period. On the other hand, over a specific time period, Bitfarms could solve fewer blocks and earn less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payout formula that Foundry Pool pays to Bitfarms (not including transaction fees)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where Subaccount FPPS Payout Amount is the amount of payment (in Bitcoin) that the Company actual receives; Daily PPS Base per Subaccount is the amount of Bitcoin earned by the Company </w:t>
      </w:r>
      <w:r>
        <w:rPr>
          <w:rFonts w:ascii="Times New Roman" w:cs="Times New Roman" w:eastAsia="Times New Roman" w:hAnsi="Times New Roman"/>
          <w:sz w:val="18"/>
          <w:szCs w:val="18"/>
          <w:i w:val="1"/>
          <w:iCs w:val="1"/>
          <w:color w:val="auto"/>
        </w:rPr>
        <w:t>based on the block subsidy</w:t>
      </w:r>
      <w:r>
        <w:rPr>
          <w:rFonts w:ascii="Times New Roman" w:cs="Times New Roman" w:eastAsia="Times New Roman" w:hAnsi="Times New Roman"/>
          <w:sz w:val="18"/>
          <w:szCs w:val="18"/>
          <w:color w:val="auto"/>
        </w:rPr>
        <w:t xml:space="preserve"> that is paid to Bitcoin Miners for solving a block (the “</w:t>
      </w:r>
      <w:r>
        <w:rPr>
          <w:rFonts w:ascii="Times New Roman" w:cs="Times New Roman" w:eastAsia="Times New Roman" w:hAnsi="Times New Roman"/>
          <w:sz w:val="18"/>
          <w:szCs w:val="18"/>
          <w:b w:val="1"/>
          <w:bCs w:val="1"/>
          <w:color w:val="auto"/>
        </w:rPr>
        <w:t>Reward Component</w:t>
      </w:r>
      <w:r>
        <w:rPr>
          <w:rFonts w:ascii="Times New Roman" w:cs="Times New Roman" w:eastAsia="Times New Roman" w:hAnsi="Times New Roman"/>
          <w:sz w:val="18"/>
          <w:szCs w:val="18"/>
          <w:color w:val="auto"/>
        </w:rPr>
        <w:t>”); FPPS Rate is a factor that increases the Reward Component to account for transaction fees paid by users of the Bitcoin network who wish to record a transaction to the Bitcoin blockchain and which fees are paid to Bitcoin Miners for solving a block that includes that transaction; and Pool Fee % is the fee withheld by Foundry Pool, i.e. the fees paid by the Company for its participation in the pool.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Daily PPS Base per Subaccount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where worker is the number of Miners (or groups of Miners),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equals a number equal to the aggregate Hashrate of a worker divided by sets equal to the size of the </w:t>
      </w:r>
      <w:r>
        <w:rPr>
          <w:rFonts w:ascii="Times New Roman" w:cs="Times New Roman" w:eastAsia="Times New Roman" w:hAnsi="Times New Roman"/>
          <w:sz w:val="18"/>
          <w:szCs w:val="18"/>
          <w:i w:val="1"/>
          <w:iCs w:val="1"/>
          <w:color w:val="auto"/>
        </w:rPr>
        <w:t>share difficulty</w:t>
      </w:r>
      <w:r>
        <w:rPr>
          <w:rFonts w:ascii="Times New Roman" w:cs="Times New Roman" w:eastAsia="Times New Roman" w:hAnsi="Times New Roman"/>
          <w:sz w:val="18"/>
          <w:szCs w:val="18"/>
          <w:color w:val="auto"/>
        </w:rPr>
        <w:t xml:space="preserve"> (such that the sum of all such shares is equal to the aggregate Hashpower of a particular worker; block subsidy is the amount of Bitcoin rewarded for solving a block (currently 6.25 Bitcoin, until the next Halving event, scheduled to occur in April or May 2024 (the “</w:t>
      </w: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Halving</w:t>
      </w:r>
      <w:r>
        <w:rPr>
          <w:rFonts w:ascii="Times New Roman" w:cs="Times New Roman" w:eastAsia="Times New Roman" w:hAnsi="Times New Roman"/>
          <w:sz w:val="18"/>
          <w:szCs w:val="18"/>
          <w:color w:val="auto"/>
        </w:rPr>
        <w:t>”)), and network difficulty is the Bitcoin network difficulty.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FPPS Rate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where the sum of the contract period block subsidies is the aggregate amount of block subsidies awarded to all Miners on the Bitcoin blockchain over a particular period of time (e.g. 24 hours) and the sum of the contract period transaction fees are the actual transaction fees paid by all Bitcoin network users for the transaction they log to the blockchain on the blocks over the same period of time (i.e. 24 hours). This whole reward payment (i.e. the sum of the block subsidy and the transaction fee) can be publicly inspected on the Bitcoin blockchain, and the transaction fee is determined by subtracting the block subsidy, i.e. 6.25 Bitcoins until the 2024 Halving. As a control measure, on a monthly basis, the Company re-calculates the reward payment it should earn based on its theoretical Hashrate and compares it to the reward payments received from Foundry. The Issuer has not identified any material differences with Foundry Pool’s reward payments.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Emerging Market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deemed to be “emerging markets” generally and for Canadian securities law disclosure purposes. These operations are ran through the Company’s subsidiaries, which are locally incorporated or established for the purposes of compliance with local laws; in the case of Argentina, through Backbone Hosting Solutions S.A.U., and in the case of Paraguay, through Backbone Hosting Solutions Paraguay S.A. Operating in Argentina and Paraguay, or any other emerging markets which the Company may choose to operate in at a future date, exposes the Company to risks and uncertainties that do not exist or are significantly less likely to exist in other jurisdictions where the Company operates, such as the United States or Canada. In order to mitigate these risks, the Company has implemented and observes corporate governance practices for itself and all of its operating subsidiaries, which include internal controls over financial reporting and disclosure controls. These systems are coordinated by the Company’s senior management and the Board.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702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9">
                      <a:extLst>
                        <a:ext uri="{28A0092B-C50C-407E-A947-70E740481C1C}"/>
                      </a:extLst>
                    </a:blip>
                    <a:srcRect/>
                    <a:stretch>
                      <a:fillRect/>
                    </a:stretch>
                  </pic:blipFill>
                  <pic:spPr bwMode="auto">
                    <a:xfrm>
                      <a:off x="0" y="0"/>
                      <a:ext cx="7127875" cy="5970270"/>
                    </a:xfrm>
                    <a:prstGeom prst="rect">
                      <a:avLst/>
                    </a:prstGeom>
                    <a:noFill/>
                  </pic:spPr>
                </pic:pic>
              </a:graphicData>
            </a:graphic>
          </wp:anchor>
        </w:drawing>
        <w:t>See “</w:t>
      </w:r>
      <w:r>
        <w:rPr>
          <w:rFonts w:ascii="Times New Roman" w:cs="Times New Roman" w:eastAsia="Times New Roman" w:hAnsi="Times New Roman"/>
          <w:sz w:val="18"/>
          <w:szCs w:val="18"/>
          <w:i w:val="1"/>
          <w:iCs w:val="1"/>
          <w:color w:val="auto"/>
        </w:rPr>
        <w:t>RISK FACTORS - Risks Related to Emerging Markets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98% of the first 55 MW warehouse in the Rio Cuarto Facility (as that term is defined in the 2022 AIF) was fully commissioned during the first nine months of 2023. The Company is currently assessing the timing and extent of the remaining buildout planned in Argentina, including the completion of additional warehouses. In 2022, due to importation restrictions and the Company’s limited operating history in Argentina, the Company used external importation brokers to bring in Mining and IT equipment into the country. In 2023, the Company became a self-importer in Argentina which resulted in a reduction of the costs of importation and facilitate the delivery of Mining and IT equipment into the country. As of the date hereof, the private power supplier in Argentina has received a permit to provide 100 MW of energy to the Company; however, the Company has the option to operate with the energy provided directly from Argentina’s energy grid. Should the Company elect to construct additional warehouses at the Rio Cuarto Facility, it is expected that the Company would request the power supplier to obtain a permit for the additional power requirements.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reached an agreement and sold the older generation Miners to a third party for approximately $0.2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Iguazu, a new location close to the Itaipu dam, the third largest hydro-electric dam in the world.</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2023, the Company placed orders using vendor credits for eight 2.4 MW hydro containers and approximately 1,900 Miners capable of producing approximately 675 PH/s once installed.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Villarrica, construction commenced in the third quarter of 2023 beginning with an 80 MW sub-station followed by building out a second mining facility consisting of a 30 MW air-cooled warehouse and 20 MW of containers, expected to be completed during the first quarter of 2024. In August 2023, the Company placed orders using vendor credits for eight 2.4 MW hydro containers and approximately 1,900 Miners capable of producing approximately 675 PH/s once installed. The new facility will be referred to as the Paso Pe farm.</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Iguazu, the Company has the opportunity to develop a new farm with up to 100 MW of mining capacity, the timeline for which is being determined. Hydro power at both locations will be provided at a contracted cost of approximately $0.039 per kWh, before VAT, until December 31, 2027 and is not subject to annual inflationary adjustments.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Non-IFRS Measures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a number of non-IFRS financial measures and ratios in assessing operating performance. These non-IFRS measures do not have any standardized meaning and therefore are unlikely to be comparable to similar measures presented by other issuers and should not be considered in isolation or as a substitute for measures of performance prepared in accordance with IFRS. Management uses these non-IFRS measures to supplement the analysis and evaluation of operating performance. For a reconciliation of the Company’s non-IFRS financial measures, including direct cost per Bitcoin and cash cost of production per Bitcoin, see the Interim MD&amp;A. ’</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118" w:right="4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6023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1">
                      <a:extLst>
                        <a:ext uri="{28A0092B-C50C-407E-A947-70E740481C1C}"/>
                      </a:extLst>
                    </a:blip>
                    <a:srcRect/>
                    <a:stretch>
                      <a:fillRect/>
                    </a:stretch>
                  </pic:blipFill>
                  <pic:spPr bwMode="auto">
                    <a:xfrm>
                      <a:off x="0" y="0"/>
                      <a:ext cx="7127875" cy="8602345"/>
                    </a:xfrm>
                    <a:prstGeom prst="rect">
                      <a:avLst/>
                    </a:prstGeom>
                    <a:noFill/>
                  </pic:spPr>
                </pic:pic>
              </a:graphicData>
            </a:graphic>
          </wp:anchor>
        </w:drawing>
        <w:t>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Chief Executive Officer. The following is a discussion of regulatory compliance considerations specific to each such jurisdiction.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Québec, Canada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operates a total of eight server farms with an aggregate power capacity of 158 MW located in the Province of Québec, Canada. See the Interim MD&amp;A under the heading </w:t>
      </w:r>
      <w:r>
        <w:rPr>
          <w:rFonts w:ascii="Times New Roman" w:cs="Times New Roman" w:eastAsia="Times New Roman" w:hAnsi="Times New Roman"/>
          <w:sz w:val="18"/>
          <w:szCs w:val="18"/>
          <w:i w:val="1"/>
          <w:iCs w:val="1"/>
          <w:color w:val="auto"/>
        </w:rPr>
        <w:t>EXPANSION PROJECTS – Baie-Comeau (Canada) Expansion and</w:t>
      </w:r>
      <w:r>
        <w:rPr>
          <w:rFonts w:ascii="Times New Roman" w:cs="Times New Roman" w:eastAsia="Times New Roman" w:hAnsi="Times New Roman"/>
          <w:sz w:val="18"/>
          <w:szCs w:val="18"/>
          <w:color w:val="auto"/>
        </w:rPr>
        <w:t xml:space="preserve"> the 2022 AIF under the heading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BUSINESS – Recently Completed Development and Future Growth Plans – Sherbrooke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Québec or Canada on the business of operating a server farm or conducting the business of the Company as described herein and in the 2022 AIF, and as of the date hereof,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Washington, United Status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one 18 MW server farm located in the State of Washington in the United States. See the Interim MD&amp;A under the heading “</w:t>
      </w:r>
      <w:r>
        <w:rPr>
          <w:rFonts w:ascii="Times New Roman" w:cs="Times New Roman" w:eastAsia="Times New Roman" w:hAnsi="Times New Roman"/>
          <w:sz w:val="18"/>
          <w:szCs w:val="18"/>
          <w:i w:val="1"/>
          <w:iCs w:val="1"/>
          <w:color w:val="auto"/>
        </w:rPr>
        <w:t>EXPANSION PROJECTS – Washington Expansion</w:t>
      </w:r>
      <w:r>
        <w:rPr>
          <w:rFonts w:ascii="Times New Roman" w:cs="Times New Roman" w:eastAsia="Times New Roman" w:hAnsi="Times New Roman"/>
          <w:sz w:val="18"/>
          <w:szCs w:val="18"/>
          <w:color w:val="auto"/>
        </w:rPr>
        <w:t>” and the 2022 AIF under the heading “</w:t>
      </w:r>
      <w:r>
        <w:rPr>
          <w:rFonts w:ascii="Times New Roman" w:cs="Times New Roman" w:eastAsia="Times New Roman" w:hAnsi="Times New Roman"/>
          <w:sz w:val="18"/>
          <w:szCs w:val="18"/>
          <w:i w:val="1"/>
          <w:iCs w:val="1"/>
          <w:color w:val="auto"/>
        </w:rPr>
        <w:t>DESCRIPTION OF BUSINESS – Recently Completed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Future Growth Plans – The State of Washington in the United States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Washington on the business of operating a server farm or conducting the business of the Company as described herein and in the 2022 AIF, and as of the date hereof,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operates one 54 MW server farm located in Córdoba, Argentina (with an electrical infrastructure capacity of 55 MW). See the Interim MD&amp;A under the heading “</w:t>
      </w:r>
      <w:r>
        <w:rPr>
          <w:rFonts w:ascii="Times New Roman" w:cs="Times New Roman" w:eastAsia="Times New Roman" w:hAnsi="Times New Roman"/>
          <w:sz w:val="18"/>
          <w:szCs w:val="18"/>
          <w:i w:val="1"/>
          <w:iCs w:val="1"/>
          <w:color w:val="auto"/>
        </w:rPr>
        <w:t>EXPANSION PROJECTS – Argentina Expansion</w:t>
      </w:r>
      <w:r>
        <w:rPr>
          <w:rFonts w:ascii="Times New Roman" w:cs="Times New Roman" w:eastAsia="Times New Roman" w:hAnsi="Times New Roman"/>
          <w:sz w:val="18"/>
          <w:szCs w:val="18"/>
          <w:color w:val="auto"/>
        </w:rPr>
        <w:t>” and see the 2022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Recently Completed Development and Future Growth Plans – Argentina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2022 AIF, and as of the date hereof,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operates one 10 MW server farm located in Villarrica, Paraguay. See the Interim MD&amp;A under the heading “</w:t>
      </w:r>
      <w:r>
        <w:rPr>
          <w:rFonts w:ascii="Times New Roman" w:cs="Times New Roman" w:eastAsia="Times New Roman" w:hAnsi="Times New Roman"/>
          <w:sz w:val="18"/>
          <w:szCs w:val="18"/>
          <w:i w:val="1"/>
          <w:iCs w:val="1"/>
          <w:color w:val="auto"/>
        </w:rPr>
        <w:t>EXPANSION PROJECTS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Paraguay Expansion</w:t>
      </w:r>
      <w:r>
        <w:rPr>
          <w:rFonts w:ascii="Times New Roman" w:cs="Times New Roman" w:eastAsia="Times New Roman" w:hAnsi="Times New Roman"/>
          <w:sz w:val="18"/>
          <w:szCs w:val="18"/>
          <w:color w:val="auto"/>
        </w:rPr>
        <w:t>” and see the 2022 AIF under the heading “</w:t>
      </w:r>
      <w:r>
        <w:rPr>
          <w:rFonts w:ascii="Times New Roman" w:cs="Times New Roman" w:eastAsia="Times New Roman" w:hAnsi="Times New Roman"/>
          <w:sz w:val="18"/>
          <w:szCs w:val="18"/>
          <w:i w:val="1"/>
          <w:iCs w:val="1"/>
          <w:color w:val="auto"/>
        </w:rPr>
        <w:t>DESCRIPTION OF BUSINESS – Recently Completed Development and Future Growth Plans – Paraguay Expansion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server farm or conducting the business of the Company as described herein and in the 2022 AIF, and as of the date hereof,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Custody of Cryptocurrency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cryptocurrency assets, currently Bitcoin, are earned to multi-signature wallets that the Company controls or directs to external third-party ‘custodians. On a regular basis, the Company transfers Bitcoin from its multi-signature wallets to external third-party custodians, Coinbase Custody Trust Company, LLC (“</w:t>
      </w:r>
      <w:r>
        <w:rPr>
          <w:rFonts w:ascii="Times New Roman" w:cs="Times New Roman" w:eastAsia="Times New Roman" w:hAnsi="Times New Roman"/>
          <w:sz w:val="18"/>
          <w:szCs w:val="18"/>
          <w:b w:val="1"/>
          <w:bCs w:val="1"/>
          <w:color w:val="auto"/>
        </w:rPr>
        <w:t>Coinbase Custody</w:t>
      </w:r>
      <w:r>
        <w:rPr>
          <w:rFonts w:ascii="Times New Roman" w:cs="Times New Roman" w:eastAsia="Times New Roman" w:hAnsi="Times New Roman"/>
          <w:sz w:val="18"/>
          <w:szCs w:val="18"/>
          <w:color w:val="auto"/>
        </w:rPr>
        <w:t>”) and Anchorage Digital Bank National Association (“</w:t>
      </w:r>
      <w:r>
        <w:rPr>
          <w:rFonts w:ascii="Times New Roman" w:cs="Times New Roman" w:eastAsia="Times New Roman" w:hAnsi="Times New Roman"/>
          <w:sz w:val="18"/>
          <w:szCs w:val="18"/>
          <w:b w:val="1"/>
          <w:bCs w:val="1"/>
          <w:color w:val="auto"/>
        </w:rPr>
        <w:t>Anchorage Digital</w:t>
      </w:r>
      <w:r>
        <w:rPr>
          <w:rFonts w:ascii="Times New Roman" w:cs="Times New Roman" w:eastAsia="Times New Roman" w:hAnsi="Times New Roman"/>
          <w:sz w:val="18"/>
          <w:szCs w:val="18"/>
          <w:color w:val="auto"/>
        </w:rPr>
        <w:t>”). As of the date hereof, the Company holds approximately 356 Bitcoins with Coinbase Custody and 400 Bitcoins with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1440" w:gutter="0" w:footer="0" w:header="0"/>
        </w:sectPr>
      </w:pPr>
    </w:p>
    <w:bookmarkStart w:id="160" w:name="page161"/>
    <w:bookmarkEnd w:id="160"/>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9564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3">
                      <a:extLst>
                        <a:ext uri="{28A0092B-C50C-407E-A947-70E740481C1C}"/>
                      </a:extLst>
                    </a:blip>
                    <a:srcRect/>
                    <a:stretch>
                      <a:fillRect/>
                    </a:stretch>
                  </pic:blipFill>
                  <pic:spPr bwMode="auto">
                    <a:xfrm>
                      <a:off x="0" y="0"/>
                      <a:ext cx="7127875" cy="6956425"/>
                    </a:xfrm>
                    <a:prstGeom prst="rect">
                      <a:avLst/>
                    </a:prstGeom>
                    <a:noFill/>
                  </pic:spPr>
                </pic:pic>
              </a:graphicData>
            </a:graphic>
          </wp:anchor>
        </w:drawing>
        <w:t>The Company is not aware of anything with regards to its custodial arrangements that would adversely affect its ability to obtain an unqualified audit opinion with respect to its audited financial statements. The Company reviews the custodians’ SOC reports on a quarterly basis and shares them with its auditors. The Company’s Bitcoins are held within segregated wallets on the blockchain and can always be monitored. The Company exclusively uses recognized custodians that have efficient internal controls in place. As a contingency plan that would have minimal impact on the Company’s operations, the Company has its own multi-signature wallets and has onboarded with other well respected recognized custodians.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9, 2023, the Company has 774 Bitcoin, valued at $29.0 million on its balance sheet. As of the date of this Prospectus, 97% of the Company’s Bitcoin are held in custody with Coinbase Custody and Anchorage Digital or held as collateral within Coinbase Custody on behalf of NYDIG, the counterparty to the Company’s equipment financing, which is classified as long-term debt in the statements of financial position. In addition, 2% of the Company’s Bitcoin are held by third parties to collateralize the Company’s hedging contracts, which will be classified as derivative liabilities in the statements of financial position.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Bitcoin that are lost or stolen. The Company does not hold any of its Bitcoin in hot storage. The Company is unaware of: (i) any security breaches involving Coinbase Custody or Anchorage Digital which have resulted in the Company’s crypto assets being lost or stolen, and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November 2,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Regardless of efforts made by the Company to securely store and safeguard assets, there can be no assurance that cryptocurrency assets will not be defalcated through hacking or other forms of theft.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At-the-Market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previously entered into an at-the-market offering agreement dated August 16, 2021 (the “</w:t>
      </w:r>
      <w:r>
        <w:rPr>
          <w:rFonts w:ascii="Times New Roman" w:cs="Times New Roman" w:eastAsia="Times New Roman" w:hAnsi="Times New Roman"/>
          <w:sz w:val="18"/>
          <w:szCs w:val="18"/>
          <w:b w:val="1"/>
          <w:bCs w:val="1"/>
          <w:color w:val="auto"/>
        </w:rPr>
        <w:t>ATM Agreement</w:t>
      </w:r>
      <w:r>
        <w:rPr>
          <w:rFonts w:ascii="Times New Roman" w:cs="Times New Roman" w:eastAsia="Times New Roman" w:hAnsi="Times New Roman"/>
          <w:sz w:val="18"/>
          <w:szCs w:val="18"/>
          <w:color w:val="auto"/>
        </w:rPr>
        <w:t>”) with H.C. Wainwright &amp; Co., LLC (“</w:t>
      </w:r>
      <w:r>
        <w:rPr>
          <w:rFonts w:ascii="Times New Roman" w:cs="Times New Roman" w:eastAsia="Times New Roman" w:hAnsi="Times New Roman"/>
          <w:sz w:val="18"/>
          <w:szCs w:val="18"/>
          <w:b w:val="1"/>
          <w:bCs w:val="1"/>
          <w:color w:val="auto"/>
        </w:rPr>
        <w:t>HCW</w:t>
      </w:r>
      <w:r>
        <w:rPr>
          <w:rFonts w:ascii="Times New Roman" w:cs="Times New Roman" w:eastAsia="Times New Roman" w:hAnsi="Times New Roman"/>
          <w:sz w:val="18"/>
          <w:szCs w:val="18"/>
          <w:color w:val="auto"/>
        </w:rPr>
        <w:t>”) as agent, pursuant to which the Company established an at-the-market equity program (the “</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Pursuant to the ATM Program, the Company was able to, at its discretion and from time-to time during the term of the ATM Agreement, sell, through HCW, Common Shares in accordance with the ATM Agreement. Provided that the Company files a final short form base shelf prospectus to which this Prospectus relates and an accompanying prospectus supplement relating to the ATM Agreement, the sales of Common Shares in the future, if any, through HCW will be made through “at-the-market” issuances, including, without limitation, sales made directly on the Nasdaq Stock Market or another trading market for the shares in the United States at the market price prevailing at the time of each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Management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Digital Asset Management Program commenced in early January 2021 following the implementation of internal controls, counter-party risk assessments and custody arrangement reviews. The Company holds Bitcoin for its intrinsic value and as a source of liquidity. Rather than selling all Bitcoin earned at then-prevailing market rates, the Company decided to retain Bitcoin through its custodial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Retaining Bitcoin allowed the Company flexibility in deciding when or whether to sell the assets based on prevailing market conditions. With the decrease in Bitcoin prices during late 2021 and 2022, coupled with the high price of mining hardware, the Company converted a portion of its cash position into Bitcoin with a purchase of 1,000 Bitcoin during the first week of 2022. In June 2022, attending to market conditions, the Board approved the sale of the Company’s daily Bitcoin earned to reduce indebtedness and increase financial flexibility.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61" w:name="page162"/>
    <w:bookmarkEnd w:id="161"/>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721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5">
                      <a:extLst>
                        <a:ext uri="{28A0092B-C50C-407E-A947-70E740481C1C}"/>
                      </a:extLst>
                    </a:blip>
                    <a:srcRect/>
                    <a:stretch>
                      <a:fillRect/>
                    </a:stretch>
                  </pic:blipFill>
                  <pic:spPr bwMode="auto">
                    <a:xfrm>
                      <a:off x="0" y="0"/>
                      <a:ext cx="7127875" cy="5721985"/>
                    </a:xfrm>
                    <a:prstGeom prst="rect">
                      <a:avLst/>
                    </a:prstGeom>
                    <a:noFill/>
                  </pic:spPr>
                </pic:pic>
              </a:graphicData>
            </a:graphic>
          </wp:anchor>
        </w:drawing>
        <w:t>The Company has implemented internal controls and custody arrangements to minimize the risk of loss or theft of the retained Bitcoin. Within the Company, there is a segregation of duties to ensure no individual has the ability to unilaterally perform a Bitcoin transaction. Every Bitcoin transfer requires the approval of two different authorized individuals. All Bitcoin transfers are monitored and monthly reconciliations are performed by individuals that are external from the transaction process. The Company retains Coinbase Trust Company LLC as its third-party custodian. Coinbase Trust Company LLC is a US-based fiduciary and qualified custodian under New York Banking Law and is licensed by the State of New York to custody digital assets.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Every Bitcoin earned is kept or sold based on the Company’s liquidity and operational needs. The Company has no specific target or intention with the Bitcoins it produces from Mining operations. Rather, the Company assesses on an on-going basis whether retention on one hand or sales on the other hand support its stated business objectives, considering factors both internal and external to the Company itself. Some Bitcoins are used as collateral as described in the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many controls within the Company itself and within Coinbase, its Bitcoin custodian. Within the Company, there is a segregation of duties to ensure no individual has the ability to perform a Bitcoin transaction alone. Every Bitcoin movement requires the approval of two different individuals. The Bitcoin movement is monitored and monthly reconciliations are performed by individuals who are external from the transaction process. Within Coinbase Custody and Anchorage Digital, every Bitcoin is held in a cold wallet. One initiator and two approvers (CEO, CFO, VP finance) are needed to complete a transaction and video calls are needed for a transfer to a third-party.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2022 AIF under the heading “</w:t>
      </w:r>
      <w:r>
        <w:rPr>
          <w:rFonts w:ascii="Times New Roman" w:cs="Times New Roman" w:eastAsia="Times New Roman" w:hAnsi="Times New Roman"/>
          <w:sz w:val="18"/>
          <w:szCs w:val="18"/>
          <w:i w:val="1"/>
          <w:iCs w:val="1"/>
          <w:color w:val="auto"/>
        </w:rPr>
        <w:t>DESCRIPTION OF BUSINESS - Business and Strategy - Digital Asset Management Program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Baie-Comeau Expansion</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April 11, 2023, the Company announced that it had entered into an agreement to acquire 22 MW of hydro power capacity from the City of Baie-Comeau and to lease a site in Baie-Comeau, Quebec to build the infrastructure necessary to conduct mining operations (the “</w:t>
      </w:r>
      <w:r>
        <w:rPr>
          <w:rFonts w:ascii="Times New Roman" w:cs="Times New Roman" w:eastAsia="Times New Roman" w:hAnsi="Times New Roman"/>
          <w:sz w:val="18"/>
          <w:szCs w:val="18"/>
          <w:b w:val="1"/>
          <w:bCs w:val="1"/>
          <w:color w:val="auto"/>
        </w:rPr>
        <w:t>Baie-Comeau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Expansion</w:t>
      </w:r>
      <w:r>
        <w:rPr>
          <w:rFonts w:ascii="Times New Roman" w:cs="Times New Roman" w:eastAsia="Times New Roman" w:hAnsi="Times New Roman"/>
          <w:sz w:val="18"/>
          <w:szCs w:val="18"/>
          <w:color w:val="auto"/>
        </w:rPr>
        <w:t>”). In connection with the Baie-Comeau Expansion, on July 5, 2023, the Company issued an aggregate of 820,837 Common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12790963 Canada Inc. See “RISK FACTORS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General Risk Factors </w:t>
      </w:r>
      <w:r>
        <w:rPr>
          <w:rFonts w:ascii="Times New Roman" w:cs="Times New Roman" w:eastAsia="Times New Roman" w:hAnsi="Times New Roman"/>
          <w:sz w:val="18"/>
          <w:szCs w:val="18"/>
          <w:i w:val="1"/>
          <w:iCs w:val="1"/>
          <w:color w:val="auto"/>
        </w:rPr>
        <w:t>– Economic Dependence on Regulated Terms of Service and Electricity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May 24, 2023, the shareholders of the Company approved a consolidation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of the Common shares on the basis of one (1) post-Consolidation Common Share for up to ten (10) pre-Consolidation Common Shares, as may determined by the board of directors of the Company, in its sole discretion. As of the date hereof, the Company does not intend to proceed with the Consolidation.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resignation of Pierre Seccareccia, the Company appointed Edie Hofmeister to the audit committee and Brian Howlett has been appointed as the audit committee chairman. As of the date hereof, the audit committee is composed of Brian Howlett (chair), Edie Hofmeister, and Andres Finkielsztain. All members of the newly composed audit committee are independent and financially literate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PROMOTERS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promoters (“</w:t>
            </w:r>
            <w:r>
              <w:rPr>
                <w:rFonts w:ascii="Times New Roman" w:cs="Times New Roman" w:eastAsia="Times New Roman" w:hAnsi="Times New Roman"/>
                <w:sz w:val="18"/>
                <w:szCs w:val="18"/>
                <w:b w:val="1"/>
                <w:bCs w:val="1"/>
                <w:color w:val="auto"/>
              </w:rPr>
              <w:t>Promoters</w:t>
            </w:r>
            <w:r>
              <w:rPr>
                <w:rFonts w:ascii="Times New Roman" w:cs="Times New Roman" w:eastAsia="Times New Roman" w:hAnsi="Times New Roman"/>
                <w:sz w:val="18"/>
                <w:szCs w:val="18"/>
                <w:color w:val="auto"/>
              </w:rPr>
              <w:t>”) of the Company: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Quantity of</w:t>
            </w:r>
          </w:p>
        </w:tc>
        <w:tc>
          <w:tcPr>
            <w:tcW w:w="126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38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Class of Securities Owned</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70"/>
              <w:spacing w:after="0" w:line="270" w:lineRule="exact"/>
              <w:rPr>
                <w:sz w:val="20"/>
                <w:szCs w:val="20"/>
                <w:color w:val="auto"/>
              </w:rPr>
            </w:pP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29"/>
                <w:szCs w:val="29"/>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Emiliano Joel Grodzki</w:t>
            </w:r>
            <w:r>
              <w:rPr>
                <w:rFonts w:ascii="Times New Roman" w:cs="Times New Roman" w:eastAsia="Times New Roman" w:hAnsi="Times New Roman"/>
                <w:sz w:val="29"/>
                <w:szCs w:val="29"/>
                <w:color w:val="auto"/>
                <w:vertAlign w:val="superscript"/>
              </w:rPr>
              <w:t>(1)</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6,698,443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44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Nicolas Bonta</w:t>
            </w:r>
            <w:r>
              <w:rPr>
                <w:rFonts w:ascii="Times New Roman" w:cs="Times New Roman" w:eastAsia="Times New Roman" w:hAnsi="Times New Roman"/>
                <w:sz w:val="28"/>
                <w:szCs w:val="28"/>
                <w:color w:val="auto"/>
                <w:vertAlign w:val="superscript"/>
              </w:rPr>
              <w:t>(2)</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8,542,118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15,240,561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9288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7">
                      <a:extLst>
                        <a:ext uri="{28A0092B-C50C-407E-A947-70E740481C1C}"/>
                      </a:extLst>
                    </a:blip>
                    <a:srcRect/>
                    <a:stretch>
                      <a:fillRect/>
                    </a:stretch>
                  </pic:blipFill>
                  <pic:spPr bwMode="auto">
                    <a:xfrm>
                      <a:off x="0" y="0"/>
                      <a:ext cx="7127875" cy="9288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340" w:hanging="331"/>
        <w:spacing w:after="0" w:line="261"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Bitfarms Canada Shares noted in the table above, Mr. Grodzki holds 2,214,900 options to purchase Bitfarms Canada Shares at an average price of C$2.05 per Bitfarms Canada Share and 100,000RSUs (as defined below).</w:t>
      </w:r>
    </w:p>
    <w:p>
      <w:pPr>
        <w:ind w:left="340" w:hanging="331"/>
        <w:spacing w:after="0" w:line="250"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Bitfarms Canada Shares noted in the table above, Mr. Bonta holds 2,214,900 options to purchase Bitfarms Canada Shares at an average price of C$2.05 per Bitfarms Canada Share and 100,000 RSUs.</w:t>
      </w:r>
    </w:p>
    <w:p>
      <w:pPr>
        <w:ind w:left="340" w:hanging="331"/>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277,684,000 Bitfarms Canada Shares are issued and outstanding as of the date hereof.</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was within 10 years before the date of this prospectus,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Promoter has: (a) been within the 10 years before the date of this prospectus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SECONDARY OFFERING BY SELLING SECURITYHOLDERS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may be sold under this prospectus by way of a secondary offering by or for the account of Selling Securityholders; however, no such sale of securities will compose any at-the-market distribution which may be offered pursuant to a prospectus supplement to this Prospectus. The prospectus supplement for or including any offering of Securities by Selling Securityholders will include the following information, to the extent required by applicable securities laws:</w:t>
      </w:r>
    </w:p>
    <w:p>
      <w:pPr>
        <w:spacing w:after="0" w:line="180" w:lineRule="exact"/>
        <w:rPr>
          <w:sz w:val="20"/>
          <w:szCs w:val="20"/>
          <w:color w:val="auto"/>
        </w:rPr>
      </w:pPr>
    </w:p>
    <w:p>
      <w:pPr>
        <w:ind w:left="980" w:hanging="32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Securityholders;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owned, controlled or directed by each Selling Securityholder;</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being distributed for the account of each Selling Securityholder;</w:t>
      </w:r>
    </w:p>
    <w:p>
      <w:pPr>
        <w:spacing w:after="0" w:line="22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to be owned, controlled or directed by the Selling Securityholders after the distribution and the percentage that number or amount represents of the total number of the Company’s outstanding Securities;</w:t>
      </w:r>
    </w:p>
    <w:p>
      <w:pPr>
        <w:spacing w:after="0" w:line="16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owned by the Selling Securityholders both of record and beneficially, of record only, or beneficially only;</w:t>
      </w:r>
    </w:p>
    <w:p>
      <w:pPr>
        <w:spacing w:after="0" w:line="22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Securityholder purchased any of the Securities in the 24 months preceding the date of the applicable prospectus supplement, the date or dates the Selling Securityholder acquired the Securities;</w:t>
      </w:r>
    </w:p>
    <w:p>
      <w:pPr>
        <w:spacing w:after="0" w:line="161" w:lineRule="exact"/>
        <w:rPr>
          <w:rFonts w:ascii="Times New Roman" w:cs="Times New Roman" w:eastAsia="Times New Roman" w:hAnsi="Times New Roman"/>
          <w:sz w:val="18"/>
          <w:szCs w:val="18"/>
          <w:color w:val="auto"/>
        </w:rPr>
      </w:pPr>
    </w:p>
    <w:p>
      <w:pPr>
        <w:ind w:left="980" w:right="20" w:hanging="323"/>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Securityholder acquired any of the Securities in the 12 months preceding the date of the applicable prospectus supplement, the cost thereof to the Selling Securityholder in aggregate and on an average-cost-per-security basis;</w:t>
      </w:r>
    </w:p>
    <w:p>
      <w:pPr>
        <w:spacing w:after="0" w:line="161" w:lineRule="exact"/>
        <w:rPr>
          <w:rFonts w:ascii="Times New Roman" w:cs="Times New Roman" w:eastAsia="Times New Roman" w:hAnsi="Times New Roman"/>
          <w:sz w:val="18"/>
          <w:szCs w:val="18"/>
          <w:color w:val="auto"/>
        </w:rPr>
      </w:pPr>
    </w:p>
    <w:p>
      <w:pPr>
        <w:ind w:left="980" w:right="20" w:hanging="323"/>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disclosure required by item 1.11 of Form 41-101F1, and if applicable, the Selling Securityholders will file a non-issuer’s submission to jurisdiction form with the corresponding prospectus supplement; and</w:t>
      </w:r>
    </w:p>
    <w:p>
      <w:pPr>
        <w:spacing w:after="0" w:line="16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that is required to be included in the applicable prospectus supplement.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528" w:gutter="0" w:footer="0" w:header="0"/>
        </w:sectPr>
      </w:pPr>
    </w:p>
    <w:bookmarkStart w:id="163" w:name="page164"/>
    <w:bookmarkEnd w:id="1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2022 AIF and the 2022 MD&amp;A and annual financial statements, and the related notes. A prospective investor should carefully consider the risk factors set out below along with the other matters set out or incorporated by reference in this prospectus.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 and expansion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internal controls, financial, and management information systems, as well as hire, manage and retain its employees and maintain its corporate culture including technical and operational service standards. There can be no assurance that the Company will be able to manage such growth effectively or that its management, personnel or systems will be adequate to support the Company’s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fluctuations in currency exchange rates which could negatively affect our financial condition and results of operations. In particular, exchange rate fluctuations may affect the costs that the Company incurs in its operations. Cryptocurrencies are generally sold in U.S. dollars and the Company’s costs are incurred principally in Canadian dollars. Certain of the Company’s subsidiaries also conduct day-to-day operations using Argentine pesos. The appreciation of non-U.S. dollar currencies against the U.S. dollar could increase the cost of Mining in U.S. dollar terms. In addition, the Company holds cash balances in both U.S. dollars and Canadian dollars, the values of which are impacted by fluctuations in currency exchange rates.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considered practical to do so, the Company intends to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Bitcoin, which is held in custody by Coinbase Custody and Anchorage Digital, is not insured. Although Coinbase Custody maintains an insurance policy of $320 million for its cold storage and Anchorage Digital maintains an insurance policy of $50 million for its cold and hot storage, the full limits of those policies may not be available to the Company or, if available, sufficient to make the Company whole for any Bitcoin that are lost or stolen from its account. Therefore, a loss may be suffered with respect to the Company’s Bitcoin that is not covered by insurance and for which no person is liable in damages.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for which insurance coverage is not available or has not been obtained could adversely impact the Company, including its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Bitcoin Halving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Bitcoin reward for solving a block is subject to periodic incremental Halving. Halving is a process designed to control the overall supply and reduce the risk of inflation in Bitcoin using a proof of work consensus algorithm. At a predetermined block, the Mining reward is cut in half, hence the term “Halving.” The Bitcoin blockchain has undergone Halvings three times since its inception. Most recently, in May 2020, the Bitcoin block reward decreased from 12.5 to 6.25 Bitcoin per block (a “Bitcoin Halving”), and, consequently, the number of new Bitcoin issued to Miners as a subsidy decreased to approximately 900 per day, excluding transaction fees.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May 2020 Bitcoin Halving had a significant negative impact on the Company’s profitability for several months following the Bitcoin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incentivizing profitability levels is unknown.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Bitcoin Halving is scheduled to occur once every 210,000 blocks, or roughly every four years, until the total amount of Bitcoin rewards issued reaches 21 million, which is expected to occur around the year 2140. The next Bitcoin Halving is expected to occur in late April or early May 2024, at which time Bitcoin block rewards will decrease from 6.25 Bitcoin per block to 3.125 Bitcoin per block. Once 21 million Bitcoin are generated, the network will stop producing more. While Bitcoin prices have had a history of price fluctuations around Bitcoin Halving events, there is no guarantee that the price change will be favorable or would compensate for the reduction in Mining reward and the compensation from Mining Pools.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Bitcoin price and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Price Volatility of Cryptocurrencies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Bitcoin. Cryptocurrency prices (and Bitcoin prices in particular) are highly volatile, fluctuating due to numerous factors beyond the Company’s control, including speculation and incomplete information, rapidly changing investor sentiment, changes in technology, regulatory changes, fraudulent or malicious actors, coverage of cryptocurrency in the media, inflation, and political or economic events as well as market acceptance and demand for cryptocurrency. The market price of one Bitcoin in the Company’s principal market, ranged from approximately $15,600 to $48,100 during the year ended December 31, 2022 and ranged from approximately $28,700 to $68,800 during the year ended December 31, 2021. Because the Company hedges only a small portion of its investment in Bitcoin, the Company is directly exposed to Bitcoin’s price volatility and surrounding risks.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Bitcoin that it holds, or the number of Bitcoin it will sell. Rather, decisions to hold or sell bitcoins are currently determined by management by analyzing forecasts and monitoring the market in real time. Such decisions, however well-informed, may result in untimely sales and even losses, adversely affecting an investment in the Company. Further, some of the business decisions (for example, purchases of Miners and debt financing) the Company has made, and will in future make, were or will be tied to the prices of Bitcoin at the time of those decisions. For example, the Company made purchase commitments in respect of a significant number of new Miners while Bitcoin and Miner prices were much higher, and, although the Company has been able to cancel some of those purchase commitments, that may not always be possible.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value proposition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5" w:name="page166"/>
    <w:bookmarkEnd w:id="165"/>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Specifically, the trading price of the Company’s common shares has already been correlated, and, in the future, is likely to continue to be highly correlated, to the trading prices of Bitcoin. Bitcoin Mining companies’ stock has shown volatility relative to Bitcoin, with many such stocks outperforming Bitcoin in 2020 and 2021 but underperforming relative to Bitcoin in 2022. For example, the closing price of the Company’s common shares on December 31, 2021 was $5.05 and the closing price of Bitcoin was approximately $46,200 and, as of December 30, 2022, the closing price of the Company’s common shares was $0.44 and the closing price of Bitcoin was approximately $16,500. The Company’s operating results and financial condition have been and may continue to be adversely affected by declines in cryptocurrency market prices. In addition, the Company made decisions concerning the execution of its business plan, including the development of its facilities and expansion into new markets, purchases of new Miners and incurrence of indebtedness, when Bitcoin prices were significantly higher than they currently are, resulting in plans and obligations that the Company reassesses and likely will continue to reassess, particularly in light of general declines in cryptocurrency market prices, to determine the practicality, profitability and timeline of such plans and commitments.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Volatility may have an impact on the value of the Company’s inventory of cryptocurrencies and could result in margin calls on the Company’s long-term debt collateral Bitcoin with NYDIG as described in Note 17 - Long-term Debt to the 2022 Annual Financial Statements.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Price Fluctuations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considered development stage companies (such as the Company), have experienced wide fluctuations in price which have not necessarily been related to the operating performance, underlying asset values or prospects of such companies. There can be no assurance that continued fluctuations in price will not occur.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Company’s common shares ranged from US$0.38 to US$5.39 on Nasdaq and CAD $0.52 to CAD $6.83 on the TSXV and Toronto Stock Exchange from January 1, 2022, to December 31, 2022. The market price of the Company’s common shares fluctuates significantly in response to a number of factors, most of which the Company cannot control. In particular, the trading price of the Company’s common shares is in many cases directly tied to the price of Bitcoin. Other factors that may impact the trading price of the Company’s common shares include:</w:t>
      </w:r>
    </w:p>
    <w:p>
      <w:pPr>
        <w:spacing w:after="0" w:line="187"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Company’s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since the Company’s common shares currently trade on the Nasdaq Global Market, the Company must comply with Nasdaq’s continued listing requirements to avoid its common shares being delisted. The standards include, among others, a minimum bid price requirement of $1.00 per share and any of: (i) a minimum stockholders’ equity of $10 million; (ii) a market value of listed securities of $50 million; or (iii) total assets or total revenue from continuing operations of $50 million in the most recently completed fiscal year or in two of the last three fiscal years. The Company’s results of operations and fluctuating share price directly impact its ability to satisfy these listing standards. Nasdaq notified the Company on December 13, 2022 that it did not satisfy the minimum bid price requirement under Nasdaq’s continued listing rules. If the Company is unable to re-establish and maintain compliance with Nasdaq’s listing standards, the Company’s common shares may be subject to delisting. A delisting from Nasdaq would result in the Company’s common shares being eligible for quotation on the over-the-counter (OTC) market, which is generally considered to be a less efficient market than listing on national exchanges such as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Capital Needs, Uncertainty of Additional Financing and Dilution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had cash of $30.9 million compared to $125.6 million as of December 31, 2021. The Company expects to continue to depend upon selling Bitcoin earned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of private financing, strategic relationships or other arrangements. 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 Even if such funding is available, the Company cannot predict the size of future issues of common shares or securities convertible into common shares or the effect, if any, that future issues and sales of the common shares will have on the price of the shares.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capital expenditures, increase the Company’s vulnerability to general adverse economic and industry conditions, place the Company at a competitive disadvantage compared to its competitors that have less debt, limit the Company’s ability to borrow additional funds, otherwise subject the Company to the risks discussed under Indebtedness below and heighten the possible effects of the other risks discussed in these risk factors.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and long-term lenders as described in more detail in the 2022 AIF,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those and any other covenants, the Company could be limited in the manner in which it conducts its business, and it may be unable to engage in favorable business activities or finance future operations or capital needs. Any violation by the Company of any of these covenants or failure by the Company to meet payment obligations (as recently was the case in respect of the Company’s strategic decision to delay the making of principal and interest payments on its previously outstanding loan from BlockFi, a digital asset lender) could provide the lender with the ability to accelerate the maturity of the indebtedness and exercise a variety of remedies, including foreclosing on any collateral securing the debt.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Global Financial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Company’s common shares may be adversely affected.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the Company may enter into certain hedging transactions to mitigate its exposure to aspects of the economy or specific economic conditions that are particularly volatile, including the market price of Bitcoin and interest rates. If the Company engages in hedging transactions, the Company may expose itself to risks associated with such transactions. Hedging against a decline in the values of portfolio investments caused by interest rate risk or volatile Bitcoin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Possibility of Bitcoin Mining Algorithms Transitioning to Proof of Stake Validation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Proof of stake is an alternative method of validating cryptocurrency transactions. If Bitcoin shifts from a proof of work validation method to a proof of stake validation method, Mining would require less energy and may render any company that maintains advantages in the current climate (lower priced electricity, processing, real estate, or hosting) less competitive. Another prominent cryptocurrency, Ether, in September 2022, shifted from proof of work to a proof of stake validation method. The Company, as a result of its efforts to optimize and improve the efficiency of its Bitcoin Mining operations, may be exposed to the risk in the future of losing the benefit of the Company’s capital investments and the competitive advantage the Company hopes to gain from this as a result, and may be negatively impacted if a switch to proof of stake validation were to occur. Such events could have a material adverse effect on the Company’s ability to continue as a going concern or to pursue its strategy at all, which could have a material adverse effect on the Company’s business, prospects or operations and potentially the value of any Bitcoin that the Company earns or otherwise acquires or holds for its own account.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governing the Company’s long-term debt contain restrictive covenants that could limit its discretion with respect to certain business matters.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and Growth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team, the departure, death, disability or other extended loss of services of any of whom, particularly with little or no notice, could cause delays on projects, frustrate the Company’s growth prospects and could have an adverse impact on the Company’s industry relationships, the Company’s project exploration and development programs, other aspects of its business and its financial condition, results of operations, cash flow and prospects. The Company does not expect to purchase key person insurance on such individuals, which insurance would provide the Company with insurance proceeds in the event of their death.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will also depend on its ability to attract and retain highly qualified management and Mining personnel while maintaining its corporate culture and technical and service standards. The Company will face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Threats and Hacking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computer network operated by the Company or the Mining Pool(s) in which it participates, such as Foundry Pool, may be vulnerable to intrusions by hackers who could interfere with and introduce defects to the Mining operations. Private keys which enable holders to transfer funds may also be lost or stolen, resulting in irreversible losses of cryptocurrencies.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Limited History of De-centralized Financial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those and other factors, traditional banks and banking services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field difficult. To the extent that the Company experiences any such banking challenges, they could have a material adverse effect on the Company’s business, prospects or operations and potentially the value of any Bitcoin or other cryptocurrencies the Company earns or otherwise acquires or holds for its own account.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Technological Obsolescence and Difficulty in Obtaining Hardware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the technology available and invest in hardware and equipment required for maintaining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Cryptocurrency Network Difficulty and Impact of Increased Global Computing Power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Bitcoin network hashrate is increased, the Bitcoin network difficulty is adjusted upwards by requiring more hashrate to be deployed to solve a block. Thus, Mining companies are further incentivized to grow their hashrate to maintain their chance of earning new Bitcoin rewards. In theory, these dual processes should continually replicate themselves until the supply of available Bitcoin is exhausted. In response, Mining companies have attempted to achieve greater hashrate by deploying increasingly sophisticated and expensive Miners in ever greater quantities. If the price of Bitcoin is not sufficiently high to allow the Company to fund its desired hashrate growth, including through new Miner acquisitions, and if it is otherwise unable to access additional capital to acquire Miners, its hashrate may stagnate and fall behind its competitors, resulting in a likely decline in its revenues, which would have a material adverse effect on its results of operations and financial condition.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Economic Dependence on Regulated Terms of Service and Electricity Rates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in the Province of Québec, Washington State, Argentina, and Paraguay.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Grant PUD CLYFSA and a private power producer in Rio Cuarto, Argentina. The Province of Québec mandates electrical service providers to supply their customers under an obligation-to-serve power delivery regime. Consequently, the Company believes Hydro-Québec, Hydro-Sherbrooke and Hydro-Magog are reliable. Grant PUD and CLYFSA do not operate under highly regulated regimes, like the Province of Quebec. The facility located in Baie-Comeau, Quebec receives its power from the City of Baie-Comeau, and is subject to the same risks as its other facilities located in the Province of Quebec. Any suspension of power or failure of electrical networks, however, could result in a material adverse effect on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Quebec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Régie by giving the Government of Quebec the power to determine by regulation, the cases in which Hydro-Quebec or any other electrical service provider may be exempt from their obligation to provide electricity to industrial clients in the Province of Québec.</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Régie de L’Énergie (the “Régie”). Hydro-Québec supplies power to certain of the Company’s facilities, and to the Municipal Electrical Networks for the Magog and Sherbrooke facilities,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Modifications to the rates are set out pursuant to the Hydro-Quebec Act by operation of law on April 1st each year, by a rate corresponding to the annual change in the overall average Québec consumer price index, on a tariff class basis such that any adjustment would apply equally to all CB tariff users, M tariff users or LG tariff users regardless of end use. Hydro-Quebec shall apply to the Régie to request it to fix rates or modify the rates set out in the Hydro-Québec Act on April 1, 2025 and subsequently every five years.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90"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Step 1:</w:t>
        <w:tab/>
        <w:t>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both"/>
        <w:ind w:left="980" w:hanging="647"/>
        <w:spacing w:after="0" w:line="252" w:lineRule="auto"/>
        <w:tabs>
          <w:tab w:leader="none" w:pos="960" w:val="left"/>
        </w:tabs>
        <w:rPr>
          <w:sz w:val="20"/>
          <w:szCs w:val="20"/>
          <w:color w:val="auto"/>
        </w:rPr>
      </w:pPr>
      <w:r>
        <w:rPr>
          <w:rFonts w:ascii="Times New Roman" w:cs="Times New Roman" w:eastAsia="Times New Roman" w:hAnsi="Times New Roman"/>
          <w:sz w:val="18"/>
          <w:szCs w:val="18"/>
          <w:color w:val="auto"/>
        </w:rPr>
        <w:t>Step 2:</w:t>
        <w:tab/>
        <w:t>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will be required to participate in the call for tenders process which is expected to launch shortly by Hydro-Québec. However, the Régie’s decision also means that the Company’s pre-existing operations at the Current Facilities and Sherbrooke Expansion will remain subject to the M or LG tariff in force, as the case may be, and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shut-down of 95% of operations for the maximum of 300 hours could result in a revenue decrease of up to approximately 3.3%.</w:t>
      </w:r>
    </w:p>
    <w:p>
      <w:pPr>
        <w:spacing w:after="0" w:line="193" w:lineRule="exact"/>
        <w:rPr>
          <w:sz w:val="20"/>
          <w:szCs w:val="20"/>
          <w:color w:val="auto"/>
        </w:rPr>
      </w:pPr>
    </w:p>
    <w:p>
      <w:pPr>
        <w:jc w:val="both"/>
        <w:ind w:left="980" w:hanging="647"/>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Step 3:</w:t>
        <w:tab/>
        <w:t>On January 28, 2021, the Régie rendered its decision on Step 3 of the request filed by Hydro-Québec. The Régie decided that the existing subscriptions on the Hydro-Québec network will be subject to non-firm service starting in Winter 2021-2022. The non-firm service will apply for a maximum of 300 hours a 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7" w:lineRule="exact"/>
        <w:rPr>
          <w:sz w:val="20"/>
          <w:szCs w:val="20"/>
          <w:color w:val="auto"/>
        </w:rPr>
      </w:pPr>
    </w:p>
    <w:p>
      <w:pPr>
        <w:ind w:left="1300" w:right="20" w:hanging="320"/>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the Company, have already executed agreements with municipal electricity networks with non-firm service (without financial compensation) for at least 300 hours per year;</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The Company has undertaken a challenge to the Step 3 decision through an administrative review process. Consequently, the main difference between the CB tariff and the M or LG tariff is the curtailment obligation applicable to the CB tariff.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facilities in Quebec.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Step 3, has still not put in place the allocation process approved by the Régie.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Hydro-Quebec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hereof, there are two ongoing files before the Régie regarding the allocation process of additional power to crypto-miners: (1) the supply plan hearing (number R-4210-2022)(the “</w:t>
      </w:r>
      <w:r>
        <w:rPr>
          <w:rFonts w:ascii="Times New Roman" w:cs="Times New Roman" w:eastAsia="Times New Roman" w:hAnsi="Times New Roman"/>
          <w:sz w:val="18"/>
          <w:szCs w:val="18"/>
          <w:b w:val="1"/>
          <w:bCs w:val="1"/>
          <w:color w:val="auto"/>
        </w:rPr>
        <w:t>Supply Plan Hearing</w:t>
      </w:r>
      <w:r>
        <w:rPr>
          <w:rFonts w:ascii="Times New Roman" w:cs="Times New Roman" w:eastAsia="Times New Roman" w:hAnsi="Times New Roman"/>
          <w:sz w:val="18"/>
          <w:szCs w:val="18"/>
          <w:color w:val="auto"/>
        </w:rPr>
        <w:t>”); and (2) the Company’s complaint against Hydro-Quebec (the “</w:t>
      </w:r>
      <w:r>
        <w:rPr>
          <w:rFonts w:ascii="Times New Roman" w:cs="Times New Roman" w:eastAsia="Times New Roman" w:hAnsi="Times New Roman"/>
          <w:sz w:val="18"/>
          <w:szCs w:val="18"/>
          <w:b w:val="1"/>
          <w:bCs w:val="1"/>
          <w:color w:val="auto"/>
        </w:rPr>
        <w:t>Complaint</w:t>
      </w:r>
      <w:r>
        <w:rPr>
          <w:rFonts w:ascii="Times New Roman" w:cs="Times New Roman" w:eastAsia="Times New Roman" w:hAnsi="Times New Roman"/>
          <w:sz w:val="18"/>
          <w:szCs w:val="18"/>
          <w:color w:val="auto"/>
        </w:rPr>
        <w:t>”) regarding the opening of the “guichet unique”.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Regarding the Supply Plan Hearing, the Régie has approved the suspension of the allocation process in decision D-2023-002 rendered on January 10, 2023, while it assesses the Supply Plan submitted by Hydro-Quebec. Bitfarms has not challenged this decision, but has strongly challenged Hydro-Quebec’s request to reduce to the amount of power allocated to zero. On September 9, 2023, the Régie approved the reduction to zero MW for the remaining quantity of the reserved block. On the same decision, the Régie decided to maintain the 32.6 MW of the reserved block that had already being allocated to CB tariff clients. The Régie considers that the potential reallocation of the quantities currently held by these customers in the event of their subscriptions being abandoned or cancelled could enable certain companies to continue their development or a few new CB tariff customers to be served. The Régie requested Hydro-Quebec to amend the </w:t>
      </w:r>
      <w:r>
        <w:rPr>
          <w:rFonts w:ascii="Times New Roman" w:cs="Times New Roman" w:eastAsia="Times New Roman" w:hAnsi="Times New Roman"/>
          <w:sz w:val="18"/>
          <w:szCs w:val="18"/>
          <w:i w:val="1"/>
          <w:iCs w:val="1"/>
          <w:color w:val="auto"/>
        </w:rPr>
        <w:t>Conditions of Service for Cryptographic Use Applied to Blockchains</w:t>
      </w:r>
      <w:r>
        <w:rPr>
          <w:rFonts w:ascii="Times New Roman" w:cs="Times New Roman" w:eastAsia="Times New Roman" w:hAnsi="Times New Roman"/>
          <w:sz w:val="18"/>
          <w:szCs w:val="18"/>
          <w:color w:val="auto"/>
        </w:rPr>
        <w:t xml:space="preserve"> and propose a new process for the eventual reallocation of the MW that could become available from the 32.6 MW reserved block. Hydro-Quebec requested, and the Régie accepted that such new process be presented on, or before, January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Regarding the Complaint, Hydro-Quebec has asked the Régie to reject it at a preliminary stage considering the decision rendered by the Régie in R-4210-2022 to suspend the allocation process. On August 3, 2023, the Régie rejected Hydro-Quebec’s request to dismiss Bitfarms’ Complaint and has asked the parties to set the dates for the hearing in which arguments from both parties will be heard. The hearing is expected to be held on November 9, 10 and 14,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facility located in: (i) Cowansville is subject to a preferential rate of 5% on its first 5 MW of power; (ii) Farnham is subject to a preferential rate of 20% on its first 10 MW of power; and (iii) Baie-Comeau is not subject to a preferential rate.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Washington State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w:t>
      </w:r>
      <w:r>
        <w:rPr>
          <w:rFonts w:ascii="Times New Roman" w:cs="Times New Roman" w:eastAsia="Times New Roman" w:hAnsi="Times New Roman"/>
          <w:sz w:val="18"/>
          <w:szCs w:val="18"/>
          <w:b w:val="1"/>
          <w:bCs w:val="1"/>
          <w:color w:val="auto"/>
        </w:rPr>
        <w:t>Grant PUD</w:t>
      </w:r>
      <w:r>
        <w:rPr>
          <w:rFonts w:ascii="Times New Roman" w:cs="Times New Roman" w:eastAsia="Times New Roman" w:hAnsi="Times New Roman"/>
          <w:sz w:val="18"/>
          <w:szCs w:val="18"/>
          <w:color w:val="auto"/>
        </w:rPr>
        <w:t>”).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During Fiscal 2022 the rate schedules that could have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US$ 2.100¢ per kWh for the Company’s power first 50,000 kWh of consumption from all of the meters in aggregate and US$ 1.857¢ per additional kWh of consumption. Historically, rates for Schedule 7 have increased by an annual average of 1.27% per year. Effective February 1, 2023, Grant PUD’s commissioners authorized the addition of cryptocurrency Mining into the Evolving Industry Rate Schedule 17. The current rate applicable to the Company is Schedule 17. The applicable rates for Schedule 17 are a demand charge for $28.18 per kW plus a variable component of US$ 0.389¢ per kWh of consumption.</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PUD may adjust the rate pricing with approval from its Board of Commissioners. An increase in the rates applicable to the Company’s electricity consumption may adversely impact its profitability.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the Company completed construction of the 10 MW Villarrica Facility. The facility is powered by Compañía Luz y Fuerza S.A. (“</w:t>
      </w:r>
      <w:r>
        <w:rPr>
          <w:rFonts w:ascii="Times New Roman" w:cs="Times New Roman" w:eastAsia="Times New Roman" w:hAnsi="Times New Roman"/>
          <w:sz w:val="18"/>
          <w:szCs w:val="18"/>
          <w:b w:val="1"/>
          <w:bCs w:val="1"/>
          <w:color w:val="auto"/>
        </w:rPr>
        <w:t>CLYFSA</w:t>
      </w:r>
      <w:r>
        <w:rPr>
          <w:rFonts w:ascii="Times New Roman" w:cs="Times New Roman" w:eastAsia="Times New Roman" w:hAnsi="Times New Roman"/>
          <w:sz w:val="18"/>
          <w:szCs w:val="18"/>
          <w:color w:val="auto"/>
        </w:rPr>
        <w:t>”) an electricity distribution company located in the city of Villarrica, Paraguay. CLYFSA purchases energy from ANDE, the operator of Paraguay’s national electricity grid, and provides power to almost 15,000 residential and commercial customers in Villarrica.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172" w:name="page173"/>
    <w:bookmarkEnd w:id="172"/>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hydro power until December 31, 2027: up to 50 MW in Villarrica, in close proximity to the Company’s existing operations in Paraguay, and up to 100 MW in Iguazu, a new location close to the Itaipu dam, the third largest hydro-electric dam in the world. Hydro power at both locations will be provided at a contracted cost of approximately $0.039 per kWh, before VAT, until December 31, 2027 and is not subject to annual inflationary adjustments.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Company entered into engineering, procurement and construction contracts and commenced construction of a facility in Argentina (Rio Cuarto</w:t>
      </w:r>
    </w:p>
    <w:p>
      <w:pPr>
        <w:spacing w:after="0" w:line="27" w:lineRule="exact"/>
        <w:rPr>
          <w:sz w:val="20"/>
          <w:szCs w:val="20"/>
          <w:color w:val="auto"/>
        </w:rPr>
      </w:pPr>
    </w:p>
    <w:p>
      <w:pPr>
        <w:jc w:val="both"/>
        <w:ind w:firstLine="8"/>
        <w:spacing w:after="0" w:line="255" w:lineRule="auto"/>
        <w:tabs>
          <w:tab w:leader="none" w:pos="1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Cordoba) for up to 210 MW. The facility will receive electricity from Generacion Mediterranea S.A. (“</w:t>
      </w:r>
      <w:r>
        <w:rPr>
          <w:rFonts w:ascii="Times New Roman" w:cs="Times New Roman" w:eastAsia="Times New Roman" w:hAnsi="Times New Roman"/>
          <w:sz w:val="18"/>
          <w:szCs w:val="18"/>
          <w:b w:val="1"/>
          <w:bCs w:val="1"/>
          <w:color w:val="auto"/>
        </w:rPr>
        <w:t>GMSA</w:t>
      </w:r>
      <w:r>
        <w:rPr>
          <w:rFonts w:ascii="Times New Roman" w:cs="Times New Roman" w:eastAsia="Times New Roman" w:hAnsi="Times New Roman"/>
          <w:sz w:val="18"/>
          <w:szCs w:val="18"/>
          <w:color w:val="auto"/>
        </w:rPr>
        <w:t>”) one of the subsidiaries of Grupo Albanesi. Grupo Albanesi is an Argentine private corporate group focused on the energy market which provides natural gas and electrical energy to its clients from its multiple facilities.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also allows for GMSA to renegotiate the $0.02 per kilowatt hour rate if the ratio of the exchange rate under the blue-chip swap mechanism (refer to section 8d - Net financial income and expenses of the 2022 MD&amp;A)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spacing w:after="0" w:line="183" w:lineRule="exact"/>
        <w:rPr>
          <w:sz w:val="20"/>
          <w:szCs w:val="20"/>
          <w:color w:val="auto"/>
        </w:rPr>
      </w:pPr>
    </w:p>
    <w:p>
      <w:pPr>
        <w:ind w:left="98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preventing GMSA from providing the Company with electricity, or directing GMSA to reroute its electricity to the wholesale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and unscheduled maintenance required to service the power plant or related equipment;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limiting GMSA’s supply of natural gas.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contract with GMSA also includes certain megawatt hour consumption thresholds and pro-rata adjustments. The Company’s operations in Argentina can be materially adversely impacted if the Company is unable to exploit the contractually secured MW capacity on a full-time basis or if the cost of energy negotiated under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calculation or calculated using the defined formula in effect for the second four years of the contract, both primarily driven by natural gas prices and foreign currency rates, are not economically viable.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Commodity Prices or Reductions in the Availability of Such Commodities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and intends to use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could be difficult to predict given the fluidity of the military conflict, the novelty of sanctions against Russia and the possibility of yet harsher ones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Profits/Losses and Production Revenues/Expenses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development and acquisitions of server farms and the ongoing operation of the existing Mining farms will require additional capital and monthly expenses. The Company’s operating expenses and capital expenditures may increase in future years as it adds personnel, consultants and equipment associated with the maintenance of the Mining farms and any other Mining farms the Company may acquire or develop. The Company may not be successful in obtaining the required financing for these or other purposes, including for general working capital.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Fraud and Failure of Cryptocurrency Exchanges, Custodians and Other Trading Venues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(namely, FTX, Celsius Network, BlockFi, Voyager Digital Ltd., Three Arrows Capital, and Genesis Global Holdco LLC), has impacted and may continue to impact the broader cryptocurrency ecosystem, including the Company.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and, in turn, the market price of shares of companies in the cryptocurrency industry, including the Company, as certain entities affiliated with bankrupt cryptocurrency exchanges engaged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the Company, its service providers or the digital asset industry as a whole.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the 2022 AIF or the 2022 MD&amp;A) nor any material assets that may not be recovered or may otherwise be lost or misappropriated due to the bankruptcies, the failure or insolvency of large exchanges may cause the price of Bitcoin to fall and decrease confidence in the ecosystem, which could adversely affect an investment in the Company. Such market volatility and decrease in Bitcoin price have had a material and adverse effect on the Company’s results of operations and financial condition, and the Company expects its results of operations to continue to be affected by the Bitcoin price as the results of its operations are significantly tied to the price of Bitcoin.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Those and similar events have had, and, in the future, may have, an adverse impact on the profitability of the Company’s Bitcoin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Coinbase (or any other future custodian of the Company’s Bitcoin) or exchanges can result in a direct loss of the Company’s cryptocurrency and fiat currency assets, which loss may not be recoverable by the Company, whether under any insurance policies it has in place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Insolvency, Bankruptcy, or Cessation of Operations of Mining Pool Operator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past five years, Bitfarms has both mined independently and has been a member of multiple third-party Mining Pools; however, as of the date hereof, it participates in only one Mining Pool, being Foundry Pool. Foundry Pool is owned indirectly by Digital Currency Group, which also owns Genesis Global Capital (“</w:t>
      </w:r>
      <w:r>
        <w:rPr>
          <w:rFonts w:ascii="Times New Roman" w:cs="Times New Roman" w:eastAsia="Times New Roman" w:hAnsi="Times New Roman"/>
          <w:sz w:val="18"/>
          <w:szCs w:val="18"/>
          <w:b w:val="1"/>
          <w:bCs w:val="1"/>
          <w:color w:val="auto"/>
        </w:rPr>
        <w:t>Genesis</w:t>
      </w:r>
      <w:r>
        <w:rPr>
          <w:rFonts w:ascii="Times New Roman" w:cs="Times New Roman" w:eastAsia="Times New Roman" w:hAnsi="Times New Roman"/>
          <w:sz w:val="18"/>
          <w:szCs w:val="18"/>
          <w:color w:val="auto"/>
        </w:rPr>
        <w:t>”). On January 19, 2023, Genesis filed for U.S. bankruptcy protection. The Issuer believes that its risk exposure to relying on a single Mining Pool is minimal at this time. In the event that Foundry Pool (or some other such Mining Pool or Mining Pools, as applicable) ceases making payment to Bitfarms for whatever reason, including bankruptcy, insolvency, or cessation of its operations, it is expected that Bitfarms would immediately cease contributing its Hash power to such Mining Pool and either: (i) commence mining independently; or (ii) join a different Mining Pool. The Company estimates that such a switch would take approximately one day in either scenario. Given that Foundry Pool pays the Company on a daily basis, the cost of switching is expected to be the lost revenues the Company would have earned had it been Mining during that approximately one day period (and one additional day in the case Foundry Pool failed to pay the Company for its work, causing the decision to leave the Mining Pool).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the Company is unable to effect a switch of its operations in a timely manner and experience significant down time from mining operations, it may experience a material adverse change.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Independent Mining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 the Company decides to cease participating in a Mining Pool and conduct Mining operations independently, it may be exposed to certain risks; however, it may achieve marginally greater revenues by doing so. See “</w:t>
      </w:r>
      <w:r>
        <w:rPr>
          <w:rFonts w:ascii="Times New Roman" w:cs="Times New Roman" w:eastAsia="Times New Roman" w:hAnsi="Times New Roman"/>
          <w:sz w:val="18"/>
          <w:szCs w:val="18"/>
          <w:i w:val="1"/>
          <w:iCs w:val="1"/>
          <w:color w:val="auto"/>
        </w:rPr>
        <w:t>THE COMPANY – Summary Description of the Business – Mining Pool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The primary risk of conducting independent Mining is that the Company could experience a protracted period of failing to solve any blocks,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a disruption in its revenue stream. In such a circumstance, the Company may need to borrow capital to continue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June 2022, the Company entered into a master equipment finance agreement (the “</w:t>
      </w:r>
      <w:r>
        <w:rPr>
          <w:rFonts w:ascii="Times New Roman" w:cs="Times New Roman" w:eastAsia="Times New Roman" w:hAnsi="Times New Roman"/>
          <w:sz w:val="18"/>
          <w:szCs w:val="18"/>
          <w:b w:val="1"/>
          <w:bCs w:val="1"/>
          <w:color w:val="auto"/>
        </w:rPr>
        <w:t>NYDIG Loan</w:t>
      </w:r>
      <w:r>
        <w:rPr>
          <w:rFonts w:ascii="Times New Roman" w:cs="Times New Roman" w:eastAsia="Times New Roman" w:hAnsi="Times New Roman"/>
          <w:sz w:val="18"/>
          <w:szCs w:val="18"/>
          <w:color w:val="auto"/>
        </w:rPr>
        <w:t>”) between the Company and NYDIG ABL LLC (“</w:t>
      </w:r>
      <w:r>
        <w:rPr>
          <w:rFonts w:ascii="Times New Roman" w:cs="Times New Roman" w:eastAsia="Times New Roman" w:hAnsi="Times New Roman"/>
          <w:sz w:val="18"/>
          <w:szCs w:val="18"/>
          <w:b w:val="1"/>
          <w:bCs w:val="1"/>
          <w:color w:val="auto"/>
        </w:rPr>
        <w:t>NYDIG</w:t>
      </w:r>
      <w:r>
        <w:rPr>
          <w:rFonts w:ascii="Times New Roman" w:cs="Times New Roman" w:eastAsia="Times New Roman" w:hAnsi="Times New Roman"/>
          <w:sz w:val="18"/>
          <w:szCs w:val="18"/>
          <w:color w:val="auto"/>
        </w:rPr>
        <w:t>”), pursuant to which NYDIG agreed to provide funding to the Company of $36.9 million at an interest rate of 12% per annum, collateralized by 10,395 MicroBT WhatsMiner M30S Miners. As part of the NYDIG Loan, the Company must maintain in an identified wallet an approximate quantity of Bitcoin whose value equates to one month of interest and principal payments on the outstanding loan. In the event that the Issuer ceases participation in a Mining Pool and conducts Mining operations independently, the Issuer may need to secure additional financing to ensure that such wallet maintains the requisite value of Bitcoin. This could occur, for instance, if the price of Bitcoin were to decrease and the Company was unsuccessful in solving blocks.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either case, there can be no guarantee that the Company could obtain any such financing on commercially attractive terms, or at all, and consequently the Company could experience a material adverse change.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Mining Pool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and conditions of Foundry Pool to which the Company is subject, the Company has agreed to release, indemnify and hold Foundry Pool harmless from any and all losses, damages, expenses, including reasonable attorneys’ fees, rights, claims, actions of any kind and injury (including death) arising out of or relating to the Company’s participation in Foundry Pool. In the event of such losses, the Company may experience a material adverse change.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Reliance on Foreign Mining Pool Operator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participates in a single Mining Pool, being Foundry Pool. Consequently, the Company’s operations are substantially reliant on Foundry Pool and the terms of services and other terms and conditions that govern its relationship with Foundry Pool. Foundry has the right the right to unilaterally modify the service agreement between it and the Company at any time without notice. This includes the right to modify the payout methodology or Mining Pool fees. In the event that any such modifications are unattractive to the Company, it may: (i) commence mining independently; or (ii) join a different Mining Pool, either of which may cause a material adverse change. See “</w:t>
      </w:r>
      <w:r>
        <w:rPr>
          <w:rFonts w:ascii="Times New Roman" w:cs="Times New Roman" w:eastAsia="Times New Roman" w:hAnsi="Times New Roman"/>
          <w:sz w:val="18"/>
          <w:szCs w:val="18"/>
          <w:i w:val="1"/>
          <w:iCs w:val="1"/>
          <w:color w:val="auto"/>
        </w:rPr>
        <w:t>RISK FACTORS – General Risk Factors – Insolvency, Bankruptcy, or Cessation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of Mining Pool Operator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control measure, on a monthly basis, the Company calculates the revenues it should earn based on its theoretical Hashrate and compares it to the payments received from Foundry. As of the date hereof, the Company has not identified any material discrepancies between its calculations and payments actually received from Foundry. In the event that the Company identifies a material difference, the Company may have to engage in litigation or cease its relationship with Foundry Pool, which may have a material adverse effect on the Company.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Mining Pool Agreements Governed by Foreign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agreements between the Company and Foundry Pool are governed by the laws of the State of New York. Furthermore, the Company is subject to an arbitration provision such that any dispute arising out of or relating to the Company’s agreements with Foundry Pool, or the breach thereof, shall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175" w:name="page176"/>
    <w:bookmarkEnd w:id="17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Political and Regulatory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the 2022 AIF under the heading “</w:t>
      </w:r>
      <w:r>
        <w:rPr>
          <w:rFonts w:ascii="Times New Roman" w:cs="Times New Roman" w:eastAsia="Times New Roman" w:hAnsi="Times New Roman"/>
          <w:sz w:val="18"/>
          <w:szCs w:val="18"/>
          <w:i w:val="1"/>
          <w:iCs w:val="1"/>
          <w:color w:val="auto"/>
        </w:rPr>
        <w:t>DESCRIPTION OF BUSINESS - Business and Strategy - Argentina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r>
        <w:rPr>
          <w:rFonts w:ascii="Times New Roman" w:cs="Times New Roman" w:eastAsia="Times New Roman" w:hAnsi="Times New Roman"/>
          <w:sz w:val="18"/>
          <w:szCs w:val="18"/>
          <w:color w:val="auto"/>
        </w:rPr>
        <w:t>”, for a discussion of recent changes in the Argentine regulatory environment that have adversely affected, and are currently adversely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restrictions on the acquisition, ownership, holding, selling, use or trading in the Company’s common shares. Any such restriction could result in the Company liquidating its cryptocurrency inventory at unfavorable prices and may adversely affect the Company’s shareholders.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other restrictions that may apply in the future, if the SEC or another regulatory body considers Bitcoin to be a security under U.S. securities laws, the Company may be required to comply with significant SEC registration and/or other requirements. The Company cannot provide any assurances that digital assets that it earns or otherwise acquires or holds for its own account, including Bitcoin awarded from any mining pool(s) in which the Company participates, will never be classified as securities under U.S. law. If Bitcoin is considered a security under U.S. securities laws in the future, the Company may be obligated to comply with registration and other additional SEC requirements and, therefore, may be required to incur significant, non-recurring expenses, thereby materially and adversely impacting an investment in the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 is partially reliant on its participation in a cryptocurrency mining pool, being Foundry Pool. As crypto assets have grown in both popularity and market size, governments around the world have reacted differently to crypto assets with certain governments deeming them illegal, while others have allowed their use and trade (with or without additional regulatory requirements). The regulation of mining pools is an evolving area of law and future regulatory actions or requirements may alter, perhaps to a materially adverse extent, the ability of the Corporation to participate in a mining pool. In the event that regulatory changes or regulatory uncertainty cause the Company’s participation in Foundry Pool to become either financially unattractive or too risky, the Company may have to either switch mining pools or cease participation in mining pools altogether. In the event that the Company is unable to effect a switch of its operations in a timely manner and experience significant down time from mining operations, it may experience a material adverse change. See “</w:t>
      </w:r>
      <w:r>
        <w:rPr>
          <w:rFonts w:ascii="Times New Roman" w:cs="Times New Roman" w:eastAsia="Times New Roman" w:hAnsi="Times New Roman"/>
          <w:sz w:val="18"/>
          <w:szCs w:val="18"/>
          <w:i w:val="1"/>
          <w:iCs w:val="1"/>
          <w:color w:val="auto"/>
        </w:rPr>
        <w:t>RISK FACTORS – General Risk Factors - Insolvency, Bankruptcy, or Cessation of Operations of Mining Pool Operator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Mining Risks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 Indemnification of Mining Pool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 Reliance on Foreign Mining Pool Operator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 Mining Pool Agreements Governed by Foreign Laws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earn is impossible to predict, and any such change could be substantial and adverse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present attitude toward foreign investment and the cryptocurrency Mining industry in each of the jurisdictions in which it operates is favorable, but conditions may change, including changes that are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Having received Royal Assent on June 22, 2023, the legislation is considered enacted; however, the interpretation of whether the operations of the Company fall into the exemption provisions has not been determined. If the exemption is not available and the law applied,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have solicited comments and initiated procedures to consider further regulating cryptocurrency and Mining, including through proposed taxes on Mining operations and policy statements and guidance to companies in the cryptocurrency industry, as well as third parties that do business with those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176" w:name="page177"/>
    <w:bookmarkEnd w:id="176"/>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Reliance on Manufacturing in Foreign Countries and the Importation of Equipment to the Jurisdictions in Which the Company Operates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relies in part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illustrate, in 2018 and 2019, the U.S. enacted tariffs (or increased existing tariffs) on certain items imported from other countries. Since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 party manufacturers, which could have an adverse impact on the Company’s financial condition and results of operations. In addition, actions by foreign markets to implement further trade policy changes, including limiting foreign investment or trade, increasing regulatory scrutiny or taking other actions which could apply to the jurisdictions in which the Company operates, could negatively impact the Company’s business.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Permits and Licenses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applicable laws and regulations would not have an adverse effect on any Mining project or related activities that the Company might undertake.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Server Failures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the servers or central processing units could experience a severe malfunction and/or collapse. Although the Company works to reduce this risk by employing a team of experts with many years of experience in building and managing data centers as well as a hardware team that focuses, among other things, on Miner repair and daily evaluation of the technical condition of the server farms that the Company operates, including through software (developed by its management) that facilitates, among other things, control, management and reporting of malfunctions in real time, any server crashes or failures, even if quickly addressed, may interrupt the Company’s operations and cause significant economic harm to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transactions described herein may have tax consequences in Canada or another jurisdiction, depending on each particular existing or prospective shareholder’s specific circumstances. Such tax consequences may not be described herein, nor should this prospectus be construed to be legal or tax advice to any particular shareholder. Existing and prospective shareholders should consult their own tax advisors with respect to any such tax considerations.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with changes in, or the imposition of new, environmental regulations has the potential to reduce the profitability of the Company’s operations or cause delays in the development of its Mining projects.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subject to potential risks and liabilities associated with pollution of the environment through its use of electricity to earn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to such matters may be significant and could have a material adverse effect on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Erroneous Transactions and Human Error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the Company’s operations. The factors affecting the further development of the industry include but are not limited to:</w:t>
      </w:r>
    </w:p>
    <w:p>
      <w:pPr>
        <w:spacing w:after="0" w:line="183"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Bitcoin specifically and cryptocurrencies generally.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Facility Developments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Refer to the Company’s management’s discussion &amp; analysis for the three and nine months ended September 30, 2023 under the heading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for a discussion of the status of the Company’s various development efforts in jurisdictions including, in particular, Argentina and Baie-Comeau.</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outside of Canada has led some Mining companies to consider Canada as a jurisdiction in which to operate, which may increase competition to the Company. Despite the Company’s strategic planning and expected advantages over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both"/>
        <w:spacing w:after="0" w:line="255"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 Either the requirement from Mining companies for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Acceptance and/or Widespread Use of Cryptocurrency Is Uncertain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Hazards Associated with High-voltage Electricity Transmission and Industrial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Adoption of ESG Practices and the Impacts of Climate Change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Companies across many industries, including cryptocurrency Mining, are facing scrutiny related to their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Bitcoin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its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Corruption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multiple jurisdictions, which generally prohibit bribery and other forms of corruption. 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Despite such policies and training, it is possible that the Company, or any employees or contractors, could be charged with bribery or corruption as a result of the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the directors, the officers or the employees of the Company, or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The Company currently carries on its business in certain jurisdictions that have been allocated low scores on Transparency International’s “Corruption Perceptions Index”. Doing business in international developing markets brings with it inherent risks associated with enforcement of obligations, fraud, bribery and corruption. The Company uses its best efforts to prevent the occurrence of fraud, bribery and corruption, but it may not be possible to detect or prevent every instance of fraud, bribery and corruption in every jurisdiction in which its employees, agents, or contractors are located. The Company may therefore be subject to civil and criminal penalties and to reputational damage.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 and Similar Legislation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often carry substantial penalties. The Company operates in jurisdictions that have experienced governmental and private sector corruption to some degree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Any of these events could result in conditions that have a material adverse impact on the Company and its operations.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Third-party Supplier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of Bitfarms Being Classified as a Passive Foreign Investment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U.S. federal income tax purposes. The Company does not believe it was a PFIC for 2022 and does not expect to be a PFIC for 2023;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Common Shares may suffer adverse tax consequences, including the treatment of gains realized on the sale of Common Shares as ordinary income, rather than as capital gain, the loss of the preferential income tax rate applicable to dividends received on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Pandemic and Infectious Disease Risk (including COVID-19)</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in Canada or worldwide could have an adverse impact on the Company’s business, including changes to the way the Company and its counterparties operate, and on the Company’s financial results and condition. In March 2020, the World Health Organization declared COVID-19 a pandemic. The global response to the pandemic is constantly evolving, including various measures implemented at the global, national, provincial and local levels.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many health and safety restrictions have been lifted, certain adverse consequences of the pandemic continue to impact the macroeconomic environment and may continue to persist. The growth in economic activity and demand for goods and services, alongside labor shortages and supply chain complications and/or disruptions, has also contributed to rising inflationary pressures. Further, COVID-19 has contributed to cryptocurrency price volatility and delays in the Company’s receipt of Mining hardware and electrical components. The final outcome and/or potential duration of the economic disruption that resulted from the onset and subsequent recovery from COVID-19 remains uncertain at this time, and the financial markets continue to be impacted. Despite the decreased severity of the pandemic in recent months and the decreased global travel restrictions, the Company cannot accurately predict the impact that COVID-19 will have on its future revenue and business undertakings, due to uncertainties relating to future outbreaks and potential new variants of COVID-19, and their duration. The Company has been operating, and is expected to continue to operate, throughout the pandemic.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1" w:name="page182"/>
    <w:bookmarkEnd w:id="181"/>
    <w:p>
      <w:pPr>
        <w:jc w:val="both"/>
        <w:spacing w:after="0" w:line="253" w:lineRule="auto"/>
        <w:rPr>
          <w:sz w:val="20"/>
          <w:szCs w:val="20"/>
          <w:color w:val="auto"/>
        </w:rPr>
      </w:pPr>
      <w:r>
        <w:rPr>
          <w:rFonts w:ascii="Times New Roman" w:cs="Times New Roman" w:eastAsia="Times New Roman" w:hAnsi="Times New Roman"/>
          <w:sz w:val="18"/>
          <w:szCs w:val="18"/>
          <w:color w:val="auto"/>
        </w:rPr>
        <w:t>The duration and impact of the COVID-19 outbreak is unknown at this time, as is the efficacy of the government interventions. At the onset of the COVID-19 pandemic in March 2020, governments and regulatory bodies in affected areas imposed a number of measures designed to contain the COVID-19 pandemic, including widespread business closures, social distancing protocols, travel restrictions, quarantines, curfews and restrictions on gatherings and events. While substantially all containment measures in Canada have been lifted, additional safety precautions and operating protocols aimed at containing the spread of COVID-19 may be instituted in line with guidance of public health authorities. Additional waves of the COVID-19 pandemic, together with the emergence of new COVID-19 variant strains, may lead to the imposition of containment measures to varying degrees in many regions within Canada and globally. Although the impact of COVID-19 appears to be less severe and government interventions appears to be minimal compared to the beginning of the pandemic, it is not possible to reliably estimate the length and severity of these developments as well as the impact on the financial results and condition of the Company and its operating subsidiaries in future periods. The extent to which the Company’s business and financial condition will continue to be affected by the COVID-19 pandemic will depend on future developments including the spread of variants, efficacy of vaccines against new variants, the vaccination progress and the impact of related controls and restrictions imposed by government authorities.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Emerging Markets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Emerging Market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royalties, imports, exports, duties, currency, or other claims by government entities, including retroactive claims and/or changes in the administration of laws, policies and practices;</w:t>
      </w:r>
    </w:p>
    <w:p>
      <w:pPr>
        <w:spacing w:after="0" w:line="3" w:lineRule="exact"/>
        <w:rPr>
          <w:sz w:val="20"/>
          <w:szCs w:val="20"/>
          <w:color w:val="auto"/>
        </w:rPr>
      </w:pPr>
    </w:p>
    <w:p>
      <w:pPr>
        <w:jc w:val="both"/>
        <w:ind w:firstLine="8"/>
        <w:spacing w:after="0" w:line="251" w:lineRule="auto"/>
        <w:tabs>
          <w:tab w:leader="none" w:pos="33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Economic Volatility and other Challenges in Argentina and / or Paraguay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Vulnerability of Argentina and Paraguay Economies to External Shocks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Weak, flat or negative economic growth or changes in international trade policy of the major trading partners of Argentina and Paraguay could adversely affect its balance of payments and, consequently, its economic growth.</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since 2008, Argentina has struggled to curb strong inflationary pressures and growth stagnated starting in 2012.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economic conditions in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with respect to foreign currencies; competitiveness and efficiency of domestic industries and services; (iv) levels of domestic consumption and foreign and domestic investment and financing; and (v) the rate of inflation. Any difficulties faced by the economies or financial condition of Argentina and Paraguay could have a material adverse effect on companies operating in Argentina and Paraguay, including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Impacts of Corruption and Anti-Corruption Laws in Operating Jurisdictions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these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operations are located in Argentina and Paraguay, which are jurisdictions perceived as having relatively high levels of corruption. The Company’s activities in these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violations of anti-bribery and anti-corruption laws or sanctions regulations by the Company or on its behalf could have a material adverse effect on its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3" w:name="page184"/>
    <w:bookmarkEnd w:id="18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Unpredictability of Tax Rates, Capital Controls and Foreign Exchange Restrictions in Argentina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followed by the government submitting a bill in order to maintain the 30% rate until the end of 2021, and extending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of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Discretion Over 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failure by the Company to apply these funds effectively could have a material adverse effect on the business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Absence of a Public Market for Certain of the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Unsecured Debt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Changes in Interest Rates on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Prevailing interest rates will affect the market price or value of any debt securities. The market price or value of any debt securities may decline as prevailing interest rates for comparable debt instruments rise, and the market price may increase as prevailing interest rates for comparable debt instruments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4" w:name="page185"/>
    <w:bookmarkEnd w:id="18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Fluctuations in Foreign Currency Markets on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Trading Price of Common Shares and Volatility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most of which the Company cannot control and many of which have not necessarily been related to the operating performance, underlying asset values or prospects of such companies. In particular, the trading price of the Common Shares is in many cases directly tied to the price of Bitcoin. Other factors that may impact the trading price of the Common Shares include:</w:t>
      </w:r>
    </w:p>
    <w:p>
      <w:pPr>
        <w:spacing w:after="0" w:line="187"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security analyst and news media coverage. These factors could contribute to lower prices and larger spreads in the bid and ask prices for the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otherwise indicate in a prospectus supplement relating to a particular offering, we currently intend to use the net proceeds from the sale of our securities for general corporate purposes including funding ongoing operations and/or working capital requirements, placing deposits and guarantees as required by energy providers, repaying indebtedness outstanding from time to time, completing acquisitions and mergers to increase mining capacity, expanding existing mining operations and for other corporate purposes as set forth in the prospectus supplement relating to the offering of the securities. The Company will not receive any proceeds from the sale of Securities by any Selling Securityholder.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 44-101F1</w:t>
      </w:r>
      <w:r>
        <w:rPr>
          <w:rFonts w:ascii="Times New Roman" w:cs="Times New Roman" w:eastAsia="Times New Roman" w:hAnsi="Times New Roman"/>
          <w:sz w:val="18"/>
          <w:szCs w:val="18"/>
          <w:color w:val="auto"/>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2022 financial year, the Company had positive annual cash flow from operations. However, the Company expects cash flow from operations to be variable due to the volatile nature of the cryptocurrency markets and the price of Bitcoin. In the event the Company experiences negative operating cash flow, the Company, among other actions, may reduce expenses or sell assets, particularly Bitcoin, to generate sufficient cash to meet its obligations as they come due.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cash on hand of $46.8 million and 703 Bitcoin with an approximate value of $19.0 million for a total of $65.8 million of cash and cryptocurrency. The Company’s planned capital expenditures over the next 18 months are anticipated to be approximately $100 million to $375 million. The Company expects to use the proceeds raised in offerings under this prospectus to fund the acquisition and buildout of mining and data centre infrastructure and to procure new Miners to achieve its March 31, 2024, hashrate goal of at least 7.0 Exahash/second (“</w:t>
      </w:r>
      <w:r>
        <w:rPr>
          <w:rFonts w:ascii="Times New Roman" w:cs="Times New Roman" w:eastAsia="Times New Roman" w:hAnsi="Times New Roman"/>
          <w:sz w:val="18"/>
          <w:szCs w:val="18"/>
          <w:b w:val="1"/>
          <w:bCs w:val="1"/>
          <w:color w:val="auto"/>
        </w:rPr>
        <w:t>EH/s</w:t>
      </w:r>
      <w:r>
        <w:rPr>
          <w:rFonts w:ascii="Times New Roman" w:cs="Times New Roman" w:eastAsia="Times New Roman" w:hAnsi="Times New Roman"/>
          <w:sz w:val="18"/>
          <w:szCs w:val="18"/>
          <w:color w:val="auto"/>
        </w:rPr>
        <w:t>”) as well as future growth, performance, and efficiency objectives.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anticipates utilizing proceeds from any offering hereunder over the next 18 months to consummate acquisitions of greenfield and existing mining operations, and to fund the building and upgrading of acquired operations as well as the procurement of new Miners to achieve growth above the Company’s existing EH/s goal. Specific use of proceeds could include $15 million for the remaining buildout of, and the procurement of Miners for, the 22 MW Baie Comeau opportunity, up to $11 million for the infrastructure and $35 million for new Miners associated with a second facility in Argentina of up to 55 MW, if the Company elects to do so, and up to an additional $100 million for building the infrastructure and procuring new Miners, if the Company elects to do so, for two additional facilities with total mining capacity of an incremental 100 MW, resulting in capacity of up to 210 MW in total in Argentina. The proceeds may also include up to $195 million for the acquisition of, buildout of infrastructure, and procurement of Miners for multiple sites in Paraguay aggregating as much as 150 MW. The Company may also apply as much as $100 million of proceeds to acquire, upgrade, and expand existing Bitcoin mining facilities in, Canada, the United States, Paraguay and elsewhere in which it is in an exploratory phase, preliminary discussions or advanced negotiations. The Company anticipates outlaying up to $240 million over the next 12 months.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6" w:name="page187"/>
    <w:bookmarkEnd w:id="186"/>
    <w:p>
      <w:pPr>
        <w:jc w:val="both"/>
        <w:spacing w:after="0" w:line="282" w:lineRule="auto"/>
        <w:rPr>
          <w:sz w:val="20"/>
          <w:szCs w:val="20"/>
          <w:color w:val="auto"/>
        </w:rPr>
      </w:pPr>
      <w:r>
        <w:rPr>
          <w:rFonts w:ascii="Times New Roman" w:cs="Times New Roman" w:eastAsia="Times New Roman" w:hAnsi="Times New Roman"/>
          <w:sz w:val="18"/>
          <w:szCs w:val="18"/>
          <w:color w:val="auto"/>
        </w:rPr>
        <w:t>To achieve the Company’s stated hashrate goal of 7.0 EH/s, the Company expects that it will be necessary to complete the installation of the 20 MW of hydro containers and procure Miners for those containers at the Paso Pe facility in Paraguay.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part of its operating and financing strategy, the Company plans to continue to retain some or all of the Bitcoin it earns throughout 2023 and 2024. See “</w:t>
      </w:r>
      <w:r>
        <w:rPr>
          <w:rFonts w:ascii="Times New Roman" w:cs="Times New Roman" w:eastAsia="Times New Roman" w:hAnsi="Times New Roman"/>
          <w:sz w:val="18"/>
          <w:szCs w:val="18"/>
          <w:i w:val="1"/>
          <w:iCs w:val="1"/>
          <w:color w:val="auto"/>
        </w:rPr>
        <w:t>CONSOLIDATED CAPITALIZATION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anticipates that its existing financial resources, excluding any proceeds raised under this prospectus, will be sufficient to maintain its current level of operations and complete the buildout of the Baie-Comeau operations up to 22 MW at an expected total cost of approximately $9 million. In order to achieve this business objective, the Company may liquidate or borrow against the Bitcoin that have been accumulated as well as Bitcoin generated from ongoing operations, which may or may not be possible on commercially attractive terms. The Company used purchase credits with a major Miner manufacturer totaling $19 million during the three months ended September 30, 2023 to purchase new Miners and related equipment, reducing the cash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 – Risks Related to the Offering of Securities – Discretion over use of proceeds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and Milestones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primary objective is to increase shareholder value by expanding and improving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acquiring or establishing new facilities. The extent of the Company’s ability to expand its operations will depend, in part, on its ability to raise funds to finance the expansion.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are the milestones over the next eighteen months and their associated estimated costs set out by the Company as of the date hereof. These milestones may be modified or otherwise change dependent upon, among other things, prevailing market conditions and changing economics of bitcoin mining including the impact of developments in the regulatory environment and respective tax regimes.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spacing w:after="0" w:line="183" w:lineRule="exact"/>
        <w:rPr>
          <w:sz w:val="20"/>
          <w:szCs w:val="20"/>
          <w:color w:val="auto"/>
        </w:rPr>
      </w:pPr>
    </w:p>
    <w:p>
      <w:pPr>
        <w:jc w:val="both"/>
        <w:ind w:left="980" w:hanging="324"/>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buildout of up to the full 22 MW capacity in Baie Comeau for $9 million and the procurement and implementation of approximately 6,500 Miners, new and repositioned from other Bitfarms’ facilities, for a total cost of $6 million, including the replacement cost of Miners repositioned from other facilities;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infrastructure to draw upon an additional 55 MW in Argentina over the next six to twelve months for $11 million, excluding the approximate $6 million already incurred, and procure and install approximately 14,000 new Miners at an estimated cost, including shipping and transportation costs and import duties, of up to $35 million;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various greenfield and expansion projects in Paraguay for as much as 220 MW over the next twelve to fifteen months for $195 million to $294 million, including $46 million to $68 million for infrastructure buildout, $136 million to $205 million for Miners and $13 million to $21 million for electricity guarantees;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and secure expansion opportunities in Canada, the United States, Argentina and Paraguay. The Company estimates that for each additional EH of operating capacity, the cost of building infrastructure of the facility will be approximately $200,000 to $400,000 per MW and the cost of new Miners, including shipping and transportation costs and import duties will be approximately $15 million to $22 million. These estimates are based on Miners with a current cost of $15 to $22 per TH, including shipping and transportation costs and import duties.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business objectives, its plan for completing the objective, the current status of the objective, the expenditures made as of the date hereof, the anticipated future expenditures, and the timing of completing the objective.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Expen-ditures to</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Timing of</w:t>
            </w:r>
          </w:p>
        </w:tc>
      </w:tr>
      <w:tr>
        <w:trPr>
          <w:trHeight w:val="245"/>
        </w:trPr>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3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Current Status</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Expenditures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Completion</w:t>
            </w:r>
          </w:p>
        </w:tc>
      </w:tr>
      <w:tr>
        <w:trPr>
          <w:trHeight w:val="198"/>
        </w:trPr>
        <w:tc>
          <w:tcPr>
            <w:tcW w:w="1140" w:type="dxa"/>
            <w:vAlign w:val="bottom"/>
            <w:tcBorders>
              <w:top w:val="single" w:sz="8" w:color="auto"/>
            </w:tcBorders>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Operationalize</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Acquisition and</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8"/>
              </w:rPr>
              <w:t>Operationalize 11 MW</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$15 million</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Second half of</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Baie-</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buildout of Baie-</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the second half of</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75"/>
        </w:trPr>
        <w:tc>
          <w:tcPr>
            <w:tcW w:w="1260" w:type="dxa"/>
            <w:vAlign w:val="bottom"/>
            <w:gridSpan w:val="3"/>
            <w:shd w:val="clear" w:color="auto" w:fill="CCEEFF"/>
          </w:tcPr>
          <w:p>
            <w:pPr>
              <w:ind w:left="40"/>
              <w:spacing w:after="0" w:line="274" w:lineRule="exact"/>
              <w:rPr>
                <w:sz w:val="20"/>
                <w:szCs w:val="20"/>
                <w:color w:val="auto"/>
              </w:rPr>
            </w:pPr>
            <w:r>
              <w:rPr>
                <w:rFonts w:ascii="Times New Roman" w:cs="Times New Roman" w:eastAsia="Times New Roman" w:hAnsi="Times New Roman"/>
                <w:sz w:val="18"/>
                <w:szCs w:val="18"/>
                <w:color w:val="auto"/>
              </w:rPr>
              <w:t>Comeau</w:t>
            </w:r>
            <w:r>
              <w:rPr>
                <w:rFonts w:ascii="Times New Roman" w:cs="Times New Roman" w:eastAsia="Times New Roman" w:hAnsi="Times New Roman"/>
                <w:sz w:val="29"/>
                <w:szCs w:val="29"/>
                <w:color w:val="auto"/>
                <w:vertAlign w:val="superscript"/>
              </w:rPr>
              <w:t>(1)</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Comeau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for 22 MW total</w:t>
            </w:r>
          </w:p>
        </w:tc>
        <w:tc>
          <w:tcPr>
            <w:tcW w:w="2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Develop</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On pause pending further</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$46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Second 55</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assessment in light of recent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MW 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political and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tcPr>
          <w:p>
            <w:pPr>
              <w:spacing w:after="0"/>
              <w:rPr>
                <w:sz w:val="18"/>
                <w:szCs w:val="18"/>
                <w:color w:val="auto"/>
              </w:rPr>
            </w:pPr>
          </w:p>
        </w:tc>
      </w:tr>
      <w:tr>
        <w:trPr>
          <w:trHeight w:val="221"/>
        </w:trPr>
        <w:tc>
          <w:tcPr>
            <w:tcW w:w="126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6"/>
                <w:szCs w:val="16"/>
                <w:color w:val="auto"/>
              </w:rPr>
              <w:t>Argentina</w:t>
            </w:r>
            <w:r>
              <w:rPr>
                <w:rFonts w:ascii="Times New Roman" w:cs="Times New Roman" w:eastAsia="Times New Roman" w:hAnsi="Times New Roman"/>
                <w:sz w:val="25"/>
                <w:szCs w:val="25"/>
                <w:color w:val="auto"/>
                <w:vertAlign w:val="superscript"/>
              </w:rPr>
              <w:t>(2)</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utilize 55 MW facility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economic developments and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tcPr>
          <w:p>
            <w:pPr>
              <w:spacing w:after="0"/>
              <w:rPr>
                <w:sz w:val="19"/>
                <w:szCs w:val="19"/>
                <w:color w:val="auto"/>
              </w:rPr>
            </w:pPr>
          </w:p>
        </w:tc>
      </w:tr>
      <w:tr>
        <w:trPr>
          <w:trHeight w:val="229"/>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the Bitcoin Halving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98"/>
        </w:trPr>
        <w:tc>
          <w:tcPr>
            <w:tcW w:w="12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Third and</w:t>
            </w:r>
          </w:p>
        </w:tc>
        <w:tc>
          <w:tcPr>
            <w:tcW w:w="18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$100 million</w:t>
            </w:r>
          </w:p>
        </w:tc>
        <w:tc>
          <w:tcPr>
            <w:tcW w:w="13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50 MW</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facilities in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shd w:val="clear" w:color="auto" w:fill="CCEEFF"/>
          </w:tcPr>
          <w:p>
            <w:pPr>
              <w:spacing w:after="0"/>
              <w:rPr>
                <w:sz w:val="18"/>
                <w:szCs w:val="18"/>
                <w:color w:val="auto"/>
              </w:rPr>
            </w:pPr>
          </w:p>
        </w:tc>
      </w:tr>
      <w:tr>
        <w:trPr>
          <w:trHeight w:val="221"/>
        </w:trPr>
        <w:tc>
          <w:tcPr>
            <w:tcW w:w="126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16"/>
                <w:szCs w:val="16"/>
                <w:color w:val="auto"/>
              </w:rPr>
              <w:t>Argentina</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 both 50-55 MW</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shd w:val="clear" w:color="auto" w:fill="CCEEFF"/>
          </w:tcPr>
          <w:p>
            <w:pPr>
              <w:spacing w:after="0"/>
              <w:rPr>
                <w:sz w:val="19"/>
                <w:szCs w:val="19"/>
                <w:color w:val="auto"/>
              </w:rPr>
            </w:pPr>
          </w:p>
        </w:tc>
      </w:tr>
      <w:tr>
        <w:trPr>
          <w:trHeight w:val="229"/>
        </w:trPr>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Paso Pe</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Buildout of facility</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of the</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In progress</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$6 million</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$81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first</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for 50</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of 2024</w:t>
            </w:r>
          </w:p>
        </w:tc>
      </w:tr>
      <w:tr>
        <w:trPr>
          <w:trHeight w:val="221"/>
        </w:trPr>
        <w:tc>
          <w:tcPr>
            <w:tcW w:w="126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6"/>
                <w:szCs w:val="16"/>
                <w:color w:val="auto"/>
              </w:rPr>
              <w:t>Paraguay</w:t>
            </w:r>
            <w:r>
              <w:rPr>
                <w:rFonts w:ascii="Times New Roman" w:cs="Times New Roman" w:eastAsia="Times New Roman" w:hAnsi="Times New Roman"/>
                <w:sz w:val="25"/>
                <w:szCs w:val="25"/>
                <w:color w:val="auto"/>
                <w:vertAlign w:val="superscript"/>
              </w:rPr>
              <w:t>(2)</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MW to 70 MW</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miners and</w:t>
            </w:r>
          </w:p>
        </w:tc>
        <w:tc>
          <w:tcPr>
            <w:tcW w:w="1340" w:type="dxa"/>
            <w:vAlign w:val="bottom"/>
          </w:tcPr>
          <w:p>
            <w:pPr>
              <w:spacing w:after="0"/>
              <w:rPr>
                <w:sz w:val="19"/>
                <w:szCs w:val="19"/>
                <w:color w:val="auto"/>
              </w:rPr>
            </w:pPr>
          </w:p>
        </w:tc>
      </w:tr>
      <w:tr>
        <w:trPr>
          <w:trHeight w:val="211"/>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facility to utilize hydro</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electricity</w:t>
            </w:r>
          </w:p>
        </w:tc>
        <w:tc>
          <w:tcPr>
            <w:tcW w:w="1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containers and miners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1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ordered using vendor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8"/>
        </w:trPr>
        <w:tc>
          <w:tcPr>
            <w:tcW w:w="12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Yguazu</w:t>
            </w:r>
          </w:p>
        </w:tc>
        <w:tc>
          <w:tcPr>
            <w:tcW w:w="18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$0.5 million</w:t>
            </w:r>
          </w:p>
        </w:tc>
        <w:tc>
          <w:tcPr>
            <w:tcW w:w="1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$114 million</w:t>
            </w:r>
          </w:p>
        </w:tc>
        <w:tc>
          <w:tcPr>
            <w:tcW w:w="13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 in</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$213</w:t>
            </w: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126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16"/>
                <w:szCs w:val="16"/>
                <w:color w:val="auto"/>
              </w:rPr>
              <w:t>Paraguay</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1340" w:type="dxa"/>
            <w:vAlign w:val="bottom"/>
            <w:shd w:val="clear" w:color="auto" w:fill="CCEEFF"/>
          </w:tcPr>
          <w:p>
            <w:pPr>
              <w:spacing w:after="0"/>
              <w:rPr>
                <w:sz w:val="19"/>
                <w:szCs w:val="19"/>
                <w:color w:val="auto"/>
              </w:rPr>
            </w:pPr>
          </w:p>
        </w:tc>
      </w:tr>
      <w:tr>
        <w:trPr>
          <w:trHeight w:val="211"/>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 80 MW to 150</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MW facility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and</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electricity</w:t>
            </w:r>
          </w:p>
        </w:tc>
        <w:tc>
          <w:tcPr>
            <w:tcW w:w="1340" w:type="dxa"/>
            <w:vAlign w:val="bottom"/>
            <w:shd w:val="clear" w:color="auto" w:fill="CCEEFF"/>
          </w:tcPr>
          <w:p>
            <w:pPr>
              <w:spacing w:after="0"/>
              <w:rPr>
                <w:sz w:val="18"/>
                <w:szCs w:val="18"/>
                <w:color w:val="auto"/>
              </w:rPr>
            </w:pPr>
          </w:p>
        </w:tc>
      </w:tr>
      <w:tr>
        <w:trPr>
          <w:trHeight w:val="234"/>
        </w:trPr>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1340" w:type="dxa"/>
            <w:vAlign w:val="bottom"/>
            <w:shd w:val="clear" w:color="auto" w:fill="CCEEFF"/>
          </w:tcPr>
          <w:p>
            <w:pPr>
              <w:spacing w:after="0"/>
              <w:rPr>
                <w:sz w:val="20"/>
                <w:szCs w:val="20"/>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Expansion in</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Acquisition,</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Evaluate opportunities</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Exploratory and assessment</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$100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Canada, US,</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expand the</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Paraguay and</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buildout of</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hashrate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tcPr>
          <w:p>
            <w:pPr>
              <w:spacing w:after="0"/>
              <w:rPr>
                <w:sz w:val="18"/>
                <w:szCs w:val="18"/>
                <w:color w:val="auto"/>
              </w:rPr>
            </w:pPr>
          </w:p>
        </w:tc>
      </w:tr>
      <w:tr>
        <w:trPr>
          <w:trHeight w:val="398"/>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elsewhere</w:t>
            </w:r>
            <w:r>
              <w:rPr>
                <w:rFonts w:ascii="Times New Roman" w:cs="Times New Roman" w:eastAsia="Times New Roman" w:hAnsi="Times New Roman"/>
                <w:sz w:val="29"/>
                <w:szCs w:val="29"/>
                <w:color w:val="auto"/>
                <w:vertAlign w:val="superscript"/>
              </w:rPr>
              <w:t>(2)</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facilities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tcPr>
          <w:p>
            <w:pPr>
              <w:spacing w:after="0"/>
              <w:rPr>
                <w:sz w:val="24"/>
                <w:szCs w:val="24"/>
                <w:color w:val="auto"/>
              </w:rPr>
            </w:pPr>
          </w:p>
        </w:tc>
      </w:tr>
      <w:tr>
        <w:trPr>
          <w:trHeight w:val="26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hanging="452"/>
        <w:spacing w:after="0" w:line="261"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being able to accomplish this milestone without additional financing. A significant decrease in Bitcoin price may impact the Company’s ability to accomplish this milestone whether the Company obtains additional financing or not.</w:t>
      </w:r>
    </w:p>
    <w:p>
      <w:pPr>
        <w:ind w:left="460" w:hanging="452"/>
        <w:spacing w:after="0" w:line="260"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requiring additional financing to complete this milestone in addition to the funds raised under this Prospectus to complete the milestone. The Company will only complete this milestone if and when additional financing has been obtained.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2021 Business Objectives and Milestones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business objectives and milestones from the short form base shelf prospectus dated August 12, 2021 and the prospectus supplement dated August 16, 2021, the progress of achieving these milestones and a comparison of the proceeds used against the estimated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Proceeds used as of September</w:t>
            </w:r>
          </w:p>
        </w:tc>
      </w:tr>
      <w:tr>
        <w:trPr>
          <w:trHeight w:val="245"/>
        </w:trPr>
        <w:tc>
          <w:tcPr>
            <w:tcW w:w="440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Business Objective</w:t>
            </w:r>
          </w:p>
        </w:tc>
        <w:tc>
          <w:tcPr>
            <w:tcW w:w="90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status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25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30, 2023</w:t>
            </w: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Buildout of additional 78 MW of electrical infrastructure</w:t>
            </w:r>
          </w:p>
        </w:tc>
        <w:tc>
          <w:tcPr>
            <w:tcW w:w="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Completed in Q4 2022</w:t>
            </w: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 million</w:t>
            </w:r>
          </w:p>
        </w:tc>
        <w:tc>
          <w:tcPr>
            <w:tcW w:w="1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Cowansville expansion (17</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Quebec by the first quarter of 2022</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$0.6 million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 Sherbrooke expansion (78</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$22.2 million</w:t>
            </w: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Acquire mining equipment to achieve 3 EH/s of computing</w:t>
            </w:r>
          </w:p>
        </w:tc>
        <w:tc>
          <w:tcPr>
            <w:tcW w:w="2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Completed in Q2 2022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$45 million</w:t>
            </w:r>
          </w:p>
        </w:tc>
        <w:tc>
          <w:tcPr>
            <w:tcW w:w="25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 MicroBT Miners: $126.3</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by the first quarter of 2022</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million</w:t>
            </w: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 Bitmain Miners: $29.3 million</w:t>
            </w: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Commence the engineering procurement and construction</w:t>
            </w:r>
          </w:p>
        </w:tc>
        <w:tc>
          <w:tcPr>
            <w:tcW w:w="31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 55 MW facility constructed in Q3</w:t>
            </w: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$55 million</w:t>
            </w:r>
          </w:p>
        </w:tc>
        <w:tc>
          <w:tcPr>
            <w:tcW w:w="25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Argentina expansion, net of gain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activity  in  the  second  half  of  2021  with  expected</w:t>
            </w:r>
          </w:p>
        </w:tc>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and completed in Q4 2023.</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disposition of marketable</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completion in 2022 of a major mining facility to exploit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(first 50 MW facility)</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  MW  non-binding  memorandum  of  understanding</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$51.0 million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entered into with a South American energy producer,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which is at $0.022/KwH.</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Achieve the Company’s target of 8.0 EH/s by the end of</w:t>
            </w:r>
          </w:p>
        </w:tc>
        <w:tc>
          <w:tcPr>
            <w:tcW w:w="3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The Company revised this target to reach</w:t>
            </w:r>
          </w:p>
        </w:tc>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Mining</w:t>
            </w: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7.0 EH/s by March 31, 2024. Without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considering</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outstanding</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deposit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$215 million to</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balances, the Company estimates that it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$235 million</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would cost approximately $21 million 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EH based on a current Miner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$15 per TH.</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Engage with the Quebec government as well as other</w:t>
            </w:r>
          </w:p>
        </w:tc>
        <w:tc>
          <w:tcPr>
            <w:tcW w:w="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Completed.</w:t>
            </w:r>
          </w:p>
        </w:tc>
        <w:tc>
          <w:tcPr>
            <w:tcW w:w="14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However,  the</w:t>
            </w:r>
          </w:p>
        </w:tc>
        <w:tc>
          <w:tcPr>
            <w:tcW w:w="82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w w:val="97"/>
              </w:rPr>
              <w:t>Company</w:t>
            </w: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 Washington expansion (20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governmental and private sector energy suppliers to secure</w:t>
            </w:r>
          </w:p>
        </w:tc>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continues to look for opportunities to</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$27.2 million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sites capable of housing a 50 MW or larger</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expand its mining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 Paraguay expansion (10 MW):</w:t>
            </w:r>
          </w:p>
        </w:tc>
      </w:tr>
      <w:tr>
        <w:trPr>
          <w:trHeight w:val="23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facility</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 million</w:t>
            </w:r>
          </w:p>
        </w:tc>
      </w:tr>
      <w:tr>
        <w:trPr>
          <w:trHeight w:val="655"/>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Company’s consolidated capitalization since the date of the Company’s most recently filed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in respect of the Company’s Common Shares that we issued within the previous twelve-month period, including Common Shares that we issued upon the exercise of stock options of the Company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will be provided as required in a prospectus supplement with respect to the issuance of securities pursuant to such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Common Shares are listed and posted for trading on the Nasdaq and on the TSX under the symbol “</w:t>
      </w:r>
      <w:r>
        <w:rPr>
          <w:rFonts w:ascii="Times New Roman" w:cs="Times New Roman" w:eastAsia="Times New Roman" w:hAnsi="Times New Roman"/>
          <w:sz w:val="18"/>
          <w:szCs w:val="18"/>
          <w:b w:val="1"/>
          <w:bCs w:val="1"/>
          <w:color w:val="auto"/>
        </w:rPr>
        <w:t>BITF</w:t>
      </w:r>
      <w:r>
        <w:rPr>
          <w:rFonts w:ascii="Times New Roman" w:cs="Times New Roman" w:eastAsia="Times New Roman" w:hAnsi="Times New Roman"/>
          <w:sz w:val="18"/>
          <w:szCs w:val="18"/>
          <w:color w:val="auto"/>
        </w:rPr>
        <w:t>”. Trading price and volume information for the Company’s securities will be provided as required in each prospectus supplement to this prospectus.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COVERAGE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 without par value. As of the date hereof, there are 277,684,000 Common Shares and no preferred shares issued and outstanding.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were: (i) 19,000,000 Common Shares issuable upon the exercise of outstanding stock options of the Company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at a weighted average exercise price of C$1.85 and (ii) 19,153,000 Common Shares reserved for issuance on exercise of 19,153,000 issued and outstanding Common Share purchase warrants of the Company with a weighted average exercise price of US$4.21 and (iii) 258,000 RSUs, for a total of 316,095,000 Common Shares on a fully-diluted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Common Shares rank equally as to voting rights, participation in a distribution of the assets of the Company in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rights, privileges, restrictions and conditions attached to the preferred shares of the Company, the holders of the Common Shares are entitled to receive any dividends declared by the Company in respect of the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Preferred shares of the Company do not give the holders any right to receive notice of or vote at general or special meetings of the Company. As of the date of this prospectus, no preferred shares were issued and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describing the debt securities, the terms “Company” and “Bitfarms” refer only to Bitfarms Ltd. without any of its subsidiaries.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 Debt securities, if offered, may be guaranteed by an affiliate or an associate of the Company.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debt securities will be issued under one or more indentures (each, a “</w:t>
      </w:r>
      <w:r>
        <w:rPr>
          <w:rFonts w:ascii="Times New Roman" w:cs="Times New Roman" w:eastAsia="Times New Roman" w:hAnsi="Times New Roman"/>
          <w:sz w:val="18"/>
          <w:szCs w:val="18"/>
          <w:b w:val="1"/>
          <w:bCs w:val="1"/>
          <w:color w:val="auto"/>
        </w:rPr>
        <w:t>Trust Indenture</w:t>
      </w:r>
      <w:r>
        <w:rPr>
          <w:rFonts w:ascii="Times New Roman" w:cs="Times New Roman" w:eastAsia="Times New Roman" w:hAnsi="Times New Roman"/>
          <w:sz w:val="18"/>
          <w:szCs w:val="18"/>
          <w:color w:val="auto"/>
        </w:rPr>
        <w:t>”), in each case between the Company and a financial institution or trust company organized under the laws of Canada or any province thereof and authorized to carry on business as a trustee (each, a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www.sedarplus.ca.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prospectus supplement for debt securities supplementing this prospectus will contain the specific terms and other information with respect to the debt securities being offered thereby,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 of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principal amount at which the debt securities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 on the debt securities will be senior or subordinated to other liabilities or obligations of the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1" w:name="page192"/>
    <w:bookmarkEnd w:id="191"/>
    <w:p>
      <w:pPr>
        <w:ind w:left="324" w:hanging="324"/>
        <w:spacing w:after="0" w:line="282"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the Company will pay principal, premium, if any, and interest, if any, and the place or places where debt securities can be presented for registration of transfer or exchange;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will be obligated to redeem or repurchase the debt securities pursuant to any sinking or purchase fund or other provisions, or at the option of a holder, and the terms and conditions of such redemption;</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may redeem the debt securities at its option and the terms and conditions of any such redemption;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Company will issue any registered and unregistered debt securities;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with reference to any index or formula;</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as global securities (defined below) and, if so, the identity of the depositary (defined below) for the global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as unregistered securities (with or without coupons), registered securities or both;</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within which and the terms and conditions, if any, upon which the Company may redeem the debt securities prior to maturity and the price or prices of which, and the currency or currency units in which, the debt securities are payable;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applicable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under which debt securities may be defeased, whether at or prior to maturity;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holders of any series of debt securities have special rights if specified events occur;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or sinking fund or analogous provisions;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for any conversion or exchange of the debt securities for any other securities of the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transfer restrictions;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if any, on a change of control;</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any rights or terms attaching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 the Trust Indenture pursuant to which the debt securities are to be issued; whether the Company will undertake to list the debt securities of the series on any securities exchange or automated interdealer quotation system; and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2" w:name="page193"/>
    <w:bookmarkEnd w:id="192"/>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issue debt securities bearing no interest or interest at a rate below the prevailing market rate at the time of issuance and offer and sell these securities at a discount below their stated principal amount, in which case, the Company will include in the applicable prospectus supplement the effective yield if held to maturity.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and Other Indebtedness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Debt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Securities in Book Entry Form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debt securities of any series may be issued in whole or in part in the form of one or more global securities (“</w:t>
      </w:r>
      <w:r>
        <w:rPr>
          <w:rFonts w:ascii="Times New Roman" w:cs="Times New Roman" w:eastAsia="Times New Roman" w:hAnsi="Times New Roman"/>
          <w:sz w:val="18"/>
          <w:szCs w:val="18"/>
          <w:b w:val="1"/>
          <w:bCs w:val="1"/>
          <w:color w:val="auto"/>
        </w:rPr>
        <w:t>Global Securities</w:t>
      </w:r>
      <w:r>
        <w:rPr>
          <w:rFonts w:ascii="Times New Roman" w:cs="Times New Roman" w:eastAsia="Times New Roman" w:hAnsi="Times New Roman"/>
          <w:sz w:val="18"/>
          <w:szCs w:val="18"/>
          <w:color w:val="auto"/>
        </w:rPr>
        <w:t>”) registered in the name of a designated clearing agency (a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spacing w:after="0" w:line="254" w:lineRule="auto"/>
        <w:rPr>
          <w:sz w:val="20"/>
          <w:szCs w:val="20"/>
          <w:color w:val="auto"/>
        </w:rPr>
      </w:pPr>
      <w:r>
        <w:rPr>
          <w:rFonts w:ascii="Times New Roman" w:cs="Times New Roman" w:eastAsia="Times New Roman" w:hAnsi="Times New Roman"/>
          <w:sz w:val="18"/>
          <w:szCs w:val="18"/>
          <w:color w:val="auto"/>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stated in the applicable prospectus supplement, CDS Clearing and Depository Services Inc. or its successor will act as Depositary for any debt securities represented by a Global Security.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Securities in Certificated Form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describes the general terms that will apply to any warrants for the purchase of Common Shares, or equity warrants, or for the purchase of debt securities, or debt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Debt warrants, if offered, may be guaranteed by an affiliate or an associate of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www.sedarplus.ca.</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warrants that we offer will describe the particular terms of those warrants and include specific terms relating to the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(Ontario) or otherwise at law.</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equity warrants will be described in the applicable prospectus supplement. This description will include, where applicable:</w:t>
      </w:r>
    </w:p>
    <w:p>
      <w:pPr>
        <w:spacing w:after="0" w:line="162"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equity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equity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equity warrant and the price at which and currency or currencies in which the Common Shares may be purchased upon exercise of each equity warrant;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fractional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applied to list the equity warrants or the underlying shares on a stock exchange;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equity warrants will be offered, if any, and the number of the equity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equity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equity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equity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equity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particular terms of each issue of debt warrants will be described in the related prospectus supplement. This description will include, where applicable:</w:t>
      </w:r>
    </w:p>
    <w:p>
      <w:pPr>
        <w:spacing w:after="0" w:line="225"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debt warrants are being offered, if any, and the number of the debt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debt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debt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applied to list the debt warrants or the underlying debt securities on an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debt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debt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subject to the warrants.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spacing w:after="0" w:line="176"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units being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units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securities comprising the units and any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securities comprising the units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list the units or any of the individual securities comprising the units on any exchange;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income tax consequences of owning the units, including, how the purchase price paid for the units will be allocated among the securities comprising the units;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SUBSCRIPTION RECEIPTS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subscription receipts separately or in combination with one or more other securities, which will entitle holders thereof to receive, upon satisfaction of certain release conditions (the “</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and for no additional consideration, Common Shares, warrants, debt securities or any combination thereof. Subscription receipts will be issued pursuant to one or more subscription receipt agreements (each, a “</w:t>
      </w:r>
      <w:r>
        <w:rPr>
          <w:rFonts w:ascii="Times New Roman" w:cs="Times New Roman" w:eastAsia="Times New Roman" w:hAnsi="Times New Roman"/>
          <w:sz w:val="18"/>
          <w:szCs w:val="18"/>
          <w:b w:val="1"/>
          <w:bCs w:val="1"/>
          <w:color w:val="auto"/>
        </w:rPr>
        <w:t>Subscription Receipt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material terms of which will be described in the applicable prospectus supplement, each to be entered into between the Company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agent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spacing w:after="0" w:line="162"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subscription receipts being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subscription receipts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Shares, warrants and/or debt securities to be received by the holders of subscription receipts upon satisfaction of the Release Conditions, and any procedures that will result in the adjustment of those numbers;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Conditions that must be met in order for holders of subscription receipts to receive, for no additional consideration, the Common Shares, warrants and/or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the issuance and delivery of the Common Shares, warrants and/or debt securities to holders of subscription receipts upon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payments will be made to holders of subscription receipts upon delivery of the Common Shares, warrants and/or debt securities upon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Escrow Agent;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the Escrow Agent will hold all or a portion of the gross proceeds from the sale of subscription receipts, together with interest and income earned thereon (collectively, the “</w:t>
      </w:r>
      <w:r>
        <w:rPr>
          <w:rFonts w:ascii="Times New Roman" w:cs="Times New Roman" w:eastAsia="Times New Roman" w:hAnsi="Times New Roman"/>
          <w:sz w:val="18"/>
          <w:szCs w:val="18"/>
          <w:b w:val="1"/>
          <w:bCs w:val="1"/>
          <w:color w:val="auto"/>
        </w:rPr>
        <w:t>Escrowed Funds</w:t>
      </w:r>
      <w:r>
        <w:rPr>
          <w:rFonts w:ascii="Times New Roman" w:cs="Times New Roman" w:eastAsia="Times New Roman" w:hAnsi="Times New Roman"/>
          <w:sz w:val="18"/>
          <w:szCs w:val="18"/>
          <w:color w:val="auto"/>
        </w:rPr>
        <w:t>”), pending satisfaction of the Release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9" w:name="page200"/>
    <w:bookmarkEnd w:id="199"/>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pursuant to which the Escrow Agent will hold the Common Shares, warrants and/or debt securities pending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the Escrow Agent will release all or a portion of the Escrowed Funds to the Company upon satisfaction of the Release Conditions;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entitlement of Bitfarms to purchase the subscription receipts in the open market by private agreement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subscription receipts as Global Securities and, if so, the identity of the Depositary for the Global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subscription receipts as unregistered bearer securities, as registered securities or both;</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list the subscription receipts on any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subscription receipts;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subscription receipts.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Rights of Holders of Subscription Receipts Prior to Satisfaction of Release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1" w:name="page202"/>
    <w:bookmarkEnd w:id="20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share purchase contracts, representing contracts obligating holders to purchase from or sell to us a specified number of Common Shares, as applicable, at a future date or 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 (iii) 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(viii) any other material terms and conditions of the share purchase contracts including, without limitation, transferability and adjustment terms and whether the share purchase contracts will be listed on a stock exchange.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2" w:name="page203"/>
    <w:bookmarkEnd w:id="2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may sell the securities of the Company offered by this prospectus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 of Common Shares may be effected from time to time in one or more transactions at non-fixed prices pursuant to transactions that are deemed to be “at-the-market distributions” as defined in NI 44-102, including sales made directly on the TSX,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Each prospectus supplement with respect to the Company’s securities being offered will set forth the terms of the offering, including:</w:t>
      </w:r>
    </w:p>
    <w:p>
      <w:pPr>
        <w:spacing w:after="0" w:line="225" w:lineRule="exact"/>
        <w:rPr>
          <w:sz w:val="20"/>
          <w:szCs w:val="20"/>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offering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other placement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purchase price of, and form of consideration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to the Company from such sale;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fees, discounts and other items constituting underwriters’, dealers’ or agents’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may also, from time to time, relate to the offering of Common Shares by certain Selling Securityholders.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Common Shares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the Company is PricewaterhouseCoopers LLP at its offices located at PwC Centre, 354 Davis Road, Suite 600, Oakville, Ontario, Canada L6J 0C5.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of the Company is TSX Trust Company at its offices located at 100 Adelaide St W #301, Toronto, ON M5H 1S3.</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AGENTS FOR SERVICE OF PROCESS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directors and officers of the Company reside outside of Canada. Emiliano Joel Grodzki, Nicolas Bonta, Andres Finkielsztain, Edith M. Hofmeister, Benjamin Gagnon, and Jeffrey Lucas have appointed the following agents for service of process: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Name and Address of Agent</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2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Bitfarms Ltd.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110 Yonge Street, Suite 1601</w:t>
            </w:r>
          </w:p>
        </w:tc>
        <w:tc>
          <w:tcPr>
            <w:tcW w:w="0" w:type="dxa"/>
            <w:vAlign w:val="bottom"/>
          </w:tcPr>
          <w:p>
            <w:pPr>
              <w:spacing w:after="0"/>
              <w:rPr>
                <w:sz w:val="1"/>
                <w:szCs w:val="1"/>
                <w:color w:val="auto"/>
              </w:rPr>
            </w:pPr>
          </w:p>
        </w:tc>
      </w:tr>
      <w:tr>
        <w:trPr>
          <w:trHeight w:val="234"/>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Toronto, ON M5C 1T4</w:t>
            </w:r>
          </w:p>
        </w:tc>
        <w:tc>
          <w:tcPr>
            <w:tcW w:w="0" w:type="dxa"/>
            <w:vAlign w:val="bottom"/>
          </w:tcPr>
          <w:p>
            <w:pPr>
              <w:spacing w:after="0"/>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Andres Finkielsztain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with the SEC, concurrently with the initial filing of this Registration Statement, an appointment of agent for service of process on Form F-X. Under the Form F-X, the Company appointed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5" w:name="page206"/>
    <w:bookmarkEnd w:id="2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EXEMPTIONS UNDER SECURITIES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decision of the Autorité des Marchés Financiers, the securities regulatory authority in the Province of Québec, dated June 22, 2023,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2"/>
    </w:lvl>
    <w:lvl w:ilvl="1">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decimal"/>
      <w:start w:val="3"/>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1)"/>
      <w:numFmt w:val="lowerRoman"/>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lowerRoman"/>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lowerRoman"/>
      <w:start w:val="1"/>
    </w:lvl>
  </w:abstractNum>
  <w:abstractNum w:abstractNumId="27">
    <w:nsid w:val="12E685FB"/>
    <w:multiLevelType w:val="hybridMultilevel"/>
    <w:lvl w:ilvl="0">
      <w:lvlJc w:val="left"/>
      <w:lvlText w:val="%1."/>
      <w:numFmt w:val="decimal"/>
      <w:start w:val="4"/>
    </w:lvl>
    <w:lvl w:ilvl="1">
      <w:lvlJc w:val="left"/>
      <w:lvlText w:val="%2)"/>
      <w:numFmt w:val="lowerLetter"/>
      <w:start w:val="1"/>
    </w:lvl>
  </w:abstractNum>
  <w:abstractNum w:abstractNumId="28">
    <w:nsid w:val="70C6A529"/>
    <w:multiLevelType w:val="hybridMultilevel"/>
    <w:lvl w:ilvl="0">
      <w:lvlJc w:val="left"/>
      <w:lvlText w:val="%1)"/>
      <w:numFmt w:val="lowerLetter"/>
      <w:start w:val="2"/>
    </w:lvl>
  </w:abstractNum>
  <w:abstractNum w:abstractNumId="29">
    <w:nsid w:val="520EEDD1"/>
    <w:multiLevelType w:val="hybridMultilevel"/>
    <w:lvl w:ilvl="0">
      <w:lvlJc w:val="left"/>
      <w:lvlText w:val="%1)"/>
      <w:numFmt w:val="lowerLetter"/>
      <w:start w:val="3"/>
    </w:lvl>
  </w:abstractNum>
  <w:abstractNum w:abstractNumId="30">
    <w:nsid w:val="374A3FE6"/>
    <w:multiLevelType w:val="hybridMultilevel"/>
    <w:lvl w:ilvl="0">
      <w:lvlJc w:val="left"/>
      <w:lvlText w:val="%1."/>
      <w:numFmt w:val="decimal"/>
      <w:start w:val="5"/>
    </w:lvl>
    <w:lvl w:ilvl="1">
      <w:lvlJc w:val="left"/>
      <w:lvlText w:val="%2)"/>
      <w:numFmt w:val="lowerLetter"/>
      <w:start w:val="1"/>
    </w:lvl>
  </w:abstractNum>
  <w:abstractNum w:abstractNumId="31">
    <w:nsid w:val="4F4EF005"/>
    <w:multiLevelType w:val="hybridMultilevel"/>
    <w:lvl w:ilvl="0">
      <w:lvlJc w:val="left"/>
      <w:lvlText w:val="(%1)"/>
      <w:numFmt w:val="lowerRoman"/>
      <w:start w:val="1"/>
    </w:lvl>
  </w:abstractNum>
  <w:abstractNum w:abstractNumId="32">
    <w:nsid w:val="23F9C13C"/>
    <w:multiLevelType w:val="hybridMultilevel"/>
    <w:lvl w:ilvl="0">
      <w:lvlJc w:val="left"/>
      <w:lvlText w:val="(%1)"/>
      <w:numFmt w:val="lowerRoman"/>
      <w:start w:val="2"/>
    </w:lvl>
  </w:abstractNum>
  <w:abstractNum w:abstractNumId="33">
    <w:nsid w:val="649BB77C"/>
    <w:multiLevelType w:val="hybridMultilevel"/>
    <w:lvl w:ilvl="0">
      <w:lvlJc w:val="left"/>
      <w:lvlText w:val="%1)"/>
      <w:numFmt w:val="lowerLetter"/>
      <w:start w:val="3"/>
    </w:lvl>
  </w:abstractNum>
  <w:abstractNum w:abstractNumId="34">
    <w:nsid w:val="275AC794"/>
    <w:multiLevelType w:val="hybridMultilevel"/>
    <w:lvl w:ilvl="0">
      <w:lvlJc w:val="left"/>
      <w:lvlText w:val="%1)"/>
      <w:numFmt w:val="lowerLetter"/>
      <w:start w:val="4"/>
    </w:lvl>
  </w:abstractNum>
  <w:abstractNum w:abstractNumId="35">
    <w:nsid w:val="39386575"/>
    <w:multiLevelType w:val="hybridMultilevel"/>
    <w:lvl w:ilvl="0">
      <w:lvlJc w:val="left"/>
      <w:lvlText w:val="%1)"/>
      <w:numFmt w:val="lowerLetter"/>
      <w:start w:val="7"/>
    </w:lvl>
  </w:abstractNum>
  <w:abstractNum w:abstractNumId="36">
    <w:nsid w:val="1CF10FD8"/>
    <w:multiLevelType w:val="hybridMultilevel"/>
    <w:lvl w:ilvl="0">
      <w:lvlJc w:val="left"/>
      <w:lvlText w:val="%1"/>
      <w:numFmt w:val="decimal"/>
      <w:start w:val="1"/>
    </w:lvl>
    <w:lvl w:ilvl="1">
      <w:lvlJc w:val="left"/>
      <w:lvlText w:val="%2)"/>
      <w:numFmt w:val="lowerLetter"/>
      <w:start w:val="10"/>
    </w:lvl>
    <w:lvl w:ilvl="2">
      <w:lvlJc w:val="left"/>
      <w:lvlText w:val="●"/>
      <w:numFmt w:val="bullet"/>
      <w:start w:val="1"/>
    </w:lvl>
  </w:abstractNum>
  <w:abstractNum w:abstractNumId="37">
    <w:nsid w:val="180115BE"/>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lvl w:ilvl="1">
      <w:lvlJc w:val="left"/>
      <w:lvlText w:val="●"/>
      <w:numFmt w:val="bullet"/>
      <w:start w:val="1"/>
    </w:lvl>
  </w:abstractNum>
  <w:abstractNum w:abstractNumId="41">
    <w:nsid w:val="15B5AF5C"/>
    <w:multiLevelType w:val="hybridMultilevel"/>
    <w:lvl w:ilvl="0">
      <w:lvlJc w:val="left"/>
      <w:lvlText w:val="%1."/>
      <w:numFmt w:val="decimal"/>
      <w:start w:val="2"/>
    </w:lvl>
    <w:lvl w:ilvl="1">
      <w:lvlJc w:val="left"/>
      <w:lvlText w:val="●"/>
      <w:numFmt w:val="bullet"/>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upperLetter"/>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lowerRoman"/>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1)"/>
      <w:numFmt w:val="lowerRoman"/>
      <w:start w:val="4"/>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1)"/>
      <w:numFmt w:val="lowerRoman"/>
      <w:start w:val="3"/>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5" Type="http://schemas.openxmlformats.org/officeDocument/2006/relationships/image" Target="media/image12.png"/><Relationship Id="rId47" Type="http://schemas.openxmlformats.org/officeDocument/2006/relationships/image" Target="media/image13.png"/><Relationship Id="rId61" Type="http://schemas.openxmlformats.org/officeDocument/2006/relationships/image" Target="media/image14.png"/><Relationship Id="rId76" Type="http://schemas.openxmlformats.org/officeDocument/2006/relationships/image" Target="media/image15.png"/><Relationship Id="rId77" Type="http://schemas.openxmlformats.org/officeDocument/2006/relationships/image" Target="media/image16.png"/><Relationship Id="rId78" Type="http://schemas.openxmlformats.org/officeDocument/2006/relationships/image" Target="media/image17.png"/><Relationship Id="rId79" Type="http://schemas.openxmlformats.org/officeDocument/2006/relationships/image" Target="media/image18.png"/><Relationship Id="rId80" Type="http://schemas.openxmlformats.org/officeDocument/2006/relationships/image" Target="media/image19.png"/><Relationship Id="rId81" Type="http://schemas.openxmlformats.org/officeDocument/2006/relationships/image" Target="media/image20.png"/><Relationship Id="rId82" Type="http://schemas.openxmlformats.org/officeDocument/2006/relationships/image" Target="media/image21.png"/><Relationship Id="rId83" Type="http://schemas.openxmlformats.org/officeDocument/2006/relationships/image" Target="media/image22.png"/><Relationship Id="rId84" Type="http://schemas.openxmlformats.org/officeDocument/2006/relationships/image" Target="media/image23.png"/><Relationship Id="rId85" Type="http://schemas.openxmlformats.org/officeDocument/2006/relationships/image" Target="media/image24.png"/><Relationship Id="rId86" Type="http://schemas.openxmlformats.org/officeDocument/2006/relationships/image" Target="media/image25.png"/><Relationship Id="rId87" Type="http://schemas.openxmlformats.org/officeDocument/2006/relationships/image" Target="media/image26.png"/><Relationship Id="rId88" Type="http://schemas.openxmlformats.org/officeDocument/2006/relationships/image" Target="media/image27.png"/><Relationship Id="rId89" Type="http://schemas.openxmlformats.org/officeDocument/2006/relationships/image" Target="media/image28.png"/><Relationship Id="rId90" Type="http://schemas.openxmlformats.org/officeDocument/2006/relationships/image" Target="media/image29.png"/><Relationship Id="rId91" Type="http://schemas.openxmlformats.org/officeDocument/2006/relationships/image" Target="media/image30.png"/><Relationship Id="rId92" Type="http://schemas.openxmlformats.org/officeDocument/2006/relationships/image" Target="media/image31.png"/><Relationship Id="rId93" Type="http://schemas.openxmlformats.org/officeDocument/2006/relationships/image" Target="media/image32.png"/><Relationship Id="rId94" Type="http://schemas.openxmlformats.org/officeDocument/2006/relationships/image" Target="media/image33.png"/><Relationship Id="rId95" Type="http://schemas.openxmlformats.org/officeDocument/2006/relationships/image" Target="media/image34.png"/><Relationship Id="rId96" Type="http://schemas.openxmlformats.org/officeDocument/2006/relationships/image" Target="media/image35.png"/><Relationship Id="rId97" Type="http://schemas.openxmlformats.org/officeDocument/2006/relationships/image" Target="media/image36.png"/><Relationship Id="rId98" Type="http://schemas.openxmlformats.org/officeDocument/2006/relationships/image" Target="media/image37.png"/><Relationship Id="rId99" Type="http://schemas.openxmlformats.org/officeDocument/2006/relationships/image" Target="media/image38.png"/><Relationship Id="rId100" Type="http://schemas.openxmlformats.org/officeDocument/2006/relationships/image" Target="media/image39.png"/><Relationship Id="rId101" Type="http://schemas.openxmlformats.org/officeDocument/2006/relationships/image" Target="media/image40.png"/><Relationship Id="rId102" Type="http://schemas.openxmlformats.org/officeDocument/2006/relationships/image" Target="media/image41.png"/><Relationship Id="rId103" Type="http://schemas.openxmlformats.org/officeDocument/2006/relationships/image" Target="media/image42.png"/><Relationship Id="rId104" Type="http://schemas.openxmlformats.org/officeDocument/2006/relationships/image" Target="media/image43.png"/><Relationship Id="rId105" Type="http://schemas.openxmlformats.org/officeDocument/2006/relationships/image" Target="media/image44.png"/><Relationship Id="rId106" Type="http://schemas.openxmlformats.org/officeDocument/2006/relationships/image" Target="media/image45.png"/><Relationship Id="rId107" Type="http://schemas.openxmlformats.org/officeDocument/2006/relationships/image" Target="media/image46.png"/><Relationship Id="rId108" Type="http://schemas.openxmlformats.org/officeDocument/2006/relationships/image" Target="media/image47.png"/><Relationship Id="rId109" Type="http://schemas.openxmlformats.org/officeDocument/2006/relationships/image" Target="media/image48.png"/><Relationship Id="rId110" Type="http://schemas.openxmlformats.org/officeDocument/2006/relationships/image" Target="media/image49.png"/><Relationship Id="rId111" Type="http://schemas.openxmlformats.org/officeDocument/2006/relationships/image" Target="media/image50.png"/><Relationship Id="rId112" Type="http://schemas.openxmlformats.org/officeDocument/2006/relationships/image" Target="media/image51.png"/><Relationship Id="rId113" Type="http://schemas.openxmlformats.org/officeDocument/2006/relationships/image" Target="media/image52.png"/><Relationship Id="rId114" Type="http://schemas.openxmlformats.org/officeDocument/2006/relationships/image" Target="media/image53.png"/><Relationship Id="rId115" Type="http://schemas.openxmlformats.org/officeDocument/2006/relationships/image" Target="media/image54.png"/><Relationship Id="rId116" Type="http://schemas.openxmlformats.org/officeDocument/2006/relationships/image" Target="media/image55.png"/><Relationship Id="rId117" Type="http://schemas.openxmlformats.org/officeDocument/2006/relationships/image" Target="media/image56.png"/><Relationship Id="rId118" Type="http://schemas.openxmlformats.org/officeDocument/2006/relationships/image" Target="media/image57.png"/><Relationship Id="rId119" Type="http://schemas.openxmlformats.org/officeDocument/2006/relationships/image" Target="media/image58.png"/><Relationship Id="rId120" Type="http://schemas.openxmlformats.org/officeDocument/2006/relationships/image" Target="media/image59.png"/><Relationship Id="rId121" Type="http://schemas.openxmlformats.org/officeDocument/2006/relationships/image" Target="media/image60.png"/><Relationship Id="rId122" Type="http://schemas.openxmlformats.org/officeDocument/2006/relationships/image" Target="media/image61.png"/><Relationship Id="rId123" Type="http://schemas.openxmlformats.org/officeDocument/2006/relationships/image" Target="media/image62.png"/><Relationship Id="rId124" Type="http://schemas.openxmlformats.org/officeDocument/2006/relationships/image" Target="media/image63.png"/><Relationship Id="rId125" Type="http://schemas.openxmlformats.org/officeDocument/2006/relationships/image" Target="media/image64.png"/><Relationship Id="rId126" Type="http://schemas.openxmlformats.org/officeDocument/2006/relationships/image" Target="media/image65.png"/><Relationship Id="rId127" Type="http://schemas.openxmlformats.org/officeDocument/2006/relationships/image" Target="media/image66.png"/><Relationship Id="rId128" Type="http://schemas.openxmlformats.org/officeDocument/2006/relationships/image" Target="media/image67.png"/><Relationship Id="rId129" Type="http://schemas.openxmlformats.org/officeDocument/2006/relationships/image" Target="media/image68.png"/><Relationship Id="rId130" Type="http://schemas.openxmlformats.org/officeDocument/2006/relationships/image" Target="media/image69.png"/><Relationship Id="rId131" Type="http://schemas.openxmlformats.org/officeDocument/2006/relationships/image" Target="media/image70.png"/><Relationship Id="rId132" Type="http://schemas.openxmlformats.org/officeDocument/2006/relationships/image" Target="media/image71.png"/><Relationship Id="rId133" Type="http://schemas.openxmlformats.org/officeDocument/2006/relationships/image" Target="media/image72.png"/><Relationship Id="rId134" Type="http://schemas.openxmlformats.org/officeDocument/2006/relationships/image" Target="media/image73.png"/><Relationship Id="rId135" Type="http://schemas.openxmlformats.org/officeDocument/2006/relationships/image" Target="media/image74.png"/><Relationship Id="rId136" Type="http://schemas.openxmlformats.org/officeDocument/2006/relationships/image" Target="media/image75.png"/><Relationship Id="rId137" Type="http://schemas.openxmlformats.org/officeDocument/2006/relationships/image" Target="media/image76.png"/><Relationship Id="rId138" Type="http://schemas.openxmlformats.org/officeDocument/2006/relationships/image" Target="media/image77.png"/><Relationship Id="rId139" Type="http://schemas.openxmlformats.org/officeDocument/2006/relationships/image" Target="media/image78.png"/><Relationship Id="rId140" Type="http://schemas.openxmlformats.org/officeDocument/2006/relationships/image" Target="media/image79.png"/><Relationship Id="rId141" Type="http://schemas.openxmlformats.org/officeDocument/2006/relationships/image" Target="media/image80.png"/><Relationship Id="rId142" Type="http://schemas.openxmlformats.org/officeDocument/2006/relationships/image" Target="media/image81.png"/><Relationship Id="rId143" Type="http://schemas.openxmlformats.org/officeDocument/2006/relationships/image" Target="media/image82.png"/><Relationship Id="rId144" Type="http://schemas.openxmlformats.org/officeDocument/2006/relationships/image" Target="media/image83.png"/><Relationship Id="rId145" Type="http://schemas.openxmlformats.org/officeDocument/2006/relationships/image" Target="media/image84.png"/><Relationship Id="rId146" Type="http://schemas.openxmlformats.org/officeDocument/2006/relationships/image" Target="media/image85.png"/><Relationship Id="rId147" Type="http://schemas.openxmlformats.org/officeDocument/2006/relationships/image" Target="media/image86.png"/><Relationship Id="rId148" Type="http://schemas.openxmlformats.org/officeDocument/2006/relationships/image" Target="media/image87.png"/><Relationship Id="rId149" Type="http://schemas.openxmlformats.org/officeDocument/2006/relationships/image" Target="media/image88.png"/><Relationship Id="rId150" Type="http://schemas.openxmlformats.org/officeDocument/2006/relationships/image" Target="media/image89.png"/><Relationship Id="rId151" Type="http://schemas.openxmlformats.org/officeDocument/2006/relationships/image" Target="media/image90.png"/><Relationship Id="rId152" Type="http://schemas.openxmlformats.org/officeDocument/2006/relationships/image" Target="media/image91.png"/><Relationship Id="rId153" Type="http://schemas.openxmlformats.org/officeDocument/2006/relationships/image" Target="media/image92.png"/><Relationship Id="rId154"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png"/><Relationship Id="rId159"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1" Type="http://schemas.openxmlformats.org/officeDocument/2006/relationships/image" Target="media/image150.png"/><Relationship Id="rId212" Type="http://schemas.openxmlformats.org/officeDocument/2006/relationships/image" Target="media/image151.png"/><Relationship Id="rId213" Type="http://schemas.openxmlformats.org/officeDocument/2006/relationships/image" Target="media/image152.png"/><Relationship Id="rId214" Type="http://schemas.openxmlformats.org/officeDocument/2006/relationships/image" Target="media/image153.png"/><Relationship Id="rId215" Type="http://schemas.openxmlformats.org/officeDocument/2006/relationships/image" Target="media/image154.png"/><Relationship Id="rId216" Type="http://schemas.openxmlformats.org/officeDocument/2006/relationships/image" Target="media/image155.png"/><Relationship Id="rId217" Type="http://schemas.openxmlformats.org/officeDocument/2006/relationships/image" Target="media/image156.png"/><Relationship Id="rId218" Type="http://schemas.openxmlformats.org/officeDocument/2006/relationships/image" Target="media/image157.png"/><Relationship Id="rId219"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png"/><Relationship Id="rId224"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8" Type="http://schemas.openxmlformats.org/officeDocument/2006/relationships/image" Target="media/image167.png"/><Relationship Id="rId229" Type="http://schemas.openxmlformats.org/officeDocument/2006/relationships/image" Target="media/image168.png"/><Relationship Id="rId230" Type="http://schemas.openxmlformats.org/officeDocument/2006/relationships/image" Target="media/image169.png"/><Relationship Id="rId231" Type="http://schemas.openxmlformats.org/officeDocument/2006/relationships/image" Target="media/image170.png"/><Relationship Id="rId232" Type="http://schemas.openxmlformats.org/officeDocument/2006/relationships/image" Target="media/image171.jpeg"/><Relationship Id="rId233" Type="http://schemas.openxmlformats.org/officeDocument/2006/relationships/image" Target="media/image172.png"/><Relationship Id="rId234" Type="http://schemas.openxmlformats.org/officeDocument/2006/relationships/image" Target="media/image173.png"/><Relationship Id="rId235" Type="http://schemas.openxmlformats.org/officeDocument/2006/relationships/image" Target="media/image174.png"/><Relationship Id="rId236" Type="http://schemas.openxmlformats.org/officeDocument/2006/relationships/image" Target="media/image175.png"/><Relationship Id="rId237" Type="http://schemas.openxmlformats.org/officeDocument/2006/relationships/image" Target="media/image176.png"/><Relationship Id="rId238" Type="http://schemas.openxmlformats.org/officeDocument/2006/relationships/image" Target="media/image177.png"/><Relationship Id="rId239" Type="http://schemas.openxmlformats.org/officeDocument/2006/relationships/image" Target="media/image178.png"/><Relationship Id="rId240" Type="http://schemas.openxmlformats.org/officeDocument/2006/relationships/image" Target="media/image179.png"/><Relationship Id="rId253" Type="http://schemas.openxmlformats.org/officeDocument/2006/relationships/image" Target="media/image180.png"/><Relationship Id="rId276" Type="http://schemas.openxmlformats.org/officeDocument/2006/relationships/image" Target="media/image181.png"/><Relationship Id="rId277" Type="http://schemas.openxmlformats.org/officeDocument/2006/relationships/image" Target="media/image182.png"/><Relationship Id="rId278" Type="http://schemas.openxmlformats.org/officeDocument/2006/relationships/image" Target="media/image183.png"/><Relationship Id="rId279" Type="http://schemas.openxmlformats.org/officeDocument/2006/relationships/image" Target="media/image184.png"/><Relationship Id="rId280" Type="http://schemas.openxmlformats.org/officeDocument/2006/relationships/image" Target="media/image185.png"/><Relationship Id="rId281" Type="http://schemas.openxmlformats.org/officeDocument/2006/relationships/image" Target="media/image186.png"/><Relationship Id="rId282" Type="http://schemas.openxmlformats.org/officeDocument/2006/relationships/image" Target="media/image187.png"/><Relationship Id="rId283" Type="http://schemas.openxmlformats.org/officeDocument/2006/relationships/image" Target="media/image188.png"/><Relationship Id="rId284" Type="http://schemas.openxmlformats.org/officeDocument/2006/relationships/image" Target="media/image189.png"/><Relationship Id="rId285" Type="http://schemas.openxmlformats.org/officeDocument/2006/relationships/image" Target="media/image190.png"/><Relationship Id="rId286" Type="http://schemas.openxmlformats.org/officeDocument/2006/relationships/image" Target="media/image191.png"/><Relationship Id="rId287" Type="http://schemas.openxmlformats.org/officeDocument/2006/relationships/image" Target="media/image192.png"/><Relationship Id="rId288" Type="http://schemas.openxmlformats.org/officeDocument/2006/relationships/image" Target="media/image193.png"/><Relationship Id="rId289" Type="http://schemas.openxmlformats.org/officeDocument/2006/relationships/image" Target="media/image194.png"/><Relationship Id="rId290" Type="http://schemas.openxmlformats.org/officeDocument/2006/relationships/image" Target="media/image195.png"/><Relationship Id="rId291" Type="http://schemas.openxmlformats.org/officeDocument/2006/relationships/image" Target="media/image196.png"/><Relationship Id="rId292" Type="http://schemas.openxmlformats.org/officeDocument/2006/relationships/image" Target="media/image197.png"/><Relationship Id="rId293" Type="http://schemas.openxmlformats.org/officeDocument/2006/relationships/image" Target="media/image198.png"/><Relationship Id="rId294" Type="http://schemas.openxmlformats.org/officeDocument/2006/relationships/image" Target="media/image199.png"/><Relationship Id="rId295" Type="http://schemas.openxmlformats.org/officeDocument/2006/relationships/image" Target="media/image200.png"/><Relationship Id="rId296" Type="http://schemas.openxmlformats.org/officeDocument/2006/relationships/image" Target="media/image201.png"/><Relationship Id="rId297" Type="http://schemas.openxmlformats.org/officeDocument/2006/relationships/image" Target="media/image202.png"/><Relationship Id="rId298" Type="http://schemas.openxmlformats.org/officeDocument/2006/relationships/image" Target="media/image203.png"/><Relationship Id="rId299" Type="http://schemas.openxmlformats.org/officeDocument/2006/relationships/image" Target="media/image204.png"/><Relationship Id="rId300" Type="http://schemas.openxmlformats.org/officeDocument/2006/relationships/image" Target="media/image205.png"/><Relationship Id="rId301" Type="http://schemas.openxmlformats.org/officeDocument/2006/relationships/image" Target="media/image206.png"/><Relationship Id="rId302" Type="http://schemas.openxmlformats.org/officeDocument/2006/relationships/image" Target="media/image207.png"/><Relationship Id="rId303" Type="http://schemas.openxmlformats.org/officeDocument/2006/relationships/image" Target="media/image208.png"/><Relationship Id="rId304" Type="http://schemas.openxmlformats.org/officeDocument/2006/relationships/image" Target="media/image209.png"/><Relationship Id="rId305" Type="http://schemas.openxmlformats.org/officeDocument/2006/relationships/image" Target="media/image210.png"/><Relationship Id="rId306" Type="http://schemas.openxmlformats.org/officeDocument/2006/relationships/image" Target="media/image211.png"/><Relationship Id="rId307" Type="http://schemas.openxmlformats.org/officeDocument/2006/relationships/image" Target="media/image212.png"/><Relationship Id="rId308" Type="http://schemas.openxmlformats.org/officeDocument/2006/relationships/image" Target="media/image213.png"/><Relationship Id="rId309" Type="http://schemas.openxmlformats.org/officeDocument/2006/relationships/image" Target="media/image214.png"/><Relationship Id="rId310" Type="http://schemas.openxmlformats.org/officeDocument/2006/relationships/image" Target="media/image215.png"/><Relationship Id="rId311" Type="http://schemas.openxmlformats.org/officeDocument/2006/relationships/image" Target="media/image216.png"/><Relationship Id="rId312" Type="http://schemas.openxmlformats.org/officeDocument/2006/relationships/image" Target="media/image217.png"/><Relationship Id="rId313" Type="http://schemas.openxmlformats.org/officeDocument/2006/relationships/image" Target="media/image218.png"/><Relationship Id="rId314" Type="http://schemas.openxmlformats.org/officeDocument/2006/relationships/image" Target="media/image219.png"/><Relationship Id="rId315" Type="http://schemas.openxmlformats.org/officeDocument/2006/relationships/image" Target="media/image220.png"/><Relationship Id="rId316" Type="http://schemas.openxmlformats.org/officeDocument/2006/relationships/image" Target="media/image221.png"/><Relationship Id="rId317" Type="http://schemas.openxmlformats.org/officeDocument/2006/relationships/image" Target="media/image222.png"/><Relationship Id="rId318" Type="http://schemas.openxmlformats.org/officeDocument/2006/relationships/image" Target="media/image223.png"/><Relationship Id="rId319" Type="http://schemas.openxmlformats.org/officeDocument/2006/relationships/image" Target="media/image224.png"/><Relationship Id="rId320" Type="http://schemas.openxmlformats.org/officeDocument/2006/relationships/image" Target="media/image225.png"/><Relationship Id="rId321" Type="http://schemas.openxmlformats.org/officeDocument/2006/relationships/image" Target="media/image226.png"/><Relationship Id="rId322" Type="http://schemas.openxmlformats.org/officeDocument/2006/relationships/image" Target="media/image227.png"/><Relationship Id="rId323" Type="http://schemas.openxmlformats.org/officeDocument/2006/relationships/image" Target="media/image228.png"/><Relationship Id="rId324" Type="http://schemas.openxmlformats.org/officeDocument/2006/relationships/image" Target="media/image229.png"/><Relationship Id="rId325" Type="http://schemas.openxmlformats.org/officeDocument/2006/relationships/image" Target="media/image230.png"/><Relationship Id="rId326" Type="http://schemas.openxmlformats.org/officeDocument/2006/relationships/image" Target="media/image231.png"/><Relationship Id="rId327" Type="http://schemas.openxmlformats.org/officeDocument/2006/relationships/image" Target="media/image232.png"/><Relationship Id="rId328" Type="http://schemas.openxmlformats.org/officeDocument/2006/relationships/image" Target="media/image233.png"/><Relationship Id="rId329" Type="http://schemas.openxmlformats.org/officeDocument/2006/relationships/image" Target="media/image234.png"/><Relationship Id="rId330" Type="http://schemas.openxmlformats.org/officeDocument/2006/relationships/image" Target="media/image235.png"/><Relationship Id="rId331" Type="http://schemas.openxmlformats.org/officeDocument/2006/relationships/image" Target="media/image236.png"/><Relationship Id="rId332" Type="http://schemas.openxmlformats.org/officeDocument/2006/relationships/image" Target="media/image237.png"/><Relationship Id="rId333" Type="http://schemas.openxmlformats.org/officeDocument/2006/relationships/image" Target="media/image238.png"/><Relationship Id="rId334" Type="http://schemas.openxmlformats.org/officeDocument/2006/relationships/image" Target="media/image239.png"/><Relationship Id="rId335" Type="http://schemas.openxmlformats.org/officeDocument/2006/relationships/image" Target="media/image240.png"/><Relationship Id="rId336" Type="http://schemas.openxmlformats.org/officeDocument/2006/relationships/image" Target="media/image241.png"/><Relationship Id="rId337" Type="http://schemas.openxmlformats.org/officeDocument/2006/relationships/image" Target="media/image242.png"/><Relationship Id="rId338" Type="http://schemas.openxmlformats.org/officeDocument/2006/relationships/image" Target="media/image243.png"/><Relationship Id="rId339" Type="http://schemas.openxmlformats.org/officeDocument/2006/relationships/image" Target="media/image244.png"/><Relationship Id="rId340" Type="http://schemas.openxmlformats.org/officeDocument/2006/relationships/image" Target="media/image245.png"/><Relationship Id="rId19" Type="http://schemas.openxmlformats.org/officeDocument/2006/relationships/hyperlink" Target="http://www.sec.gov/Archives/edgar/data/1812477/000121390024020602/ea0200005ex99-1_bitfarms.htm" TargetMode="External"/><Relationship Id="rId20" Type="http://schemas.openxmlformats.org/officeDocument/2006/relationships/hyperlink" Target="http://www.sec.gov/Archives/edgar/data/1812477/000121390024020602/ea0200005ex99-2_bitfarms.htm" TargetMode="External"/><Relationship Id="rId21" Type="http://schemas.openxmlformats.org/officeDocument/2006/relationships/hyperlink" Target="http://www.sec.gov/Archives/edgar/data/1812477/000121390024107077/ea022396301ex99-1_bitfarms.htm" TargetMode="External"/><Relationship Id="rId22" Type="http://schemas.openxmlformats.org/officeDocument/2006/relationships/hyperlink" Target="http://www.sec.gov/Archives/edgar/data/1812477/000121390024020602/ea0200005ex99-3_bitfarms.htm" TargetMode="External"/><Relationship Id="rId23" Type="http://schemas.openxmlformats.org/officeDocument/2006/relationships/hyperlink" Target="http://www.sec.gov/Archives/edgar/data/1812477/000121390024097122/ea022036001ex99-2_bitfarms.htm" TargetMode="External"/><Relationship Id="rId24" Type="http://schemas.openxmlformats.org/officeDocument/2006/relationships/hyperlink" Target="http://www.sec.gov/Archives/edgar/data/1812477/000121390024040619/ea020544601ex99-1_bitfarms.htm" TargetMode="External"/><Relationship Id="rId25" Type="http://schemas.openxmlformats.org/officeDocument/2006/relationships/hyperlink" Target="http://www.sec.gov/Archives/edgar/data/1812477/000121390024091928/ea021906501ex99-2_bitfarms.htm" TargetMode="External"/><Relationship Id="rId26" Type="http://schemas.openxmlformats.org/officeDocument/2006/relationships/hyperlink" Target="http://www.sec.gov/Archives/edgar/data/1812477/000121390024071609/ea021207302ex99-2_bitfarms.htm" TargetMode="External"/><Relationship Id="rId27" Type="http://schemas.openxmlformats.org/officeDocument/2006/relationships/hyperlink" Target="http://www.sec.gov/Archives/edgar/data/1812477/000121390024000243/ea190998ex99-1_bitfarms.htm" TargetMode="External"/><Relationship Id="rId28" Type="http://schemas.openxmlformats.org/officeDocument/2006/relationships/hyperlink" Target="http://www.sec.gov/Archives/edgar/data/1812477/000121390024006077/ea192113ex99-1_bitfarms.htm" TargetMode="External"/><Relationship Id="rId29" Type="http://schemas.openxmlformats.org/officeDocument/2006/relationships/hyperlink" Target="http://www.sec.gov/Archives/edgar/data/1812477/000121390024008976/ea192649ex99-1_bitfarms.htm" TargetMode="External"/><Relationship Id="rId30" Type="http://schemas.openxmlformats.org/officeDocument/2006/relationships/hyperlink" Target="http://www.sec.gov/Archives/edgar/data/1812477/000121390024018987/ea0201038ex99-1_bitfarms.htm" TargetMode="External"/><Relationship Id="rId31" Type="http://schemas.openxmlformats.org/officeDocument/2006/relationships/hyperlink" Target="http://www.sec.gov/Archives/edgar/data/1812477/000121390024020605/ea0201279ex99-1_bitfarms.htm" TargetMode="External"/><Relationship Id="rId32" Type="http://schemas.openxmlformats.org/officeDocument/2006/relationships/hyperlink" Target="http://www.sec.gov/Archives/edgar/data/1812477/000121390024021176/ea020147101ex99-2_bitfarms.htm" TargetMode="External"/><Relationship Id="rId33" Type="http://schemas.openxmlformats.org/officeDocument/2006/relationships/hyperlink" Target="http://www.sec.gov/Archives/edgar/data/1812477/000121390024021447/ea020157201ex99-1_bitfarms.htm" TargetMode="External"/><Relationship Id="rId34" Type="http://schemas.openxmlformats.org/officeDocument/2006/relationships/hyperlink" Target="http://www.sec.gov/Archives/edgar/data/1812477/000121390024025320/ea020246301ex99-1_bitfarms.htm" TargetMode="External"/><Relationship Id="rId36" Type="http://schemas.openxmlformats.org/officeDocument/2006/relationships/hyperlink" Target="http://www.sec.gov/Archives/edgar/data/1812477/000121390024028704/ea020304001ex99-1_bitfarms.htm" TargetMode="External"/><Relationship Id="rId37" Type="http://schemas.openxmlformats.org/officeDocument/2006/relationships/hyperlink" Target="http://www.sec.gov/Archives/edgar/data/1812477/000121390024032533/ea020380201ex99-1_bitfarms.htm" TargetMode="External"/><Relationship Id="rId38" Type="http://schemas.openxmlformats.org/officeDocument/2006/relationships/hyperlink" Target="http://www.sec.gov/Archives/edgar/data/1812477/000121390024038494/ea020510401ex99-1_bitfarms.htm" TargetMode="External"/><Relationship Id="rId39" Type="http://schemas.openxmlformats.org/officeDocument/2006/relationships/hyperlink" Target="https://www.sec.gov/Archives/edgar/data/1812477/000121390024042315/ea020595502ex99-1_bitfarms.htm" TargetMode="External"/><Relationship Id="rId40" Type="http://schemas.openxmlformats.org/officeDocument/2006/relationships/hyperlink" Target="http://www.sec.gov/Archives/edgar/data/1812477/000121390024042915/ea020608301ex99-1_bitfarms.htm" TargetMode="External"/><Relationship Id="rId41" Type="http://schemas.openxmlformats.org/officeDocument/2006/relationships/hyperlink" Target="http://www.sec.gov/Archives/edgar/data/1812477/000121390024043172/ea020563101ex99-5_bitfarms.htm" TargetMode="External"/><Relationship Id="rId42" Type="http://schemas.openxmlformats.org/officeDocument/2006/relationships/hyperlink" Target="http://www.sec.gov/Archives/edgar/data/1812477/000121390024047451/ea0207045ex99-1_bitfarms.htm" TargetMode="External"/><Relationship Id="rId43" Type="http://schemas.openxmlformats.org/officeDocument/2006/relationships/hyperlink" Target="http://www.sec.gov/Archives/edgar/data/1812477/000121390024048482/ea020720801ex99-1_bitfarms.htm" TargetMode="External"/><Relationship Id="rId44" Type="http://schemas.openxmlformats.org/officeDocument/2006/relationships/hyperlink" Target="http://www.sec.gov/Archives/edgar/data/1812477/000121390024049045/ea020725501ex99-1_bitfarms.htm" TargetMode="External"/><Relationship Id="rId45" Type="http://schemas.openxmlformats.org/officeDocument/2006/relationships/hyperlink" Target="http://www.sec.gov/Archives/edgar/data/1812477/000121390024051297/ea020758501ex99-1_bitfarms.htm" TargetMode="External"/><Relationship Id="rId46" Type="http://schemas.openxmlformats.org/officeDocument/2006/relationships/hyperlink" Target="http://www.sec.gov/Archives/edgar/data/1812477/000121390024051719/ea020766001ex99-1_bitfarms.htm" TargetMode="External"/><Relationship Id="rId48" Type="http://schemas.openxmlformats.org/officeDocument/2006/relationships/hyperlink" Target="http://www.sec.gov/Archives/edgar/data/1812477/000121390024052435/ea020783301ex99-1_bitfarms.htm" TargetMode="External"/><Relationship Id="rId49" Type="http://schemas.openxmlformats.org/officeDocument/2006/relationships/hyperlink" Target="http://www.sec.gov/Archives/edgar/data/1812477/000121390024052435/ea020783301ex99-2_bitfarms.htm" TargetMode="External"/><Relationship Id="rId50" Type="http://schemas.openxmlformats.org/officeDocument/2006/relationships/hyperlink" Target="http://www.sec.gov/Archives/edgar/data/1812477/000121390024055714/ea020846201ex99-1_bitfarms.htm" TargetMode="External"/><Relationship Id="rId51" Type="http://schemas.openxmlformats.org/officeDocument/2006/relationships/hyperlink" Target="http://www.sec.gov/Archives/edgar/data/1812477/000121390024057168/ea020871601ex99-1_bitfarms.htm" TargetMode="External"/><Relationship Id="rId52" Type="http://schemas.openxmlformats.org/officeDocument/2006/relationships/hyperlink" Target="http://www.sec.gov/Archives/edgar/data/1812477/000121390024057867/ea020880801ex99-1_bitfarms.htm" TargetMode="External"/><Relationship Id="rId53" Type="http://schemas.openxmlformats.org/officeDocument/2006/relationships/hyperlink" Target="http://www.sec.gov/Archives/edgar/data/1812477/000121390024059806/ea020909301ex99-1_bitfarms.htm" TargetMode="External"/><Relationship Id="rId54" Type="http://schemas.openxmlformats.org/officeDocument/2006/relationships/hyperlink" Target="http://www.sec.gov/Archives/edgar/data/1812477/000121390024061020/ea020935401ex99-1_bitfarms.htm" TargetMode="External"/><Relationship Id="rId55" Type="http://schemas.openxmlformats.org/officeDocument/2006/relationships/hyperlink" Target="http://www.sec.gov/Archives/edgar/data/1812477/000101376224001200/ea021004801ex99-1_bitfarms.htm" TargetMode="External"/><Relationship Id="rId56" Type="http://schemas.openxmlformats.org/officeDocument/2006/relationships/hyperlink" Target="http://www.sec.gov/Archives/edgar/data/1812477/000101376224001675/ea021013001ex99-1_bitfarms.htm" TargetMode="External"/><Relationship Id="rId57" Type="http://schemas.openxmlformats.org/officeDocument/2006/relationships/hyperlink" Target="http://www.sec.gov/Archives/edgar/data/1812477/000121390024064070/ea021043401ex99-1_bitfarms.htm" TargetMode="External"/><Relationship Id="rId58" Type="http://schemas.openxmlformats.org/officeDocument/2006/relationships/hyperlink" Target="http://www.sec.gov/Archives/edgar/data/1812477/000121390024066331/ea021044401ex99-5_bitfarms.htm" TargetMode="External"/><Relationship Id="rId59" Type="http://schemas.openxmlformats.org/officeDocument/2006/relationships/hyperlink" Target="http://www.sec.gov/Archives/edgar/data/1812477/000121390024068232/ea021122401ex99-1_bitfarms.htm" TargetMode="External"/><Relationship Id="rId60" Type="http://schemas.openxmlformats.org/officeDocument/2006/relationships/hyperlink" Target="http://www.sec.gov/Archives/edgar/data/1812477/000121390024071609/ea021207302ex99-1_bitfarms.htm" TargetMode="External"/><Relationship Id="rId62" Type="http://schemas.openxmlformats.org/officeDocument/2006/relationships/hyperlink" Target="http://www.sec.gov/Archives/edgar/data/1812477/000121390024073090/ea021256501ex99-1_bitfarms.htm" TargetMode="External"/><Relationship Id="rId63" Type="http://schemas.openxmlformats.org/officeDocument/2006/relationships/hyperlink" Target="http://www.sec.gov/Archives/edgar/data/1812477/000121390024075300/ea021318501ex99-1_bitfarms.htm" TargetMode="External"/><Relationship Id="rId64" Type="http://schemas.openxmlformats.org/officeDocument/2006/relationships/hyperlink" Target="http://www.sec.gov/Archives/edgar/data/1812477/000121390024075612/ea021343401ex99-1_bitfarms.htm" TargetMode="External"/><Relationship Id="rId65" Type="http://schemas.openxmlformats.org/officeDocument/2006/relationships/hyperlink" Target="http://www.sec.gov/Archives/edgar/data/1812477/000121390024076953/ea021389801ex99-1_bitfarms.htm" TargetMode="External"/><Relationship Id="rId66" Type="http://schemas.openxmlformats.org/officeDocument/2006/relationships/hyperlink" Target="http://www.sec.gov/Archives/edgar/data/1812477/000121390024077433/ea021405801ex99-1_bitfarms.htm" TargetMode="External"/><Relationship Id="rId67" Type="http://schemas.openxmlformats.org/officeDocument/2006/relationships/hyperlink" Target="http://www.sec.gov/Archives/edgar/data/1812477/000121390024081057/ea021534702ex99-1_bitfarms.htm" TargetMode="External"/><Relationship Id="rId68" Type="http://schemas.openxmlformats.org/officeDocument/2006/relationships/hyperlink" Target="http://www.sec.gov/Archives/edgar/data/1812477/000121390024085107/ea021672901ex99-1_bitfarms.htm" TargetMode="External"/><Relationship Id="rId69" Type="http://schemas.openxmlformats.org/officeDocument/2006/relationships/hyperlink" Target="http://www.sec.gov/Archives/edgar/data/1812477/000121390024091928/ea021906501ex99-1_bitfarms.htm" TargetMode="External"/><Relationship Id="rId70" Type="http://schemas.openxmlformats.org/officeDocument/2006/relationships/hyperlink" Target="https://www.sec.gov/Archives/edgar/data/1812477/000121390024093692/ea021947801ex99-1_bitfarms.htm" TargetMode="External"/><Relationship Id="rId71" Type="http://schemas.openxmlformats.org/officeDocument/2006/relationships/hyperlink" Target="https://www.sec.gov/Archives/edgar/data/1812477/000121390024093692/ea021947801ex99-3_bitfarms.htm" TargetMode="External"/><Relationship Id="rId72" Type="http://schemas.openxmlformats.org/officeDocument/2006/relationships/hyperlink" Target="https://www.sec.gov/Archives/edgar/data/1812477/000121390024097122/ea022036001ex99-5_bitfarms.htm" TargetMode="External"/><Relationship Id="rId73" Type="http://schemas.openxmlformats.org/officeDocument/2006/relationships/hyperlink" Target="https://www.sec.gov/Archives/edgar/data/1812477/000121390024101647/ea022218201ex99-1_bitfarm.htm" TargetMode="External"/><Relationship Id="rId74" Type="http://schemas.openxmlformats.org/officeDocument/2006/relationships/hyperlink" Target="https://www.sec.gov/Archives/edgar/data/1812477/000121390024107524/ea022385401ex99-1_bitfarms.htm" TargetMode="External"/><Relationship Id="rId75" Type="http://schemas.openxmlformats.org/officeDocument/2006/relationships/hyperlink" Target="https://www.sec.gov/Archives/edgar/data/1812477/000121390024107079/ea022396302ex99-1_bitfarms.htm" TargetMode="External"/><Relationship Id="rId241" Type="http://schemas.openxmlformats.org/officeDocument/2006/relationships/hyperlink" Target="http://www.sec.gov/Archives/edgar/data/1812477/000121390023021559/f40f2022ex99-1_bitfarmsltd.htm" TargetMode="External"/><Relationship Id="rId242" Type="http://schemas.openxmlformats.org/officeDocument/2006/relationships/hyperlink" Target="http://www.sec.gov/Archives/edgar/data/1812477/000121390023021559/f40f2022ex99-2_bitfarmsltd.htm" TargetMode="External"/><Relationship Id="rId243" Type="http://schemas.openxmlformats.org/officeDocument/2006/relationships/hyperlink" Target="http://www.sec.gov/Archives/edgar/data/1812477/000121390023021559/f40f2022ex99-3_bitfarmsltd.htm" TargetMode="External"/><Relationship Id="rId244" Type="http://schemas.openxmlformats.org/officeDocument/2006/relationships/hyperlink" Target="http://www.sec.gov/Archives/edgar/data/1812477/000121390023084011/ea187624ex99-1_bitfarms.htm" TargetMode="External"/><Relationship Id="rId245" Type="http://schemas.openxmlformats.org/officeDocument/2006/relationships/hyperlink" Target="http://www.sec.gov/Archives/edgar/data/1812477/000121390023084011/ea187624ex99-2_bitfarms.htm" TargetMode="External"/><Relationship Id="rId246" Type="http://schemas.openxmlformats.org/officeDocument/2006/relationships/hyperlink" Target="http://www.sec.gov/Archives/edgar/data/1812477/000121390023041512/ea178934ex99-2_bitfarms.htm" TargetMode="External"/><Relationship Id="rId247" Type="http://schemas.openxmlformats.org/officeDocument/2006/relationships/hyperlink" Target="http://www.sec.gov/Archives/edgar/data/1812477/000121390023000403/ea171151ex99-1_bitfarms.htm" TargetMode="External"/><Relationship Id="rId248" Type="http://schemas.openxmlformats.org/officeDocument/2006/relationships/hyperlink" Target="http://www.sec.gov/Archives/edgar/data/1812477/000121390023002773/ea171687ex99-1_bitfarms.htm" TargetMode="External"/><Relationship Id="rId249" Type="http://schemas.openxmlformats.org/officeDocument/2006/relationships/hyperlink" Target="http://www.sec.gov/Archives/edgar/data/1812477/000121390023006682/ea172528ex99-1_bitfarms.htm" TargetMode="External"/><Relationship Id="rId250" Type="http://schemas.openxmlformats.org/officeDocument/2006/relationships/hyperlink" Target="http://www.sec.gov/Archives/edgar/data/1812477/000121390023009743/ea173112ex99-1_bitfarms.htm" TargetMode="External"/><Relationship Id="rId251" Type="http://schemas.openxmlformats.org/officeDocument/2006/relationships/hyperlink" Target="http://www.sec.gov/Archives/edgar/data/1812477/000121390023016167/ea174493ex99-1_bitfarms.htm" TargetMode="External"/><Relationship Id="rId252" Type="http://schemas.openxmlformats.org/officeDocument/2006/relationships/hyperlink" Target="http://www.sec.gov/Archives/edgar/data/1812477/000121390023021549/ea175465ex99-1_bitfarms.htm" TargetMode="External"/><Relationship Id="rId254" Type="http://schemas.openxmlformats.org/officeDocument/2006/relationships/hyperlink" Target="http://www.sec.gov/Archives/edgar/data/1812477/000121390023026253/ea176357ex99-1_bitfarms.htm" TargetMode="External"/><Relationship Id="rId255" Type="http://schemas.openxmlformats.org/officeDocument/2006/relationships/hyperlink" Target="http://www.sec.gov/Archives/edgar/data/1812477/000121390023028839/ea176792ex99-1_bitfarms.htm" TargetMode="External"/><Relationship Id="rId256" Type="http://schemas.openxmlformats.org/officeDocument/2006/relationships/hyperlink" Target="http://www.sec.gov/Archives/edgar/data/1812477/000121390023032008/ea177381ex99-1_bitfarms.htm" TargetMode="External"/><Relationship Id="rId257" Type="http://schemas.openxmlformats.org/officeDocument/2006/relationships/hyperlink" Target="http://www.sec.gov/Archives/edgar/data/1812477/000121390023033854/ea177658ex99-1_bitfarmsltd.htm" TargetMode="External"/><Relationship Id="rId258" Type="http://schemas.openxmlformats.org/officeDocument/2006/relationships/hyperlink" Target="http://www.sec.gov/Archives/edgar/data/1812477/000121390023034787/ea177812ex99-2_bitfarmsltd.htm" TargetMode="External"/><Relationship Id="rId259" Type="http://schemas.openxmlformats.org/officeDocument/2006/relationships/hyperlink" Target="http://www.sec.gov/Archives/edgar/data/1812477/000121390023034787/ea177812ex99-1_bitfarmsltd.htm" TargetMode="External"/><Relationship Id="rId260" Type="http://schemas.openxmlformats.org/officeDocument/2006/relationships/hyperlink" Target="http://www.sec.gov/Archives/edgar/data/1812477/000121390023037331/ea178160ex99-1_bitfarms.htm" TargetMode="External"/><Relationship Id="rId261" Type="http://schemas.openxmlformats.org/officeDocument/2006/relationships/hyperlink" Target="http://www.sec.gov/Archives/edgar/data/1812477/000121390023039295/ea178185ex99-5_bitfarms.htm" TargetMode="External"/><Relationship Id="rId262" Type="http://schemas.openxmlformats.org/officeDocument/2006/relationships/hyperlink" Target="http://www.sec.gov/Archives/edgar/data/1812477/000121390023044991/ea179638ex99-1_bitfarmsltd.htm" TargetMode="External"/><Relationship Id="rId263" Type="http://schemas.openxmlformats.org/officeDocument/2006/relationships/hyperlink" Target="http://www.sec.gov/Archives/edgar/data/1812477/000121390023047239/ea179957ex99-1_bitfarms.htm" TargetMode="External"/><Relationship Id="rId264" Type="http://schemas.openxmlformats.org/officeDocument/2006/relationships/hyperlink" Target="http://www.sec.gov/Archives/edgar/data/1812477/000121390023048138/ea180173ex99-1_bitfarms.htm" TargetMode="External"/><Relationship Id="rId265" Type="http://schemas.openxmlformats.org/officeDocument/2006/relationships/hyperlink" Target="http://www.sec.gov/Archives/edgar/data/1812477/000121390023054110/ea181299-6k_bitfarms.htm" TargetMode="External"/><Relationship Id="rId266" Type="http://schemas.openxmlformats.org/officeDocument/2006/relationships/hyperlink" Target="http://www.sec.gov/Archives/edgar/data/1812477/000121390023055157/ea181444ex99-1_bitfarmsltd.htm" TargetMode="External"/><Relationship Id="rId267" Type="http://schemas.openxmlformats.org/officeDocument/2006/relationships/hyperlink" Target="http://www.sec.gov/Archives/edgar/data/1812477/000121390023058187/ea182020ex99-1_bitfarms.htm" TargetMode="External"/><Relationship Id="rId268" Type="http://schemas.openxmlformats.org/officeDocument/2006/relationships/hyperlink" Target="http://www.sec.gov/Archives/edgar/data/1812477/000121390023061919/ea182685ex99-1_bitfarms.htm" TargetMode="External"/><Relationship Id="rId269" Type="http://schemas.openxmlformats.org/officeDocument/2006/relationships/hyperlink" Target="http://www.sec.gov/Archives/edgar/data/1812477/000121390023064051/ea182988ex99-1_bitfarms.htm" TargetMode="External"/><Relationship Id="rId270" Type="http://schemas.openxmlformats.org/officeDocument/2006/relationships/hyperlink" Target="http://www.sec.gov/Archives/edgar/data/1812477/000121390023064235/ea182765ex99-5_bitfarms.htm" TargetMode="External"/><Relationship Id="rId271" Type="http://schemas.openxmlformats.org/officeDocument/2006/relationships/hyperlink" Target="http://www.sec.gov/Archives/edgar/data/1812477/000121390023073217/ea184607ex99-1_bitfarms.htm" TargetMode="External"/><Relationship Id="rId272" Type="http://schemas.openxmlformats.org/officeDocument/2006/relationships/hyperlink" Target="http://www.sec.gov/Archives/edgar/data/1812477/000101376223000423/ea186148ex99-1_bitfarms.htm" TargetMode="External"/><Relationship Id="rId273" Type="http://schemas.openxmlformats.org/officeDocument/2006/relationships/hyperlink" Target="http://www.sec.gov/Archives/edgar/data/1812477/000101376223005823/ea187122ex99-1_bitfarms.htm" TargetMode="External"/><Relationship Id="rId274" Type="http://schemas.openxmlformats.org/officeDocument/2006/relationships/hyperlink" Target="http://www.sec.gov/Archives/edgar/data/1812477/000121390023082158/ea187590ex99-1_bitfarms.htm" TargetMode="External"/><Relationship Id="rId275" Type="http://schemas.openxmlformats.org/officeDocument/2006/relationships/hyperlink" Target="http://www.sec.gov/Archives/edgar/data/1812477/000121390023084011/ea187624ex99-5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2024-12-18T05:10:08Z</dcterms:created>
  <dcterms:modified xsi:type="dcterms:W3CDTF">2024-12-18T05:10:08Z</dcterms:modified>
</cp:coreProperties>
</file>