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ind w:left="518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ind w:left="388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ind w:left="4000"/>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ind w:left="34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ind w:left="4480"/>
        <w:spacing w:after="0"/>
        <w:rPr>
          <w:sz w:val="20"/>
          <w:szCs w:val="20"/>
          <w:color w:val="auto"/>
        </w:rPr>
      </w:pPr>
      <w:r>
        <w:rPr>
          <w:rFonts w:ascii="Times New Roman" w:cs="Times New Roman" w:eastAsia="Times New Roman" w:hAnsi="Times New Roman"/>
          <w:sz w:val="18"/>
          <w:szCs w:val="18"/>
          <w:b w:val="1"/>
          <w:bCs w:val="1"/>
          <w:color w:val="auto"/>
        </w:rPr>
        <w:t>For the month of March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001-40370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110 Yonge Street, Suite 1601, Toronto, Ontario, Canada M5C 1T4</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196" w:lineRule="exact"/>
        <w:rPr>
          <w:sz w:val="24"/>
          <w:szCs w:val="24"/>
          <w:color w:val="auto"/>
        </w:rPr>
      </w:pPr>
    </w:p>
    <w:p>
      <w:pPr>
        <w:ind w:left="4380"/>
        <w:spacing w:after="0" w:line="207" w:lineRule="exact"/>
        <w:tabs>
          <w:tab w:leader="none" w:pos="588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317500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343535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789305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09" w:right="1440"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DOCUMENTS INCLUDED AS PART OF THIS FORM 6-K</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March 7, 2024, the Registrant filed with the Canadian Securities Regulatory Authorities on the System for Electronic Data Analysis and Retrieval + (SEDAR +) a material change report that includes a copy of a press release, a copy of which is attached hereto as Exhibit 99.1.</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Exhibits</w:t>
      </w:r>
    </w:p>
    <w:p>
      <w:pPr>
        <w:spacing w:after="0" w:line="229"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Exhibit No.</w:t>
      </w:r>
      <w:r>
        <w:rPr>
          <w:sz w:val="20"/>
          <w:szCs w:val="20"/>
          <w:color w:val="auto"/>
        </w:rPr>
        <w:tab/>
      </w:r>
      <w:r>
        <w:rPr>
          <w:rFonts w:ascii="Times New Roman" w:cs="Times New Roman" w:eastAsia="Times New Roman" w:hAnsi="Times New Roman"/>
          <w:sz w:val="18"/>
          <w:szCs w:val="18"/>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u w:val="single" w:color="auto"/>
          <w:color w:val="0000EE"/>
        </w:rPr>
        <w:t>Material Change Report dated March 7,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color w:val="auto"/>
        </w:rPr>
        <w:t>SIGNATURE</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229" w:lineRule="exact"/>
        <w:rPr>
          <w:sz w:val="20"/>
          <w:szCs w:val="20"/>
          <w:color w:val="auto"/>
        </w:rPr>
      </w:pPr>
    </w:p>
    <w:p>
      <w:pPr>
        <w:ind w:left="6760"/>
        <w:spacing w:after="0"/>
        <w:tabs>
          <w:tab w:leader="none" w:pos="7200" w:val="left"/>
        </w:tabs>
        <w:rPr>
          <w:sz w:val="20"/>
          <w:szCs w:val="20"/>
          <w:color w:val="auto"/>
        </w:rPr>
      </w:pPr>
      <w:r>
        <w:rPr>
          <w:rFonts w:ascii="Times New Roman" w:cs="Times New Roman" w:eastAsia="Times New Roman" w:hAnsi="Times New Roman"/>
          <w:sz w:val="18"/>
          <w:szCs w:val="18"/>
          <w:color w:val="auto"/>
        </w:rPr>
        <w:t>By:</w:t>
        <w:tab/>
        <w:t>/s/ L. Geoffrey Morphy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17145</wp:posOffset>
            </wp:positionV>
            <wp:extent cx="255460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21"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Name: L. Geoffrey Morphy</w:t>
      </w:r>
    </w:p>
    <w:p>
      <w:pPr>
        <w:spacing w:after="0" w:line="23" w:lineRule="exact"/>
        <w:rPr>
          <w:sz w:val="20"/>
          <w:szCs w:val="20"/>
          <w:color w:val="auto"/>
        </w:rPr>
      </w:pPr>
    </w:p>
    <w:p>
      <w:pPr>
        <w:ind w:left="7220"/>
        <w:spacing w:after="0"/>
        <w:tabs>
          <w:tab w:leader="none" w:pos="77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President and 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7, 2024</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51-102F3</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MATERIAL CHANGE REPORT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Name and Address of Company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Bitfarms Ltd. (“Bitfarms” or the “Company”)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110 Yonge Street, Suite 1601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Toronto, Ontario M5C 1T4</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Date of Material Change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7, 2024.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News Release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press release attached as Schedule “A” was released on March 7, 2024 by a newswire company in Canada.</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Summary of Material Change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material change is described in the press release attached as Schedule “A”.</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Full Description of Material Change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material change is described in the press release attached as Schedule “A”.</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Reliance of subsection 7.1(2) of National Instrument 51-102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Omitted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Executive Officer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Geoffrey Morphy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 &amp; 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Bitfarms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gmorphy@bitfarms.com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Date of Report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7,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color w:val="auto"/>
        </w:rPr>
        <w:t>Schedule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2559685</wp:posOffset>
            </wp:positionH>
            <wp:positionV relativeFrom="paragraph">
              <wp:posOffset>154305</wp:posOffset>
            </wp:positionV>
            <wp:extent cx="2031365" cy="5314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031365"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Bitfarms Reports Fourth Quarter and</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Full Year 2023 Results</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Earned 1,236 BTC in Q4 2023 and 4,928 BTC in 2023 -</w:t>
      </w:r>
    </w:p>
    <w:p>
      <w:pPr>
        <w:spacing w:after="0" w:line="27"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8"/>
          <w:szCs w:val="18"/>
          <w:color w:val="auto"/>
        </w:rPr>
        <w:t>- Improved Q4 2023 gross mining margin to 52%, up from 38% in Q3 2023 -</w:t>
      </w:r>
    </w:p>
    <w:p>
      <w:pPr>
        <w:spacing w:after="0" w:line="9"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color w:val="auto"/>
        </w:rPr>
        <w:t>- Achieved debt-free goal in February 2024, enhancing financial flexibility -</w:t>
      </w:r>
    </w:p>
    <w:p>
      <w:pPr>
        <w:spacing w:after="0" w:line="9" w:lineRule="exact"/>
        <w:rPr>
          <w:sz w:val="20"/>
          <w:szCs w:val="20"/>
          <w:color w:val="auto"/>
        </w:rPr>
      </w:pPr>
    </w:p>
    <w:p>
      <w:pPr>
        <w:jc w:val="center"/>
        <w:ind w:left="4560" w:right="3020" w:hanging="1528"/>
        <w:spacing w:after="0" w:line="260" w:lineRule="auto"/>
        <w:tabs>
          <w:tab w:leader="none" w:pos="313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Executing towards targets of 12 EH/s and 25 w/TH by end of Q2 2024 and 21 EH/s by end of 2024 -</w:t>
      </w:r>
    </w:p>
    <w:p>
      <w:pPr>
        <w:spacing w:after="0" w:line="17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Toronto, Ontario and Brossard, Québec (March 7, 2024) </w:t>
      </w:r>
      <w:r>
        <w:rPr>
          <w:rFonts w:ascii="Times New Roman" w:cs="Times New Roman" w:eastAsia="Times New Roman" w:hAnsi="Times New Roman"/>
          <w:sz w:val="18"/>
          <w:szCs w:val="18"/>
          <w:color w:val="auto"/>
        </w:rPr>
        <w:t>- Bitfarms Ltd. (Nasdaq/TSX: BITF), a global Bitcoin vertically integrated company, reported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its financial results for the fourth quarter and year ended December 31, 2023. All financial references are in U.S. dollars.</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2023, we set the foundation to drive significant growth through our transformational fleet upgrade and mining facility expansion,” said Geoff Morphy, President and Chief Executive Officer of Bitfarms. “To that end, we secured 35,888 ultra-efficient Bitmain T21 miners to be installed in the first half of 2024 and signed an option to purchase up to an additional 28,000 T21s for delivery in the second half 2024. Our 2024 plan targets tripling our hashrate to 21 EH/s, at least a 63% increase in operating capacity to 391 MW, and improving our fleet efficiency by 34% to 23 w/TH.”</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“New farm development in Paraguay will drive much of this growth. In Yguazu, we purchased land for our 100 MW project in January 2024. In Paso Pe, the infrastructure and electrical equipment are nearly ready for us to begin installing Bitmain T21 and new hydro-miners at our 70 MW project, which we expect to begin energizing in March. In addition, we are actively evaluating the best use of capital to secure further low-cost production growth opportunities via miner redeployment, acquisitions, and farm development,” added Morphy.</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Bitfarms’ Chief Financial Officer, Jeff Lucas, said, “In 2023, we strengthened our balance sheet and improved our liquidity, lowering our debt obligations from a peak of $165 million in June 2022 to fully debt free two weeks ago, except for our lease obligations. By further enhancing financial flexibility and liquidity, we can better support our aggressive growth plans for 2024.”</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p>
      <w:pPr>
        <w:spacing w:after="0" w:line="282" w:lineRule="auto"/>
        <w:rPr>
          <w:sz w:val="20"/>
          <w:szCs w:val="20"/>
          <w:color w:val="auto"/>
        </w:rPr>
      </w:pPr>
      <w:r>
        <w:rPr>
          <w:rFonts w:ascii="Times New Roman" w:cs="Times New Roman" w:eastAsia="Times New Roman" w:hAnsi="Times New Roman"/>
          <w:sz w:val="18"/>
          <w:szCs w:val="18"/>
          <w:color w:val="auto"/>
        </w:rPr>
        <w:t>“Following a highly disciplined capital allocation strategy, we have locked in lower-cost electricity – fundamental to our long-term success – and eliminated debt to prepare for active business development in new and low-cost locations,” concluded Lucas.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Q4 2023 and Recent 2024 Operating Highlights</w:t>
      </w:r>
    </w:p>
    <w:p>
      <w:pPr>
        <w:spacing w:after="0" w:line="229" w:lineRule="exact"/>
        <w:rPr>
          <w:sz w:val="20"/>
          <w:szCs w:val="20"/>
          <w:color w:val="auto"/>
        </w:rPr>
      </w:pPr>
    </w:p>
    <w:p>
      <w:pPr>
        <w:ind w:left="66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hashrate by 7% to 6.5 EH/s at December 31, 2023, through the installation of 2,300 miners, compared to 6.1 EH/s at the end of Q3 2023.</w:t>
      </w:r>
    </w:p>
    <w:p>
      <w:pPr>
        <w:spacing w:after="0" w:line="188"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Installed 12 Bitmain T21 miners for testing in mid-February 2024 which outperformed the manufacturer’s specifications in both normal and high-energy modes.</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Rio Cuarto, Argentina:</w:t>
      </w:r>
    </w:p>
    <w:p>
      <w:pPr>
        <w:spacing w:after="0" w:line="252" w:lineRule="exact"/>
        <w:rPr>
          <w:rFonts w:ascii="Times New Roman" w:cs="Times New Roman" w:eastAsia="Times New Roman" w:hAnsi="Times New Roman"/>
          <w:sz w:val="18"/>
          <w:szCs w:val="18"/>
          <w:color w:val="auto"/>
        </w:rPr>
      </w:pPr>
    </w:p>
    <w:p>
      <w:pPr>
        <w:ind w:left="980" w:right="20" w:hanging="324"/>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 Installed ~ 600 MicroBT M50 WhatsMiners and 200 Bitmain S19j Pro+ Antminers, which increased capacity to 54 MW and added 0.1 EH/s, bringing the farm’s total hashrate to approximately 1.6 EH/s.</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Paso Pe, Paraguay:</w:t>
      </w:r>
    </w:p>
    <w:p>
      <w:pPr>
        <w:spacing w:after="0" w:line="252" w:lineRule="exact"/>
        <w:rPr>
          <w:rFonts w:ascii="Times New Roman" w:cs="Times New Roman" w:eastAsia="Times New Roman" w:hAnsi="Times New Roman"/>
          <w:sz w:val="18"/>
          <w:szCs w:val="18"/>
          <w:color w:val="auto"/>
        </w:rPr>
      </w:pPr>
    </w:p>
    <w:p>
      <w:pPr>
        <w:ind w:left="980" w:right="20" w:hanging="324"/>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 Amended the energy contract, adding 20 MW to the air-cooled warehouse portion of the project, increasing its operating capacity to 50 MW and the farm’s total capacity to 70 MW.</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Yguazu, Paraguay:</w:t>
      </w:r>
    </w:p>
    <w:p>
      <w:pPr>
        <w:spacing w:after="0" w:line="252"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   In January, purchased land for development of an up to 100 MW hydro-powered facility.</w:t>
      </w:r>
    </w:p>
    <w:p>
      <w:pPr>
        <w:spacing w:after="0" w:line="252"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   In February, signed the engineering, procurement and construction contract for the substation and transmission line to energize the facility.</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Baie-Comeau, Québec:</w:t>
      </w:r>
    </w:p>
    <w:p>
      <w:pPr>
        <w:spacing w:after="0" w:line="252"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   Cleared the site to house the 11 MW expansion planned for H2 2024 and poured the building’s concrete footings ahead of schedule.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Q4 2023 Financial Highlights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(2022 comparisons as restated)</w:t>
      </w:r>
    </w:p>
    <w:p>
      <w:pPr>
        <w:spacing w:after="0" w:line="207" w:lineRule="exact"/>
        <w:rPr>
          <w:sz w:val="20"/>
          <w:szCs w:val="20"/>
          <w:color w:val="auto"/>
        </w:rPr>
      </w:pPr>
    </w:p>
    <w:p>
      <w:pPr>
        <w:ind w:left="6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revenue was $46 million, an increase of 34% compared to $35 million in Q3 2023, as a 5% increase in BTC earned and 30% higher average BTC prices contributed to higher revenue.</w:t>
      </w:r>
    </w:p>
    <w:p>
      <w:pPr>
        <w:spacing w:after="0" w:line="188"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mining profit* and gross mining margin* were $23 million and 52%, respectively, compared to $13 million and 38% in Q3 2023, respectively.</w:t>
      </w:r>
    </w:p>
    <w:p>
      <w:pPr>
        <w:spacing w:after="0" w:line="188"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and administrative expenses were $13 million, up 12% from Q4 2022 and up 60% from Q3 2023. The increase from the third quarter reflects higher headcount to support the targeted infrastructure growth as well as one-time and recurring performance achievement payments, merit and market-based adjustments, and $4 million non-cash share-based payment expense.</w:t>
      </w:r>
    </w:p>
    <w:p>
      <w:pPr>
        <w:spacing w:after="0" w:line="202"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loss of $13 million, which included a $1 million non-cash reversal of revaluation loss on digital assets and a $2 million non-cash impairment on impairment on PPE equipment. In Q4 2022, incurred a $20 million operating loss which included a $9 million non-cash impairment reversal, a $29 million realized loss on disposition of digital assets, and a $23 million non-cash reversal of revaluation loss on digital assets.</w:t>
      </w:r>
    </w:p>
    <w:p>
      <w:pPr>
        <w:spacing w:after="0" w:line="206"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loss of $57 million, or ($0.19) per basic and diluted share, which included a $38 million non-cash expense for revaluation of warrant liability issued in connection with 2021 and 2023 financing activities. This compares to a net loss of $13 million, or ($0.06) per basic and diluted share, in Q4 2022 which included $4 million of non-cash gain on revaluation of warrant liability.</w:t>
      </w:r>
    </w:p>
    <w:p>
      <w:pPr>
        <w:spacing w:after="0" w:line="202"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of $14 million, or 30% of revenue, compared to $2 million, or 7% of revenue, in Q4 2022, with the increase driven largely by the average BTC price approximately doubling the average BTC price in the prior year quarter.</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earned 1,236 BTC at an average direct cost of production per BTC* of $16,200 compared to $16,900 in Q3 2023.</w:t>
      </w:r>
    </w:p>
    <w:p>
      <w:pPr>
        <w:spacing w:after="0" w:line="252"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cash cost of production per BTC* was $25,200 in Q4 2023, up from $22,700 in Q3 2023, reflecting one-time and non-recurring fixed operating expenses including infrastructure enhancement and compensation.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At December 31, 2023, the Company held $84 million in cash and 804 BTC valued at approximately $34 million based upon a BTC price at that time of approximately $42,300 for total liquidity** of $118 million.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Q4 2023 and Recent 2024 Financing Activities</w:t>
      </w:r>
    </w:p>
    <w:p>
      <w:pPr>
        <w:spacing w:after="0" w:line="229"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Raised $41 million in net proceeds through a private placement in November 2023.</w:t>
      </w:r>
    </w:p>
    <w:p>
      <w:pPr>
        <w:spacing w:after="0" w:line="252"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Received $11 million in proceeds during December 2023 and $6 million in proceeds during 2024 from exercise of warrants issued in the November 2023 private placement.</w:t>
      </w:r>
    </w:p>
    <w:p>
      <w:pPr>
        <w:spacing w:after="0" w:line="188"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Eliminated debt as of February 29, 2024, paying down $6 million in equipment-related indebtedness in Q4 2023 and another $4 million in Q1 2024.</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Initiated the Synthetic HODL™ strategy with the purchase of 135 long-dated BTC call options held by the Company as of December 31, 2023.</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Quarterly Operating Performance</w:t>
            </w: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4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Key Performance Indicators</w:t>
            </w: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Q4 2023</w:t>
            </w:r>
          </w:p>
        </w:tc>
        <w:tc>
          <w:tcPr>
            <w:tcW w:w="240" w:type="dxa"/>
            <w:vAlign w:val="bottom"/>
            <w:tcBorders>
              <w:bottom w:val="single" w:sz="8" w:color="CCEEFF"/>
            </w:tcBorders>
            <w:gridSpan w:val="4"/>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Q4 2022</w:t>
            </w:r>
          </w:p>
        </w:tc>
        <w:tc>
          <w:tcPr>
            <w:tcW w:w="2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Q3 2023</w:t>
            </w:r>
          </w:p>
        </w:tc>
        <w:tc>
          <w:tcPr>
            <w:tcW w:w="10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BTC Earned</w:t>
            </w: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1,236</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1,434</w:t>
            </w:r>
          </w:p>
        </w:tc>
        <w:tc>
          <w:tcPr>
            <w:tcW w:w="1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1,172</w:t>
            </w:r>
          </w:p>
        </w:tc>
        <w:tc>
          <w:tcPr>
            <w:tcW w:w="0" w:type="dxa"/>
            <w:vAlign w:val="bottom"/>
          </w:tcPr>
          <w:p>
            <w:pPr>
              <w:spacing w:after="0"/>
              <w:rPr>
                <w:sz w:val="1"/>
                <w:szCs w:val="1"/>
                <w:color w:val="auto"/>
              </w:rPr>
            </w:pPr>
          </w:p>
        </w:tc>
      </w:tr>
      <w:tr>
        <w:trPr>
          <w:trHeight w:val="243"/>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Quarter End Operating Hashrate</w:t>
            </w: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6.5</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w:t>
            </w:r>
          </w:p>
        </w:tc>
        <w:tc>
          <w:tcPr>
            <w:tcW w:w="160" w:type="dxa"/>
            <w:vAlign w:val="bottom"/>
          </w:tcPr>
          <w:p>
            <w:pPr>
              <w:spacing w:after="0"/>
              <w:rPr>
                <w:sz w:val="21"/>
                <w:szCs w:val="21"/>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43"/>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Capacity (MW)</w:t>
            </w: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240</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188</w:t>
            </w:r>
          </w:p>
        </w:tc>
        <w:tc>
          <w:tcPr>
            <w:tcW w:w="1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234</w:t>
            </w:r>
          </w:p>
        </w:tc>
        <w:tc>
          <w:tcPr>
            <w:tcW w:w="0" w:type="dxa"/>
            <w:vAlign w:val="bottom"/>
          </w:tcPr>
          <w:p>
            <w:pPr>
              <w:spacing w:after="0"/>
              <w:rPr>
                <w:sz w:val="1"/>
                <w:szCs w:val="1"/>
                <w:color w:val="auto"/>
              </w:rPr>
            </w:pPr>
          </w:p>
        </w:tc>
      </w:tr>
      <w:tr>
        <w:trPr>
          <w:trHeight w:val="243"/>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Hydropower (MW)</w:t>
            </w: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186</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178</w:t>
            </w:r>
          </w:p>
        </w:tc>
        <w:tc>
          <w:tcPr>
            <w:tcW w:w="160" w:type="dxa"/>
            <w:vAlign w:val="bottom"/>
          </w:tcPr>
          <w:p>
            <w:pPr>
              <w:spacing w:after="0"/>
              <w:rPr>
                <w:sz w:val="21"/>
                <w:szCs w:val="21"/>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183</w:t>
            </w:r>
          </w:p>
        </w:tc>
        <w:tc>
          <w:tcPr>
            <w:tcW w:w="0" w:type="dxa"/>
            <w:vAlign w:val="bottom"/>
          </w:tcPr>
          <w:p>
            <w:pPr>
              <w:spacing w:after="0"/>
              <w:rPr>
                <w:sz w:val="1"/>
                <w:szCs w:val="1"/>
                <w:color w:val="auto"/>
              </w:rPr>
            </w:pPr>
          </w:p>
        </w:tc>
      </w:tr>
      <w:tr>
        <w:trPr>
          <w:trHeight w:val="243"/>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Watts/TH Efficiency***</w:t>
            </w: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35</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w:t>
            </w:r>
          </w:p>
        </w:tc>
        <w:tc>
          <w:tcPr>
            <w:tcW w:w="1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34"/>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BTC Sold</w:t>
            </w: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1,135</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3,093</w:t>
            </w:r>
          </w:p>
        </w:tc>
        <w:tc>
          <w:tcPr>
            <w:tcW w:w="1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1,018</w:t>
            </w:r>
          </w:p>
        </w:tc>
        <w:tc>
          <w:tcPr>
            <w:tcW w:w="0" w:type="dxa"/>
            <w:vAlign w:val="bottom"/>
          </w:tcPr>
          <w:p>
            <w:pPr>
              <w:spacing w:after="0"/>
              <w:rPr>
                <w:sz w:val="1"/>
                <w:szCs w:val="1"/>
                <w:color w:val="auto"/>
              </w:rPr>
            </w:pPr>
          </w:p>
        </w:tc>
      </w:tr>
      <w:tr>
        <w:trPr>
          <w:trHeight w:val="414"/>
        </w:trPr>
        <w:tc>
          <w:tcPr>
            <w:tcW w:w="4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Quarterly Operating Production</w:t>
            </w: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4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2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BTC Earned</w:t>
            </w:r>
          </w:p>
        </w:tc>
        <w:tc>
          <w:tcPr>
            <w:tcW w:w="122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BTC Earned</w:t>
            </w:r>
          </w:p>
        </w:tc>
        <w:tc>
          <w:tcPr>
            <w:tcW w:w="0" w:type="dxa"/>
            <w:vAlign w:val="bottom"/>
          </w:tcPr>
          <w:p>
            <w:pPr>
              <w:spacing w:after="0"/>
              <w:rPr>
                <w:sz w:val="1"/>
                <w:szCs w:val="1"/>
                <w:color w:val="auto"/>
              </w:rPr>
            </w:pPr>
          </w:p>
        </w:tc>
      </w:tr>
      <w:tr>
        <w:trPr>
          <w:trHeight w:val="245"/>
        </w:trPr>
        <w:tc>
          <w:tcPr>
            <w:tcW w:w="4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Quarter</w:t>
            </w:r>
          </w:p>
        </w:tc>
        <w:tc>
          <w:tcPr>
            <w:tcW w:w="1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Q1</w:t>
            </w: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1,297</w:t>
            </w:r>
          </w:p>
        </w:tc>
        <w:tc>
          <w:tcPr>
            <w:tcW w:w="1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961</w:t>
            </w:r>
          </w:p>
        </w:tc>
        <w:tc>
          <w:tcPr>
            <w:tcW w:w="0" w:type="dxa"/>
            <w:vAlign w:val="bottom"/>
          </w:tcPr>
          <w:p>
            <w:pPr>
              <w:spacing w:after="0"/>
              <w:rPr>
                <w:sz w:val="1"/>
                <w:szCs w:val="1"/>
                <w:color w:val="auto"/>
              </w:rPr>
            </w:pPr>
          </w:p>
        </w:tc>
      </w:tr>
      <w:tr>
        <w:trPr>
          <w:trHeight w:val="243"/>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Q2</w:t>
            </w: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1,223</w:t>
            </w:r>
          </w:p>
        </w:tc>
        <w:tc>
          <w:tcPr>
            <w:tcW w:w="160" w:type="dxa"/>
            <w:vAlign w:val="bottom"/>
          </w:tcPr>
          <w:p>
            <w:pPr>
              <w:spacing w:after="0"/>
              <w:rPr>
                <w:sz w:val="21"/>
                <w:szCs w:val="21"/>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1,257</w:t>
            </w:r>
          </w:p>
        </w:tc>
        <w:tc>
          <w:tcPr>
            <w:tcW w:w="0" w:type="dxa"/>
            <w:vAlign w:val="bottom"/>
          </w:tcPr>
          <w:p>
            <w:pPr>
              <w:spacing w:after="0"/>
              <w:rPr>
                <w:sz w:val="1"/>
                <w:szCs w:val="1"/>
                <w:color w:val="auto"/>
              </w:rPr>
            </w:pPr>
          </w:p>
        </w:tc>
      </w:tr>
      <w:tr>
        <w:trPr>
          <w:trHeight w:val="243"/>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Q3</w:t>
            </w: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1,172</w:t>
            </w:r>
          </w:p>
        </w:tc>
        <w:tc>
          <w:tcPr>
            <w:tcW w:w="1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1,515</w:t>
            </w:r>
          </w:p>
        </w:tc>
        <w:tc>
          <w:tcPr>
            <w:tcW w:w="0" w:type="dxa"/>
            <w:vAlign w:val="bottom"/>
          </w:tcPr>
          <w:p>
            <w:pPr>
              <w:spacing w:after="0"/>
              <w:rPr>
                <w:sz w:val="1"/>
                <w:szCs w:val="1"/>
                <w:color w:val="auto"/>
              </w:rPr>
            </w:pPr>
          </w:p>
        </w:tc>
      </w:tr>
      <w:tr>
        <w:trPr>
          <w:trHeight w:val="237"/>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Q4</w:t>
            </w: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1,236</w:t>
            </w:r>
          </w:p>
        </w:tc>
        <w:tc>
          <w:tcPr>
            <w:tcW w:w="1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1,434</w:t>
            </w:r>
          </w:p>
        </w:tc>
        <w:tc>
          <w:tcPr>
            <w:tcW w:w="0" w:type="dxa"/>
            <w:vAlign w:val="bottom"/>
          </w:tcPr>
          <w:p>
            <w:pPr>
              <w:spacing w:after="0"/>
              <w:rPr>
                <w:sz w:val="1"/>
                <w:szCs w:val="1"/>
                <w:color w:val="auto"/>
              </w:rPr>
            </w:pPr>
          </w:p>
        </w:tc>
      </w:tr>
      <w:tr>
        <w:trPr>
          <w:trHeight w:val="223"/>
        </w:trPr>
        <w:tc>
          <w:tcPr>
            <w:tcW w:w="46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Totals</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96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96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94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4,928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5,167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0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b w:val="1"/>
                <w:bCs w:val="1"/>
                <w:color w:val="auto"/>
              </w:rPr>
              <w:t>Quarterly Average Revenue**** and Cost of Production per BTC*</w:t>
            </w: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6000" w:type="dxa"/>
            <w:vAlign w:val="bottom"/>
            <w:gridSpan w:val="4"/>
            <w:vMerge w:val="continue"/>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4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Q4 2023</w:t>
            </w:r>
          </w:p>
        </w:tc>
        <w:tc>
          <w:tcPr>
            <w:tcW w:w="180" w:type="dxa"/>
            <w:vAlign w:val="bottom"/>
          </w:tcPr>
          <w:p>
            <w:pPr>
              <w:spacing w:after="0"/>
              <w:rPr>
                <w:sz w:val="24"/>
                <w:szCs w:val="24"/>
                <w:color w:val="auto"/>
              </w:rPr>
            </w:pPr>
          </w:p>
        </w:tc>
        <w:tc>
          <w:tcPr>
            <w:tcW w:w="114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Q3 2023</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gridSpan w:val="5"/>
          </w:tcPr>
          <w:p>
            <w:pPr>
              <w:ind w:left="100"/>
              <w:spacing w:after="0"/>
              <w:rPr>
                <w:sz w:val="20"/>
                <w:szCs w:val="20"/>
                <w:color w:val="auto"/>
              </w:rPr>
            </w:pPr>
            <w:r>
              <w:rPr>
                <w:rFonts w:ascii="Times New Roman" w:cs="Times New Roman" w:eastAsia="Times New Roman" w:hAnsi="Times New Roman"/>
                <w:sz w:val="18"/>
                <w:szCs w:val="18"/>
                <w:b w:val="1"/>
                <w:bCs w:val="1"/>
                <w:color w:val="auto"/>
              </w:rPr>
              <w:t>Q2 2023</w:t>
            </w:r>
          </w:p>
        </w:tc>
        <w:tc>
          <w:tcPr>
            <w:tcW w:w="160" w:type="dxa"/>
            <w:vAlign w:val="bottom"/>
          </w:tcPr>
          <w:p>
            <w:pPr>
              <w:spacing w:after="0"/>
              <w:rPr>
                <w:sz w:val="24"/>
                <w:szCs w:val="24"/>
                <w:color w:val="auto"/>
              </w:rPr>
            </w:pPr>
          </w:p>
        </w:tc>
        <w:tc>
          <w:tcPr>
            <w:tcW w:w="11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Q1 2023</w:t>
            </w:r>
          </w:p>
        </w:tc>
        <w:tc>
          <w:tcPr>
            <w:tcW w:w="160" w:type="dxa"/>
            <w:vAlign w:val="bottom"/>
          </w:tcPr>
          <w:p>
            <w:pPr>
              <w:spacing w:after="0"/>
              <w:rPr>
                <w:sz w:val="24"/>
                <w:szCs w:val="24"/>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Q4 2022</w:t>
            </w:r>
          </w:p>
        </w:tc>
        <w:tc>
          <w:tcPr>
            <w:tcW w:w="0" w:type="dxa"/>
            <w:vAlign w:val="bottom"/>
          </w:tcPr>
          <w:p>
            <w:pPr>
              <w:spacing w:after="0"/>
              <w:rPr>
                <w:sz w:val="1"/>
                <w:szCs w:val="1"/>
                <w:color w:val="auto"/>
              </w:rPr>
            </w:pPr>
          </w:p>
        </w:tc>
      </w:tr>
      <w:tr>
        <w:trPr>
          <w:trHeight w:val="230"/>
        </w:trPr>
        <w:tc>
          <w:tcPr>
            <w:tcW w:w="4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Avg. Rev/BTC****</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36,400</w:t>
            </w:r>
          </w:p>
        </w:tc>
        <w:tc>
          <w:tcPr>
            <w:tcW w:w="24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28,100</w:t>
            </w:r>
          </w:p>
        </w:tc>
        <w:tc>
          <w:tcPr>
            <w:tcW w:w="6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28,000</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22,500</w:t>
            </w:r>
          </w:p>
        </w:tc>
        <w:tc>
          <w:tcPr>
            <w:tcW w:w="2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18,100</w:t>
            </w:r>
          </w:p>
        </w:tc>
        <w:tc>
          <w:tcPr>
            <w:tcW w:w="10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Direct Cost/BTC*</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16,200</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16,900</w:t>
            </w:r>
          </w:p>
        </w:tc>
        <w:tc>
          <w:tcPr>
            <w:tcW w:w="120" w:type="dxa"/>
            <w:vAlign w:val="bottom"/>
          </w:tcPr>
          <w:p>
            <w:pPr>
              <w:spacing w:after="0"/>
              <w:rPr>
                <w:sz w:val="21"/>
                <w:szCs w:val="21"/>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15,700</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12,500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11,000</w:t>
            </w:r>
          </w:p>
        </w:tc>
        <w:tc>
          <w:tcPr>
            <w:tcW w:w="0" w:type="dxa"/>
            <w:vAlign w:val="bottom"/>
          </w:tcPr>
          <w:p>
            <w:pPr>
              <w:spacing w:after="0"/>
              <w:rPr>
                <w:sz w:val="1"/>
                <w:szCs w:val="1"/>
                <w:color w:val="auto"/>
              </w:rPr>
            </w:pPr>
          </w:p>
        </w:tc>
      </w:tr>
      <w:tr>
        <w:trPr>
          <w:trHeight w:val="243"/>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Cost/BTC*</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25,200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22,700</w:t>
            </w:r>
          </w:p>
        </w:tc>
        <w:tc>
          <w:tcPr>
            <w:tcW w:w="120" w:type="dxa"/>
            <w:vAlign w:val="bottom"/>
            <w:shd w:val="clear" w:color="auto" w:fill="CCEEFF"/>
          </w:tcPr>
          <w:p>
            <w:pPr>
              <w:spacing w:after="0"/>
              <w:rPr>
                <w:sz w:val="21"/>
                <w:szCs w:val="21"/>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21,800</w:t>
            </w:r>
          </w:p>
        </w:tc>
        <w:tc>
          <w:tcPr>
            <w:tcW w:w="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17,600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16,400</w:t>
            </w:r>
          </w:p>
        </w:tc>
        <w:tc>
          <w:tcPr>
            <w:tcW w:w="0" w:type="dxa"/>
            <w:vAlign w:val="bottom"/>
          </w:tcPr>
          <w:p>
            <w:pPr>
              <w:spacing w:after="0"/>
              <w:rPr>
                <w:sz w:val="1"/>
                <w:szCs w:val="1"/>
                <w:color w:val="auto"/>
              </w:rPr>
            </w:pPr>
          </w:p>
        </w:tc>
      </w:tr>
      <w:tr>
        <w:trPr>
          <w:trHeight w:val="655"/>
        </w:trPr>
        <w:tc>
          <w:tcPr>
            <w:tcW w:w="46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Financial Results for the Year-ended December 31: 2023 vs 2022</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(2022 comparisons as restated)</w:t>
      </w:r>
    </w:p>
    <w:p>
      <w:pPr>
        <w:spacing w:after="0" w:line="20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2023, the Company generated revenue of $146 million, compared to $142 million in 2022. 2023 gross loss was $22 million, or negative 15% gross margin*, compared to gross profit of $11 million, or 7% gross margin*, in 2022. Non-cash depreciation and amortization expense was $85 million and $72 million, respectively, for 2023 and 2022.</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earned 4,928 BTC for an average direct cost of production per BTC* of $15,200 in 2023 compared to 5,167 BTC earned for an average direct cost of production per BTC* of $10,000 in 2022, largely reflecting an approximate 74% increase in average network difficulty over the prior year.</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Operating loss was $72 million in 2023, compared to an operating loss of $284 million in 2022. 2023 net loss was $104 million, or $(0.40) per basic and diluted share, compared to a net loss of $176 million, or $(0.85) per basic and diluted share, in 2022. Adjusted EBITDA* was $35 million, with 24% Adjusted EBITDA margin*, compared to $55 million of Adjusted EBITDA*, with 38% Adjusted EBITDA margin* in 2022.</w:t>
      </w:r>
    </w:p>
    <w:p>
      <w:pPr>
        <w:spacing w:after="0" w:line="176" w:lineRule="exact"/>
        <w:rPr>
          <w:sz w:val="20"/>
          <w:szCs w:val="20"/>
          <w:color w:val="auto"/>
        </w:rPr>
      </w:pPr>
    </w:p>
    <w:p>
      <w:pPr>
        <w:jc w:val="both"/>
        <w:ind w:firstLine="8"/>
        <w:spacing w:after="0" w:line="261" w:lineRule="auto"/>
        <w:tabs>
          <w:tab w:leader="none" w:pos="139"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mining profit, gross mining margin, EBITDA, Adjusted EBITDA, Adjusted EBITDA margin, direct cost per BTC and total cash cost per BTC are non-IFRS financial measures or ratios and should be read in conjunction with and should not be viewed as alternatives to or replacements of measures of operating results and liquidity presented in accordance with IFRS. Readers are referred to the reconciliations of non-IFRS measures included in the Company’s MD&amp;A and at the end of this press release.</w:t>
      </w:r>
    </w:p>
    <w:p>
      <w:pPr>
        <w:spacing w:after="0" w:line="180" w:lineRule="exact"/>
        <w:rPr>
          <w:sz w:val="20"/>
          <w:szCs w:val="20"/>
          <w:color w:val="auto"/>
        </w:rPr>
      </w:pPr>
    </w:p>
    <w:p>
      <w:pPr>
        <w:ind w:left="460" w:hanging="452"/>
        <w:spacing w:after="0"/>
        <w:tabs>
          <w:tab w:leader="none" w:pos="4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Liquidity represents cash and balance of digital assets including digital assets pledged as collateral.</w:t>
      </w:r>
    </w:p>
    <w:p>
      <w:pPr>
        <w:spacing w:after="0" w:line="27"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Average Watts represents the energy consumption of Miners.</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Average revenue per BTC is based on revenue from mining operations only and excludes Volta revenue.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Conference Call</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Management will host a conference call today at 8:00am EST. A presentation of the Q4 2023 results will be accessible before the call on the Investor website and can be accessed here.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Participants are asked to pre-register for the event through the following link:</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Q4 2023 Conference Call. Please note that registered participants will receive their dial-in number upon registration and will dial directly into the call without delay. Those unable to pre-register may dial in by calling: 1-866-777-2509 (domestic), or 1-412-317-5413 (international), and should do so 10 minutes prior to the start time.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conference call will also be available through a live webcast found here.</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webcast replay will be available one hour after the end of the call and can be accessed in the Events section of our Investor website. An audio replay will be available through March 14, 2024, and can be accessed at 1-877-344-7529 (domestic), 1-412-317-0088 (international), or Canada (toll free) 855-669-9658 using access code 4390159.</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Non-IFRS Measures*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a Canadian company, Bitfarms follows International Financial Reporting Standards (IFRS) which are issued by the International Accounting Standard Board (IASB). Under IFRS rules, the Company does not reflect the revaluation gains on the mark-to-market of its Bitcoin holdings in its income statement. It also does not include the revaluation losses on the mark-to-market of its Bitcoin holdings in Adjusted EBITDA, which is a measure of the cash profitability of its operations and does not reflect the change in value of its assets and liabilities.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uses Adjusted EBITDA to measure its operating activities’ financial performance and cash generating capability.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2022 Restatement</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During the preparation of the Company’s financial statements for the year ended December 31, 2023, the Company reassessed the application of IFRS Accounting Standards on the accounting for warrants issued in connection with private placement financings conducted in 2021 and, as such, restated (the “Restatement”) its consolidated statements of financial position as of December 31, 2022 and January 1, 2022, its consolidated statements of profit or loss and comprehensive profit or loss for the year ended December 31, 2022 and its consolidated statements of cash flows for the year ended December 31, 2022, which were previously filed on SEDAR+ and EDGAR. For further details, consult Note 3e of the audited consolidated financial statements for the year ended December 31, 2023, available on SEDAR+ and EDGAR. As described in the Annual MD&amp;A for the year ended December 31, 2023, available on SEDAR+ and EDGAR, the Company is undertaking remediation efforts in light of the Restatement and in order to improve the overall effectiveness of its internal control over financial reporting for the accounting of complex financial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-3175</wp:posOffset>
            </wp:positionV>
            <wp:extent cx="7123430" cy="16459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23430" cy="1645920"/>
                    </a:xfrm>
                    <a:prstGeom prst="rect">
                      <a:avLst/>
                    </a:prstGeom>
                    <a:noFill/>
                  </pic:spPr>
                </pic:pic>
              </a:graphicData>
            </a:graphic>
          </wp:anchor>
        </w:drawing>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Bitfarms Ltd.</w:t>
      </w:r>
    </w:p>
    <w:p>
      <w:pPr>
        <w:spacing w:after="0" w:line="229" w:lineRule="exact"/>
        <w:rPr>
          <w:sz w:val="20"/>
          <w:szCs w:val="20"/>
          <w:color w:val="auto"/>
        </w:rPr>
      </w:pPr>
    </w:p>
    <w:p>
      <w:pPr>
        <w:jc w:val="both"/>
        <w:ind w:left="20" w:hanging="9"/>
        <w:spacing w:after="0" w:line="261" w:lineRule="auto"/>
        <w:rPr>
          <w:sz w:val="20"/>
          <w:szCs w:val="20"/>
          <w:color w:val="auto"/>
        </w:rPr>
      </w:pPr>
      <w:r>
        <w:rPr>
          <w:rFonts w:ascii="Times New Roman" w:cs="Times New Roman" w:eastAsia="Times New Roman" w:hAnsi="Times New Roman"/>
          <w:sz w:val="18"/>
          <w:szCs w:val="18"/>
          <w:color w:val="auto"/>
        </w:rPr>
        <w:t>Founded in 2017, Bitfarms is a global Bitcoin mining company that contributes its computational power to one or more mining pools from which it receives payment in Bitcoin. Bitfarms develops, owns, and operates vertically integrated mining farms with in-house management and company-owned electrical engineering, installation service, and multiple onsite technical repair centers. The Company’s proprietary data analytics system delivers best-in-class operational performance and uptime.</w:t>
      </w:r>
    </w:p>
    <w:p>
      <w:pPr>
        <w:spacing w:after="0" w:line="180" w:lineRule="exact"/>
        <w:rPr>
          <w:sz w:val="20"/>
          <w:szCs w:val="20"/>
          <w:color w:val="auto"/>
        </w:rPr>
      </w:pPr>
    </w:p>
    <w:p>
      <w:pPr>
        <w:jc w:val="both"/>
        <w:ind w:left="20" w:hanging="9"/>
        <w:spacing w:after="0" w:line="266" w:lineRule="auto"/>
        <w:rPr>
          <w:sz w:val="20"/>
          <w:szCs w:val="20"/>
          <w:color w:val="auto"/>
        </w:rPr>
      </w:pPr>
      <w:r>
        <w:rPr>
          <w:rFonts w:ascii="Times New Roman" w:cs="Times New Roman" w:eastAsia="Times New Roman" w:hAnsi="Times New Roman"/>
          <w:sz w:val="18"/>
          <w:szCs w:val="18"/>
          <w:color w:val="auto"/>
        </w:rPr>
        <w:t>Bitfarms currently has 11 operating Bitcoin mining facilities and two under development situated in four countries: Canada, the United States, Paraguay, and Argentina. Powered predominantly by environmentally friendly hydro-electric and long-term power contracts, Bitfarms is committed to using sustainable and often underutilized energy infrastructure.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216535</wp:posOffset>
            </wp:positionH>
            <wp:positionV relativeFrom="page">
              <wp:posOffset>448945</wp:posOffset>
            </wp:positionV>
            <wp:extent cx="7123430"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23430" cy="137160"/>
                    </a:xfrm>
                    <a:prstGeom prst="rect">
                      <a:avLst/>
                    </a:prstGeom>
                    <a:noFill/>
                  </pic:spPr>
                </pic:pic>
              </a:graphicData>
            </a:graphic>
          </wp:anchor>
        </w:drawing>
        <w:t>To learn more about Bitfarms’ events, developments, and online communities: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5087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50876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Website: Website: www.bitfarms.com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https://www.facebook.com/bitfarms/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https://twitter.com/Bitfarms_io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https://www.instagram.com/bitfarms/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https://www.linkedin.com/company/bitfarms/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Glossary of Terms</w:t>
      </w:r>
    </w:p>
    <w:p>
      <w:pPr>
        <w:spacing w:after="0" w:line="227"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BTC BTC/day = Bitcoin or Bitcoin per day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EH or EH/s = Exahash or exahash per second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MW or MWh = Megawatts or megawatt hour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w/TH = Watts/Terahash efficiency (includes cost of powering supplementary equipment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Synthetic HODL™ = the use of instruments that create Bitcoin equivalent exposure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-1078230</wp:posOffset>
            </wp:positionV>
            <wp:extent cx="6720840" cy="137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720840" cy="137160"/>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-529590</wp:posOffset>
            </wp:positionV>
            <wp:extent cx="6720840" cy="1371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720840" cy="137160"/>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18415</wp:posOffset>
            </wp:positionV>
            <wp:extent cx="6720840" cy="1371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720840" cy="137160"/>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Cautionary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26060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2606040"/>
                    </a:xfrm>
                    <a:prstGeom prst="rect">
                      <a:avLst/>
                    </a:prstGeom>
                    <a:noFill/>
                  </pic:spPr>
                </pic:pic>
              </a:graphicData>
            </a:graphic>
          </wp:anchor>
        </w:drawing>
      </w:r>
    </w:p>
    <w:p>
      <w:pPr>
        <w:spacing w:after="0" w:line="20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Trading in the securities of the Company should be considered highly speculative. No stock exchange, securities commission or other regulatory authority has approved or disapproved the information contained herein. Neither the Toronto Stock Exchange, Nasdaq, or any other securities exchange or regulatory authority accepts responsibility for the adequacy or accuracy of this release.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Forward-Looking Statements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This news release contains certain “forward-looking information” and “forward-looking statements” (collectively, “forward-looking information”) that are based on expectations, estimates and projections as at the date of this news release and are covered by safe harbors under Canadian and United States </w:t>
      </w:r>
      <w:r>
        <w:rPr>
          <w:rFonts w:ascii="Times New Roman" w:cs="Times New Roman" w:eastAsia="Times New Roman" w:hAnsi="Times New Roman"/>
          <w:sz w:val="18"/>
          <w:szCs w:val="18"/>
          <w:i w:val="1"/>
          <w:iCs w:val="1"/>
          <w:color w:val="auto"/>
          <w:highlight w:val="white"/>
        </w:rPr>
        <w:t xml:space="preserve">securities laws. The statements and information in this release regarding projected growth, target hashrate, opportunities relating to the Company’s </w:t>
      </w:r>
      <w:r>
        <w:rPr>
          <w:rFonts w:ascii="Times New Roman" w:cs="Times New Roman" w:eastAsia="Times New Roman" w:hAnsi="Times New Roman"/>
          <w:sz w:val="18"/>
          <w:szCs w:val="18"/>
          <w:i w:val="1"/>
          <w:iCs w:val="1"/>
          <w:color w:val="auto"/>
        </w:rPr>
        <w:t xml:space="preserve">geographical diversification and expansion, upgrading and deployment of miners as well as the timing therefor, improved financial performance and </w:t>
      </w:r>
      <w:r>
        <w:rPr>
          <w:rFonts w:ascii="Times New Roman" w:cs="Times New Roman" w:eastAsia="Times New Roman" w:hAnsi="Times New Roman"/>
          <w:sz w:val="18"/>
          <w:szCs w:val="18"/>
          <w:i w:val="1"/>
          <w:iCs w:val="1"/>
          <w:color w:val="auto"/>
          <w:highlight w:val="white"/>
        </w:rPr>
        <w:t xml:space="preserve">balance sheet liquidity, other growth opportunities and prospects, and other statements regarding future growth, plans and objectives of the Company are </w:t>
      </w:r>
      <w:r>
        <w:rPr>
          <w:rFonts w:ascii="Times New Roman" w:cs="Times New Roman" w:eastAsia="Times New Roman" w:hAnsi="Times New Roman"/>
          <w:sz w:val="18"/>
          <w:szCs w:val="18"/>
          <w:i w:val="1"/>
          <w:iCs w:val="1"/>
          <w:color w:val="auto"/>
        </w:rPr>
        <w:t xml:space="preserve">forward-looking information. Any statements that involve discussions with respect to predictions, expectations, beliefs, plans, projections, objectives, </w:t>
      </w:r>
      <w:r>
        <w:rPr>
          <w:rFonts w:ascii="Times New Roman" w:cs="Times New Roman" w:eastAsia="Times New Roman" w:hAnsi="Times New Roman"/>
          <w:sz w:val="18"/>
          <w:szCs w:val="18"/>
          <w:i w:val="1"/>
          <w:iCs w:val="1"/>
          <w:color w:val="auto"/>
          <w:highlight w:val="white"/>
        </w:rPr>
        <w:t>assumptions, future events or performance (often but not always using phrases such as “expects”, or “does not expect”, “is expected”, “anticipates” or “does not anticipate”, “plans”, “budget”, “scheduled”, “forecasts”, “estimates”, “prospects”, “believes” or “intends” or variations of such words and phrases or stating that certain actions, events or results “may” or “could”, “would”, “might” or “will” be taken to occur or be achieved) are not statements of historical fact and may be forward-looking information and are intended to identify forward-looking information.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 w:name="page12"/>
    <w:bookmarkEnd w:id="11"/>
    <w:p>
      <w:pPr>
        <w:jc w:val="both"/>
        <w:spacing w:after="0" w:line="251" w:lineRule="auto"/>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2654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265430"/>
                    </a:xfrm>
                    <a:prstGeom prst="rect">
                      <a:avLst/>
                    </a:prstGeom>
                    <a:noFill/>
                  </pic:spPr>
                </pic:pic>
              </a:graphicData>
            </a:graphic>
          </wp:anchor>
        </w:drawing>
        <w:t xml:space="preserve">This forward-looking information is based on assumptions and estimates of management of the Company at the time they were made, and involves known </w:t>
      </w:r>
      <w:r>
        <w:rPr>
          <w:rFonts w:ascii="Times New Roman" w:cs="Times New Roman" w:eastAsia="Times New Roman" w:hAnsi="Times New Roman"/>
          <w:sz w:val="18"/>
          <w:szCs w:val="18"/>
          <w:i w:val="1"/>
          <w:iCs w:val="1"/>
          <w:color w:val="auto"/>
          <w:highlight w:val="white"/>
        </w:rPr>
        <w:t xml:space="preserve">and unknown risks, uncertainties and other factors which may cause the actual results, performance, or achievements of the Company to be materially different from any future results, performance or achievements expressed or implied by such forward-looking information. Such factors include, among others, risks relating to: the construction and operation of the Company’s facilities may not occur as currently planned, or at all; expansion may not materialize as currently anticipated, or at all; the digital currency market; the ability to successfully mine digital currency; revenue may not increase as currently anticipated, or at all; it may not be possible to profitably liquidate the current digital currency inventory, or at all; a decline in digital currency prices may have a significant negative impact on operations; an increase in network difficulty may have a significant negative impact on operations; the volatility of digital currency prices; the anticipated growth and sustainability of hydroelectricity for the purposes of cryptocurrency mining in the applicable jurisdictions; the inability to maintain reliable and economical sources of power for the Company to operate cryptocurrency mining assets; the risks of an increase in the Company’s electricity costs, cost of natural gas, changes in currency exchange rates, energy curtailment or regulatory changes in the energy regimes in the jurisdictions in which the Company operates and the adverse impact on the Company’s profitability; the ability to complete current and future financings; the impact of the Restatement on the price of the Company’s common shares, financial condition and results of operations; </w:t>
      </w:r>
      <w:r>
        <w:rPr>
          <w:rFonts w:ascii="Times New Roman" w:cs="Times New Roman" w:eastAsia="Times New Roman" w:hAnsi="Times New Roman"/>
          <w:sz w:val="18"/>
          <w:szCs w:val="18"/>
          <w:i w:val="1"/>
          <w:iCs w:val="1"/>
          <w:color w:val="auto"/>
        </w:rPr>
        <w:t xml:space="preserve">the risk that a material weakness in internal control over financial reporting could result in a misstatement of the Company’s financial position that may lead to a material misstatement of the annual or interim consolidated financial statements if not prevented or detected on a timely basis; </w:t>
      </w:r>
      <w:r>
        <w:rPr>
          <w:rFonts w:ascii="Times New Roman" w:cs="Times New Roman" w:eastAsia="Times New Roman" w:hAnsi="Times New Roman"/>
          <w:sz w:val="18"/>
          <w:szCs w:val="18"/>
          <w:i w:val="1"/>
          <w:iCs w:val="1"/>
          <w:color w:val="auto"/>
          <w:highlight w:val="white"/>
        </w:rPr>
        <w:t>any regulations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i w:val="1"/>
          <w:iCs w:val="1"/>
          <w:color w:val="auto"/>
          <w:highlight w:val="white"/>
        </w:rPr>
        <w:t>laws that will prevent Bitfarms from operating its business; historical prices of digital currencies and the ability to mine digital currencies that will be consistent with historical prices; and the adoption or expansion of any regulation or law that will prevent Bitfarms from operating its business, or make it more costly to do so. For further information concerning these and other risks and uncertainties, refer to the Company’s filings on www.SEDAR.com (which are also available on the website of the U.S. Securities and Exchange Commission at www.sec.gov), including the MD&amp;A for the year-ended December 31, 2023, filed on March 7, 2024. Although the Company has attempted to identify important factors that could cause actual results to differ materially from those expressed in forward-looking statements, there may be other factors that cause results not to be as anticipated, estimated or intended, including factors that are currently unknown to or deemed immaterial by the Company. There can be no assurance that such statements will prove to be accurate as actual results and future events could differ materially from those anticipated in such statements. Accordingly, readers should not place undue reliance on any forward-looking information. The Company undertakes no obligation to revise or update any forward-looking information other than as required by law.</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 Contacts: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Tracy Krumme (Bitfarms)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+1 786-671-5638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tkrumme@bitfarms.com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David Barnard (LHA)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+1 415-433-3777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Investors@bitfarms.com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Contacts: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Actual Agency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Khushboo Chaudhary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+1 646-373-9946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mediarelations@bitfarms.com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Québec Media: Tact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Louis-Martin Leclerc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+1 418-693-2425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lmleclerc@tactconseil.ca</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38"/>
        </w:trPr>
        <w:tc>
          <w:tcPr>
            <w:tcW w:w="3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020" w:type="dxa"/>
            <w:vAlign w:val="bottom"/>
            <w:gridSpan w:val="10"/>
          </w:tcPr>
          <w:p>
            <w:pPr>
              <w:jc w:val="right"/>
              <w:ind w:right="256"/>
              <w:spacing w:after="0"/>
              <w:rPr>
                <w:sz w:val="20"/>
                <w:szCs w:val="20"/>
                <w:color w:val="auto"/>
              </w:rPr>
            </w:pPr>
            <w:r>
              <w:rPr>
                <w:rFonts w:ascii="Times New Roman" w:cs="Times New Roman" w:eastAsia="Times New Roman" w:hAnsi="Times New Roman"/>
                <w:sz w:val="18"/>
                <w:szCs w:val="18"/>
                <w:b w:val="1"/>
                <w:bCs w:val="1"/>
                <w:color w:val="auto"/>
              </w:rPr>
              <w:t>Bitfarms Ltd. Consolidated Financial &amp; Operational Results</w:t>
            </w:r>
          </w:p>
        </w:tc>
        <w:tc>
          <w:tcPr>
            <w:tcW w:w="7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3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60" w:type="dxa"/>
            <w:vAlign w:val="bottom"/>
            <w:tcBorders>
              <w:bottom w:val="single" w:sz="8" w:color="auto"/>
            </w:tcBorders>
            <w:gridSpan w:val="7"/>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Three months ended December 31,</w:t>
            </w:r>
          </w:p>
        </w:tc>
        <w:tc>
          <w:tcPr>
            <w:tcW w:w="300" w:type="dxa"/>
            <w:vAlign w:val="bottom"/>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5"/>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76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3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(U.S.$ in thousands except where indicated)</w:t>
            </w:r>
          </w:p>
        </w:tc>
        <w:tc>
          <w:tcPr>
            <w:tcW w:w="60" w:type="dxa"/>
            <w:vAlign w:val="bottom"/>
            <w:tcBorders>
              <w:bottom w:val="single" w:sz="8" w:color="CCEEFF"/>
            </w:tcBorders>
          </w:tcPr>
          <w:p>
            <w:pPr>
              <w:spacing w:after="0"/>
              <w:rPr>
                <w:sz w:val="22"/>
                <w:szCs w:val="22"/>
                <w:color w:val="auto"/>
              </w:rPr>
            </w:pPr>
          </w:p>
        </w:tc>
        <w:tc>
          <w:tcPr>
            <w:tcW w:w="6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20" w:type="dxa"/>
            <w:vAlign w:val="bottom"/>
            <w:tcBorders>
              <w:bottom w:val="single" w:sz="8" w:color="CCEEFF"/>
            </w:tcBorders>
          </w:tcPr>
          <w:p>
            <w:pPr>
              <w:spacing w:after="0"/>
              <w:rPr>
                <w:sz w:val="22"/>
                <w:szCs w:val="22"/>
                <w:color w:val="auto"/>
              </w:rPr>
            </w:pPr>
          </w:p>
        </w:tc>
        <w:tc>
          <w:tcPr>
            <w:tcW w:w="680" w:type="dxa"/>
            <w:vAlign w:val="bottom"/>
            <w:tcBorders>
              <w:bottom w:val="single" w:sz="8" w:color="auto"/>
            </w:tcBorders>
          </w:tcPr>
          <w:p>
            <w:pPr>
              <w:jc w:val="right"/>
              <w:spacing w:after="0" w:line="256" w:lineRule="exact"/>
              <w:rPr>
                <w:sz w:val="20"/>
                <w:szCs w:val="20"/>
                <w:color w:val="auto"/>
              </w:rPr>
            </w:pPr>
            <w:r>
              <w:rPr>
                <w:rFonts w:ascii="Times New Roman" w:cs="Times New Roman" w:eastAsia="Times New Roman" w:hAnsi="Times New Roman"/>
                <w:sz w:val="18"/>
                <w:szCs w:val="18"/>
                <w:color w:val="auto"/>
                <w:w w:val="98"/>
              </w:rPr>
              <w:t xml:space="preserve">2022 </w:t>
            </w:r>
            <w:r>
              <w:rPr>
                <w:rFonts w:ascii="Times New Roman" w:cs="Times New Roman" w:eastAsia="Times New Roman" w:hAnsi="Times New Roman"/>
                <w:sz w:val="29"/>
                <w:szCs w:val="29"/>
                <w:color w:val="auto"/>
                <w:w w:val="98"/>
                <w:vertAlign w:val="superscript"/>
              </w:rPr>
              <w:t>(3)</w:t>
            </w:r>
          </w:p>
        </w:tc>
        <w:tc>
          <w:tcPr>
            <w:tcW w:w="300" w:type="dxa"/>
            <w:vAlign w:val="bottom"/>
            <w:tcBorders>
              <w:bottom w:val="single" w:sz="8" w:color="CCEEFF"/>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Change</w:t>
            </w:r>
          </w:p>
        </w:tc>
        <w:tc>
          <w:tcPr>
            <w:tcW w:w="180" w:type="dxa"/>
            <w:vAlign w:val="bottom"/>
            <w:tcBorders>
              <w:bottom w:val="single" w:sz="8" w:color="CCEEFF"/>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 Change</w:t>
            </w:r>
          </w:p>
        </w:tc>
        <w:tc>
          <w:tcPr>
            <w:tcW w:w="300" w:type="dxa"/>
            <w:vAlign w:val="bottom"/>
            <w:tcBorders>
              <w:bottom w:val="single" w:sz="8" w:color="CCEEFF"/>
            </w:tcBorders>
          </w:tcPr>
          <w:p>
            <w:pPr>
              <w:spacing w:after="0"/>
              <w:rPr>
                <w:sz w:val="22"/>
                <w:szCs w:val="22"/>
                <w:color w:val="auto"/>
              </w:rPr>
            </w:pPr>
          </w:p>
        </w:tc>
        <w:tc>
          <w:tcPr>
            <w:tcW w:w="7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20" w:type="dxa"/>
            <w:vAlign w:val="bottom"/>
            <w:tcBorders>
              <w:bottom w:val="single" w:sz="8" w:color="CCEEFF"/>
            </w:tcBorders>
          </w:tcPr>
          <w:p>
            <w:pPr>
              <w:spacing w:after="0"/>
              <w:rPr>
                <w:sz w:val="22"/>
                <w:szCs w:val="22"/>
                <w:color w:val="auto"/>
              </w:rPr>
            </w:pPr>
          </w:p>
        </w:tc>
        <w:tc>
          <w:tcPr>
            <w:tcW w:w="740" w:type="dxa"/>
            <w:vAlign w:val="bottom"/>
            <w:tcBorders>
              <w:bottom w:val="single" w:sz="8" w:color="auto"/>
            </w:tcBorders>
          </w:tcPr>
          <w:p>
            <w:pPr>
              <w:jc w:val="right"/>
              <w:spacing w:after="0" w:line="256" w:lineRule="exact"/>
              <w:rPr>
                <w:sz w:val="20"/>
                <w:szCs w:val="20"/>
                <w:color w:val="auto"/>
              </w:rPr>
            </w:pPr>
            <w:r>
              <w:rPr>
                <w:rFonts w:ascii="Times New Roman" w:cs="Times New Roman" w:eastAsia="Times New Roman" w:hAnsi="Times New Roman"/>
                <w:sz w:val="18"/>
                <w:szCs w:val="18"/>
                <w:color w:val="auto"/>
              </w:rPr>
              <w:t xml:space="preserve">2022 </w:t>
            </w:r>
            <w:r>
              <w:rPr>
                <w:rFonts w:ascii="Times New Roman" w:cs="Times New Roman" w:eastAsia="Times New Roman" w:hAnsi="Times New Roman"/>
                <w:sz w:val="29"/>
                <w:szCs w:val="29"/>
                <w:color w:val="auto"/>
                <w:vertAlign w:val="superscript"/>
              </w:rPr>
              <w:t>(3)</w:t>
            </w:r>
          </w:p>
        </w:tc>
        <w:tc>
          <w:tcPr>
            <w:tcW w:w="300" w:type="dxa"/>
            <w:vAlign w:val="bottom"/>
            <w:tcBorders>
              <w:bottom w:val="single" w:sz="8" w:color="CCEEFF"/>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Change</w:t>
            </w:r>
          </w:p>
        </w:tc>
        <w:tc>
          <w:tcPr>
            <w:tcW w:w="200" w:type="dxa"/>
            <w:vAlign w:val="bottom"/>
            <w:tcBorders>
              <w:bottom w:val="single" w:sz="8" w:color="CCEEFF"/>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 Change</w:t>
            </w:r>
          </w:p>
        </w:tc>
        <w:tc>
          <w:tcPr>
            <w:tcW w:w="22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46,241</w:t>
            </w: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27,037</w:t>
            </w: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19,204</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71%</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146,366</w:t>
            </w: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142,428</w:t>
            </w: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3,938</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41"/>
        </w:trPr>
        <w:tc>
          <w:tcPr>
            <w:tcW w:w="3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100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b w:val="1"/>
                <w:bCs w:val="1"/>
                <w:color w:val="auto"/>
              </w:rPr>
              <w:t>44,484</w:t>
            </w:r>
          </w:p>
        </w:tc>
        <w:tc>
          <w:tcPr>
            <w:tcW w:w="98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39,121</w:t>
            </w:r>
          </w:p>
        </w:tc>
        <w:tc>
          <w:tcPr>
            <w:tcW w:w="92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5,363</w:t>
            </w:r>
          </w:p>
        </w:tc>
        <w:tc>
          <w:tcPr>
            <w:tcW w:w="10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14%</w:t>
            </w:r>
          </w:p>
        </w:tc>
        <w:tc>
          <w:tcPr>
            <w:tcW w:w="1060" w:type="dxa"/>
            <w:vAlign w:val="bottom"/>
            <w:gridSpan w:val="2"/>
          </w:tcPr>
          <w:p>
            <w:pPr>
              <w:jc w:val="right"/>
              <w:ind w:right="236"/>
              <w:spacing w:after="0"/>
              <w:rPr>
                <w:sz w:val="20"/>
                <w:szCs w:val="20"/>
                <w:color w:val="auto"/>
              </w:rPr>
            </w:pPr>
            <w:r>
              <w:rPr>
                <w:rFonts w:ascii="Times New Roman" w:cs="Times New Roman" w:eastAsia="Times New Roman" w:hAnsi="Times New Roman"/>
                <w:sz w:val="18"/>
                <w:szCs w:val="18"/>
                <w:b w:val="1"/>
                <w:bCs w:val="1"/>
                <w:color w:val="auto"/>
              </w:rPr>
              <w:t>167,868</w:t>
            </w:r>
          </w:p>
        </w:tc>
        <w:tc>
          <w:tcPr>
            <w:tcW w:w="104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131,910</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35,958</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18"/>
        </w:trPr>
        <w:tc>
          <w:tcPr>
            <w:tcW w:w="3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(loss) profit</w:t>
            </w:r>
          </w:p>
        </w:tc>
        <w:tc>
          <w:tcPr>
            <w:tcW w:w="100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b w:val="1"/>
                <w:bCs w:val="1"/>
                <w:color w:val="auto"/>
              </w:rPr>
              <w:t>1,757</w:t>
            </w:r>
          </w:p>
        </w:tc>
        <w:tc>
          <w:tcPr>
            <w:tcW w:w="98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(12,084)</w:t>
            </w:r>
          </w:p>
        </w:tc>
        <w:tc>
          <w:tcPr>
            <w:tcW w:w="92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13,841</w:t>
            </w:r>
          </w:p>
        </w:tc>
        <w:tc>
          <w:tcPr>
            <w:tcW w:w="106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115%</w:t>
            </w:r>
          </w:p>
        </w:tc>
        <w:tc>
          <w:tcPr>
            <w:tcW w:w="1060" w:type="dxa"/>
            <w:vAlign w:val="bottom"/>
            <w:gridSpan w:val="2"/>
            <w:shd w:val="clear" w:color="auto" w:fill="CCEEFF"/>
          </w:tcPr>
          <w:p>
            <w:pPr>
              <w:jc w:val="right"/>
              <w:ind w:right="176"/>
              <w:spacing w:after="0"/>
              <w:rPr>
                <w:sz w:val="20"/>
                <w:szCs w:val="20"/>
                <w:color w:val="auto"/>
              </w:rPr>
            </w:pPr>
            <w:r>
              <w:rPr>
                <w:rFonts w:ascii="Times New Roman" w:cs="Times New Roman" w:eastAsia="Times New Roman" w:hAnsi="Times New Roman"/>
                <w:sz w:val="18"/>
                <w:szCs w:val="18"/>
                <w:b w:val="1"/>
                <w:bCs w:val="1"/>
                <w:color w:val="auto"/>
              </w:rPr>
              <w:t>(21,502)</w:t>
            </w:r>
          </w:p>
        </w:tc>
        <w:tc>
          <w:tcPr>
            <w:tcW w:w="104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10,518</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(32,020)</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0" w:type="dxa"/>
            <w:vAlign w:val="bottom"/>
          </w:tcPr>
          <w:p>
            <w:pPr>
              <w:spacing w:after="0"/>
              <w:rPr>
                <w:sz w:val="1"/>
                <w:szCs w:val="1"/>
                <w:color w:val="auto"/>
              </w:rPr>
            </w:pPr>
          </w:p>
        </w:tc>
      </w:tr>
      <w:tr>
        <w:trPr>
          <w:trHeight w:val="283"/>
        </w:trPr>
        <w:tc>
          <w:tcPr>
            <w:tcW w:w="3260" w:type="dxa"/>
            <w:vAlign w:val="bottom"/>
            <w:gridSpan w:val="2"/>
          </w:tcPr>
          <w:p>
            <w:pPr>
              <w:spacing w:after="0" w:line="284" w:lineRule="exact"/>
              <w:rPr>
                <w:sz w:val="20"/>
                <w:szCs w:val="20"/>
                <w:color w:val="auto"/>
              </w:rPr>
            </w:pPr>
            <w:r>
              <w:rPr>
                <w:rFonts w:ascii="Times New Roman" w:cs="Times New Roman" w:eastAsia="Times New Roman" w:hAnsi="Times New Roman"/>
                <w:sz w:val="18"/>
                <w:szCs w:val="18"/>
                <w:color w:val="auto"/>
              </w:rPr>
              <w:t xml:space="preserve">Gross margin </w:t>
            </w:r>
            <w:r>
              <w:rPr>
                <w:rFonts w:ascii="Times New Roman" w:cs="Times New Roman" w:eastAsia="Times New Roman" w:hAnsi="Times New Roman"/>
                <w:sz w:val="29"/>
                <w:szCs w:val="29"/>
                <w:color w:val="auto"/>
                <w:vertAlign w:val="superscript"/>
              </w:rPr>
              <w:t>(1)</w:t>
            </w:r>
          </w:p>
        </w:tc>
        <w:tc>
          <w:tcPr>
            <w:tcW w:w="10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4%</w:t>
            </w:r>
          </w:p>
        </w:tc>
        <w:tc>
          <w:tcPr>
            <w:tcW w:w="9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(45)%</w:t>
            </w:r>
          </w:p>
        </w:tc>
        <w:tc>
          <w:tcPr>
            <w:tcW w:w="92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(15)%</w:t>
            </w:r>
          </w:p>
        </w:tc>
        <w:tc>
          <w:tcPr>
            <w:tcW w:w="10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7%</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00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b w:val="1"/>
                <w:bCs w:val="1"/>
                <w:color w:val="auto"/>
              </w:rPr>
              <w:t>13,405</w:t>
            </w:r>
          </w:p>
        </w:tc>
        <w:tc>
          <w:tcPr>
            <w:tcW w:w="98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11,972</w:t>
            </w:r>
          </w:p>
        </w:tc>
        <w:tc>
          <w:tcPr>
            <w:tcW w:w="92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1,433</w:t>
            </w:r>
          </w:p>
        </w:tc>
        <w:tc>
          <w:tcPr>
            <w:tcW w:w="10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12%</w:t>
            </w:r>
          </w:p>
        </w:tc>
        <w:tc>
          <w:tcPr>
            <w:tcW w:w="1060" w:type="dxa"/>
            <w:vAlign w:val="bottom"/>
            <w:gridSpan w:val="2"/>
          </w:tcPr>
          <w:p>
            <w:pPr>
              <w:jc w:val="right"/>
              <w:ind w:right="236"/>
              <w:spacing w:after="0"/>
              <w:rPr>
                <w:sz w:val="20"/>
                <w:szCs w:val="20"/>
                <w:color w:val="auto"/>
              </w:rPr>
            </w:pPr>
            <w:r>
              <w:rPr>
                <w:rFonts w:ascii="Times New Roman" w:cs="Times New Roman" w:eastAsia="Times New Roman" w:hAnsi="Times New Roman"/>
                <w:sz w:val="18"/>
                <w:szCs w:val="18"/>
                <w:b w:val="1"/>
                <w:bCs w:val="1"/>
                <w:color w:val="auto"/>
              </w:rPr>
              <w:t>39,292</w:t>
            </w:r>
          </w:p>
        </w:tc>
        <w:tc>
          <w:tcPr>
            <w:tcW w:w="104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51,506</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(12,214)</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198"/>
        </w:trPr>
        <w:tc>
          <w:tcPr>
            <w:tcW w:w="3260" w:type="dxa"/>
            <w:vAlign w:val="bottom"/>
            <w:gridSpan w:val="2"/>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Realized loss on disposition of digital</w:t>
            </w:r>
          </w:p>
        </w:tc>
        <w:tc>
          <w:tcPr>
            <w:tcW w:w="1000" w:type="dxa"/>
            <w:vAlign w:val="bottom"/>
            <w:gridSpan w:val="2"/>
            <w:vMerge w:val="restart"/>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gridSpan w:val="2"/>
            <w:vMerge w:val="restart"/>
            <w:shd w:val="clear" w:color="auto" w:fill="CCEEFF"/>
          </w:tcPr>
          <w:p>
            <w:pPr>
              <w:jc w:val="right"/>
              <w:ind w:right="236"/>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assets</w:t>
            </w:r>
          </w:p>
        </w:tc>
        <w:tc>
          <w:tcPr>
            <w:tcW w:w="1000" w:type="dxa"/>
            <w:vAlign w:val="bottom"/>
            <w:gridSpan w:val="2"/>
            <w:vMerge w:val="continue"/>
            <w:shd w:val="clear" w:color="auto" w:fill="CCEEFF"/>
          </w:tcPr>
          <w:p>
            <w:pPr>
              <w:spacing w:after="0"/>
              <w:rPr>
                <w:sz w:val="20"/>
                <w:szCs w:val="20"/>
                <w:color w:val="auto"/>
              </w:rPr>
            </w:pPr>
          </w:p>
        </w:tc>
        <w:tc>
          <w:tcPr>
            <w:tcW w:w="98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28,567</w:t>
            </w:r>
          </w:p>
        </w:tc>
        <w:tc>
          <w:tcPr>
            <w:tcW w:w="9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(28,567)</w:t>
            </w:r>
          </w:p>
        </w:tc>
        <w:tc>
          <w:tcPr>
            <w:tcW w:w="10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(100)%</w:t>
            </w:r>
          </w:p>
        </w:tc>
        <w:tc>
          <w:tcPr>
            <w:tcW w:w="1060" w:type="dxa"/>
            <w:vAlign w:val="bottom"/>
            <w:gridSpan w:val="2"/>
            <w:vMerge w:val="continue"/>
            <w:shd w:val="clear" w:color="auto" w:fill="CCEEFF"/>
          </w:tcPr>
          <w:p>
            <w:pPr>
              <w:spacing w:after="0"/>
              <w:rPr>
                <w:sz w:val="20"/>
                <w:szCs w:val="20"/>
                <w:color w:val="auto"/>
              </w:rPr>
            </w:pPr>
          </w:p>
        </w:tc>
        <w:tc>
          <w:tcPr>
            <w:tcW w:w="104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150,810</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(150,810)</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198"/>
        </w:trPr>
        <w:tc>
          <w:tcPr>
            <w:tcW w:w="3260" w:type="dxa"/>
            <w:vAlign w:val="bottom"/>
            <w:gridSpan w:val="2"/>
          </w:tcPr>
          <w:p>
            <w:pPr>
              <w:ind w:left="180"/>
              <w:spacing w:after="0" w:line="198" w:lineRule="exact"/>
              <w:rPr>
                <w:sz w:val="20"/>
                <w:szCs w:val="20"/>
                <w:color w:val="auto"/>
              </w:rPr>
            </w:pPr>
            <w:r>
              <w:rPr>
                <w:rFonts w:ascii="Times New Roman" w:cs="Times New Roman" w:eastAsia="Times New Roman" w:hAnsi="Times New Roman"/>
                <w:sz w:val="18"/>
                <w:szCs w:val="18"/>
                <w:color w:val="auto"/>
              </w:rPr>
              <w:t>Reversal of revaluation loss on digital</w:t>
            </w:r>
          </w:p>
        </w:tc>
        <w:tc>
          <w:tcPr>
            <w:tcW w:w="1000" w:type="dxa"/>
            <w:vAlign w:val="bottom"/>
            <w:gridSpan w:val="2"/>
            <w:vMerge w:val="restart"/>
          </w:tcPr>
          <w:p>
            <w:pPr>
              <w:jc w:val="right"/>
              <w:ind w:right="181"/>
              <w:spacing w:after="0"/>
              <w:rPr>
                <w:sz w:val="20"/>
                <w:szCs w:val="20"/>
                <w:color w:val="auto"/>
              </w:rPr>
            </w:pPr>
            <w:r>
              <w:rPr>
                <w:rFonts w:ascii="Times New Roman" w:cs="Times New Roman" w:eastAsia="Times New Roman" w:hAnsi="Times New Roman"/>
                <w:sz w:val="18"/>
                <w:szCs w:val="18"/>
                <w:b w:val="1"/>
                <w:bCs w:val="1"/>
                <w:color w:val="auto"/>
              </w:rPr>
              <w:t>(1,183)</w:t>
            </w: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gridSpan w:val="2"/>
            <w:vMerge w:val="restart"/>
          </w:tcPr>
          <w:p>
            <w:pPr>
              <w:jc w:val="right"/>
              <w:ind w:right="176"/>
              <w:spacing w:after="0"/>
              <w:rPr>
                <w:sz w:val="20"/>
                <w:szCs w:val="20"/>
                <w:color w:val="auto"/>
              </w:rPr>
            </w:pPr>
            <w:r>
              <w:rPr>
                <w:rFonts w:ascii="Times New Roman" w:cs="Times New Roman" w:eastAsia="Times New Roman" w:hAnsi="Times New Roman"/>
                <w:sz w:val="18"/>
                <w:szCs w:val="18"/>
                <w:b w:val="1"/>
                <w:bCs w:val="1"/>
                <w:color w:val="auto"/>
              </w:rPr>
              <w:t>(2,695)</w:t>
            </w: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assets</w:t>
            </w:r>
          </w:p>
        </w:tc>
        <w:tc>
          <w:tcPr>
            <w:tcW w:w="1000" w:type="dxa"/>
            <w:vAlign w:val="bottom"/>
            <w:gridSpan w:val="2"/>
            <w:vMerge w:val="continue"/>
          </w:tcPr>
          <w:p>
            <w:pPr>
              <w:spacing w:after="0"/>
              <w:rPr>
                <w:sz w:val="20"/>
                <w:szCs w:val="20"/>
                <w:color w:val="auto"/>
              </w:rPr>
            </w:pPr>
          </w:p>
        </w:tc>
        <w:tc>
          <w:tcPr>
            <w:tcW w:w="98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(23,284)</w:t>
            </w:r>
          </w:p>
        </w:tc>
        <w:tc>
          <w:tcPr>
            <w:tcW w:w="92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22,101</w:t>
            </w:r>
          </w:p>
        </w:tc>
        <w:tc>
          <w:tcPr>
            <w:tcW w:w="10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(95)%</w:t>
            </w:r>
          </w:p>
        </w:tc>
        <w:tc>
          <w:tcPr>
            <w:tcW w:w="1060" w:type="dxa"/>
            <w:vAlign w:val="bottom"/>
            <w:gridSpan w:val="2"/>
            <w:vMerge w:val="continue"/>
          </w:tcPr>
          <w:p>
            <w:pPr>
              <w:spacing w:after="0"/>
              <w:rPr>
                <w:sz w:val="20"/>
                <w:szCs w:val="20"/>
                <w:color w:val="auto"/>
              </w:rPr>
            </w:pPr>
          </w:p>
        </w:tc>
        <w:tc>
          <w:tcPr>
            <w:tcW w:w="104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(2,166)</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(529)</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198"/>
        </w:trPr>
        <w:tc>
          <w:tcPr>
            <w:tcW w:w="3260" w:type="dxa"/>
            <w:vAlign w:val="bottom"/>
            <w:gridSpan w:val="2"/>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Loss on disposition of property, plant and</w:t>
            </w:r>
          </w:p>
        </w:tc>
        <w:tc>
          <w:tcPr>
            <w:tcW w:w="1000" w:type="dxa"/>
            <w:vAlign w:val="bottom"/>
            <w:gridSpan w:val="2"/>
            <w:vMerge w:val="restart"/>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b w:val="1"/>
                <w:bCs w:val="1"/>
                <w:color w:val="auto"/>
              </w:rPr>
              <w:t>2</w:t>
            </w:r>
          </w:p>
        </w:tc>
        <w:tc>
          <w:tcPr>
            <w:tcW w:w="6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gridSpan w:val="2"/>
            <w:vMerge w:val="restart"/>
            <w:shd w:val="clear" w:color="auto" w:fill="CCEEFF"/>
          </w:tcPr>
          <w:p>
            <w:pPr>
              <w:jc w:val="right"/>
              <w:ind w:right="236"/>
              <w:spacing w:after="0"/>
              <w:rPr>
                <w:sz w:val="20"/>
                <w:szCs w:val="20"/>
                <w:color w:val="auto"/>
              </w:rPr>
            </w:pPr>
            <w:r>
              <w:rPr>
                <w:rFonts w:ascii="Times New Roman" w:cs="Times New Roman" w:eastAsia="Times New Roman" w:hAnsi="Times New Roman"/>
                <w:sz w:val="18"/>
                <w:szCs w:val="18"/>
                <w:b w:val="1"/>
                <w:bCs w:val="1"/>
                <w:color w:val="auto"/>
              </w:rPr>
              <w:t>1,778</w:t>
            </w:r>
          </w:p>
        </w:tc>
        <w:tc>
          <w:tcPr>
            <w:tcW w:w="7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equipment</w:t>
            </w:r>
          </w:p>
        </w:tc>
        <w:tc>
          <w:tcPr>
            <w:tcW w:w="1000" w:type="dxa"/>
            <w:vAlign w:val="bottom"/>
            <w:gridSpan w:val="2"/>
            <w:vMerge w:val="continue"/>
            <w:shd w:val="clear" w:color="auto" w:fill="CCEEFF"/>
          </w:tcPr>
          <w:p>
            <w:pPr>
              <w:spacing w:after="0"/>
              <w:rPr>
                <w:sz w:val="20"/>
                <w:szCs w:val="20"/>
                <w:color w:val="auto"/>
              </w:rPr>
            </w:pPr>
          </w:p>
        </w:tc>
        <w:tc>
          <w:tcPr>
            <w:tcW w:w="98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(415)</w:t>
            </w:r>
          </w:p>
        </w:tc>
        <w:tc>
          <w:tcPr>
            <w:tcW w:w="92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417</w:t>
            </w:r>
          </w:p>
        </w:tc>
        <w:tc>
          <w:tcPr>
            <w:tcW w:w="106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100%</w:t>
            </w:r>
          </w:p>
        </w:tc>
        <w:tc>
          <w:tcPr>
            <w:tcW w:w="1060" w:type="dxa"/>
            <w:vAlign w:val="bottom"/>
            <w:gridSpan w:val="2"/>
            <w:vMerge w:val="continue"/>
            <w:shd w:val="clear" w:color="auto" w:fill="CCEEFF"/>
          </w:tcPr>
          <w:p>
            <w:pPr>
              <w:spacing w:after="0"/>
              <w:rPr>
                <w:sz w:val="20"/>
                <w:szCs w:val="20"/>
                <w:color w:val="auto"/>
              </w:rPr>
            </w:pPr>
          </w:p>
        </w:tc>
        <w:tc>
          <w:tcPr>
            <w:tcW w:w="104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1,277</w:t>
            </w: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501</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198"/>
        </w:trPr>
        <w:tc>
          <w:tcPr>
            <w:tcW w:w="3260" w:type="dxa"/>
            <w:vAlign w:val="bottom"/>
            <w:gridSpan w:val="2"/>
          </w:tcPr>
          <w:p>
            <w:pPr>
              <w:ind w:left="180"/>
              <w:spacing w:after="0" w:line="198" w:lineRule="exact"/>
              <w:rPr>
                <w:sz w:val="20"/>
                <w:szCs w:val="20"/>
                <w:color w:val="auto"/>
              </w:rPr>
            </w:pPr>
            <w:r>
              <w:rPr>
                <w:rFonts w:ascii="Times New Roman" w:cs="Times New Roman" w:eastAsia="Times New Roman" w:hAnsi="Times New Roman"/>
                <w:sz w:val="18"/>
                <w:szCs w:val="18"/>
                <w:color w:val="auto"/>
              </w:rPr>
              <w:t>Impairment (reversal) on short-term</w:t>
            </w:r>
          </w:p>
        </w:tc>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prepaid deposits, equipment and</w:t>
            </w: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construction prepayments, property,</w:t>
            </w: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plant and equipment and right-of-use</w:t>
            </w:r>
          </w:p>
        </w:tc>
        <w:tc>
          <w:tcPr>
            <w:tcW w:w="1000" w:type="dxa"/>
            <w:vAlign w:val="bottom"/>
            <w:gridSpan w:val="2"/>
            <w:vMerge w:val="restart"/>
          </w:tcPr>
          <w:p>
            <w:pPr>
              <w:jc w:val="right"/>
              <w:ind w:right="241"/>
              <w:spacing w:after="0"/>
              <w:rPr>
                <w:sz w:val="20"/>
                <w:szCs w:val="20"/>
                <w:color w:val="auto"/>
              </w:rPr>
            </w:pPr>
            <w:r>
              <w:rPr>
                <w:rFonts w:ascii="Times New Roman" w:cs="Times New Roman" w:eastAsia="Times New Roman" w:hAnsi="Times New Roman"/>
                <w:sz w:val="18"/>
                <w:szCs w:val="18"/>
                <w:b w:val="1"/>
                <w:bCs w:val="1"/>
                <w:color w:val="auto"/>
              </w:rPr>
              <w:t>2,270</w:t>
            </w: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vMerge w:val="restart"/>
          </w:tcPr>
          <w:p>
            <w:pPr>
              <w:jc w:val="right"/>
              <w:ind w:right="236"/>
              <w:spacing w:after="0"/>
              <w:rPr>
                <w:sz w:val="20"/>
                <w:szCs w:val="20"/>
                <w:color w:val="auto"/>
              </w:rPr>
            </w:pPr>
            <w:r>
              <w:rPr>
                <w:rFonts w:ascii="Times New Roman" w:cs="Times New Roman" w:eastAsia="Times New Roman" w:hAnsi="Times New Roman"/>
                <w:sz w:val="18"/>
                <w:szCs w:val="18"/>
                <w:b w:val="1"/>
                <w:bCs w:val="1"/>
                <w:color w:val="auto"/>
              </w:rPr>
              <w:t>12,252</w:t>
            </w: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2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assets</w:t>
            </w:r>
          </w:p>
        </w:tc>
        <w:tc>
          <w:tcPr>
            <w:tcW w:w="1000" w:type="dxa"/>
            <w:vAlign w:val="bottom"/>
            <w:gridSpan w:val="2"/>
            <w:vMerge w:val="continue"/>
          </w:tcPr>
          <w:p>
            <w:pPr>
              <w:spacing w:after="0"/>
              <w:rPr>
                <w:sz w:val="20"/>
                <w:szCs w:val="20"/>
                <w:color w:val="auto"/>
              </w:rPr>
            </w:pPr>
          </w:p>
        </w:tc>
        <w:tc>
          <w:tcPr>
            <w:tcW w:w="98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(8,903)</w:t>
            </w:r>
          </w:p>
        </w:tc>
        <w:tc>
          <w:tcPr>
            <w:tcW w:w="92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11,173</w:t>
            </w:r>
          </w:p>
        </w:tc>
        <w:tc>
          <w:tcPr>
            <w:tcW w:w="10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125%</w:t>
            </w:r>
          </w:p>
        </w:tc>
        <w:tc>
          <w:tcPr>
            <w:tcW w:w="1060" w:type="dxa"/>
            <w:vAlign w:val="bottom"/>
            <w:gridSpan w:val="2"/>
            <w:vMerge w:val="continue"/>
          </w:tcPr>
          <w:p>
            <w:pPr>
              <w:spacing w:after="0"/>
              <w:rPr>
                <w:sz w:val="20"/>
                <w:szCs w:val="20"/>
                <w:color w:val="auto"/>
              </w:rPr>
            </w:pPr>
          </w:p>
        </w:tc>
        <w:tc>
          <w:tcPr>
            <w:tcW w:w="104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75,213</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(62,961)</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16"/>
        </w:trPr>
        <w:tc>
          <w:tcPr>
            <w:tcW w:w="32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Impairment on goodwill</w:t>
            </w:r>
          </w:p>
        </w:tc>
        <w:tc>
          <w:tcPr>
            <w:tcW w:w="100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236"/>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17,900</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(17,900)</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3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100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b w:val="1"/>
                <w:bCs w:val="1"/>
                <w:color w:val="auto"/>
              </w:rPr>
              <w:t>(12,737)</w:t>
            </w:r>
          </w:p>
        </w:tc>
        <w:tc>
          <w:tcPr>
            <w:tcW w:w="98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(20,021)</w:t>
            </w:r>
          </w:p>
        </w:tc>
        <w:tc>
          <w:tcPr>
            <w:tcW w:w="92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7,284</w:t>
            </w:r>
          </w:p>
        </w:tc>
        <w:tc>
          <w:tcPr>
            <w:tcW w:w="10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(36)%</w:t>
            </w:r>
          </w:p>
        </w:tc>
        <w:tc>
          <w:tcPr>
            <w:tcW w:w="1060" w:type="dxa"/>
            <w:vAlign w:val="bottom"/>
            <w:gridSpan w:val="2"/>
          </w:tcPr>
          <w:p>
            <w:pPr>
              <w:jc w:val="right"/>
              <w:ind w:right="176"/>
              <w:spacing w:after="0"/>
              <w:rPr>
                <w:sz w:val="20"/>
                <w:szCs w:val="20"/>
                <w:color w:val="auto"/>
              </w:rPr>
            </w:pPr>
            <w:r>
              <w:rPr>
                <w:rFonts w:ascii="Times New Roman" w:cs="Times New Roman" w:eastAsia="Times New Roman" w:hAnsi="Times New Roman"/>
                <w:sz w:val="18"/>
                <w:szCs w:val="18"/>
                <w:b w:val="1"/>
                <w:bCs w:val="1"/>
                <w:color w:val="auto"/>
              </w:rPr>
              <w:t>(72,129)</w:t>
            </w:r>
          </w:p>
        </w:tc>
        <w:tc>
          <w:tcPr>
            <w:tcW w:w="104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(284,022)</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211,893</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57"/>
        </w:trPr>
        <w:tc>
          <w:tcPr>
            <w:tcW w:w="326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Operating margin </w:t>
            </w:r>
            <w:r>
              <w:rPr>
                <w:rFonts w:ascii="Times New Roman" w:cs="Times New Roman" w:eastAsia="Times New Roman" w:hAnsi="Times New Roman"/>
                <w:sz w:val="29"/>
                <w:szCs w:val="29"/>
                <w:color w:val="auto"/>
                <w:vertAlign w:val="superscript"/>
              </w:rPr>
              <w:t>(1)</w:t>
            </w:r>
          </w:p>
        </w:tc>
        <w:tc>
          <w:tcPr>
            <w:tcW w:w="100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b w:val="1"/>
                <w:bCs w:val="1"/>
                <w:color w:val="auto"/>
              </w:rPr>
              <w:t>(28)%</w:t>
            </w:r>
          </w:p>
        </w:tc>
        <w:tc>
          <w:tcPr>
            <w:tcW w:w="98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(74)%</w:t>
            </w:r>
          </w:p>
        </w:tc>
        <w:tc>
          <w:tcPr>
            <w:tcW w:w="92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w:t>
            </w:r>
          </w:p>
        </w:tc>
        <w:tc>
          <w:tcPr>
            <w:tcW w:w="104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(199)%</w:t>
            </w: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financial (income) expenses</w:t>
            </w:r>
          </w:p>
        </w:tc>
        <w:tc>
          <w:tcPr>
            <w:tcW w:w="100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b w:val="1"/>
                <w:bCs w:val="1"/>
                <w:color w:val="auto"/>
              </w:rPr>
              <w:t>44,800</w:t>
            </w:r>
          </w:p>
        </w:tc>
        <w:tc>
          <w:tcPr>
            <w:tcW w:w="98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(7,128)</w:t>
            </w:r>
          </w:p>
        </w:tc>
        <w:tc>
          <w:tcPr>
            <w:tcW w:w="92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51,928</w:t>
            </w:r>
          </w:p>
        </w:tc>
        <w:tc>
          <w:tcPr>
            <w:tcW w:w="10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729%</w:t>
            </w:r>
          </w:p>
        </w:tc>
        <w:tc>
          <w:tcPr>
            <w:tcW w:w="1060" w:type="dxa"/>
            <w:vAlign w:val="bottom"/>
            <w:gridSpan w:val="2"/>
          </w:tcPr>
          <w:p>
            <w:pPr>
              <w:jc w:val="right"/>
              <w:ind w:right="236"/>
              <w:spacing w:after="0"/>
              <w:rPr>
                <w:sz w:val="20"/>
                <w:szCs w:val="20"/>
                <w:color w:val="auto"/>
              </w:rPr>
            </w:pPr>
            <w:r>
              <w:rPr>
                <w:rFonts w:ascii="Times New Roman" w:cs="Times New Roman" w:eastAsia="Times New Roman" w:hAnsi="Times New Roman"/>
                <w:sz w:val="18"/>
                <w:szCs w:val="18"/>
                <w:b w:val="1"/>
                <w:bCs w:val="1"/>
                <w:color w:val="auto"/>
              </w:rPr>
              <w:t>32,308</w:t>
            </w:r>
          </w:p>
        </w:tc>
        <w:tc>
          <w:tcPr>
            <w:tcW w:w="104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(90,966)</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123,274</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0" w:type="dxa"/>
            <w:vAlign w:val="bottom"/>
          </w:tcPr>
          <w:p>
            <w:pPr>
              <w:spacing w:after="0"/>
              <w:rPr>
                <w:sz w:val="1"/>
                <w:szCs w:val="1"/>
                <w:color w:val="auto"/>
              </w:rPr>
            </w:pPr>
          </w:p>
        </w:tc>
      </w:tr>
      <w:tr>
        <w:trPr>
          <w:trHeight w:val="216"/>
        </w:trPr>
        <w:tc>
          <w:tcPr>
            <w:tcW w:w="3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 before income taxes</w:t>
            </w:r>
          </w:p>
        </w:tc>
        <w:tc>
          <w:tcPr>
            <w:tcW w:w="100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b w:val="1"/>
                <w:bCs w:val="1"/>
                <w:color w:val="auto"/>
              </w:rPr>
              <w:t>(57,537)</w:t>
            </w:r>
          </w:p>
        </w:tc>
        <w:tc>
          <w:tcPr>
            <w:tcW w:w="98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(12,893)</w:t>
            </w:r>
          </w:p>
        </w:tc>
        <w:tc>
          <w:tcPr>
            <w:tcW w:w="9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(44,644)</w:t>
            </w:r>
          </w:p>
        </w:tc>
        <w:tc>
          <w:tcPr>
            <w:tcW w:w="106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346%</w:t>
            </w:r>
          </w:p>
        </w:tc>
        <w:tc>
          <w:tcPr>
            <w:tcW w:w="1060" w:type="dxa"/>
            <w:vAlign w:val="bottom"/>
            <w:gridSpan w:val="2"/>
            <w:shd w:val="clear" w:color="auto" w:fill="CCEEFF"/>
          </w:tcPr>
          <w:p>
            <w:pPr>
              <w:jc w:val="right"/>
              <w:ind w:right="176"/>
              <w:spacing w:after="0"/>
              <w:rPr>
                <w:sz w:val="20"/>
                <w:szCs w:val="20"/>
                <w:color w:val="auto"/>
              </w:rPr>
            </w:pPr>
            <w:r>
              <w:rPr>
                <w:rFonts w:ascii="Times New Roman" w:cs="Times New Roman" w:eastAsia="Times New Roman" w:hAnsi="Times New Roman"/>
                <w:sz w:val="18"/>
                <w:szCs w:val="18"/>
                <w:b w:val="1"/>
                <w:bCs w:val="1"/>
                <w:color w:val="auto"/>
              </w:rPr>
              <w:t>(104,437)</w:t>
            </w:r>
          </w:p>
        </w:tc>
        <w:tc>
          <w:tcPr>
            <w:tcW w:w="104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(193,056)</w:t>
            </w: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88,619</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16"/>
        </w:trPr>
        <w:tc>
          <w:tcPr>
            <w:tcW w:w="3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 recovery</w:t>
            </w:r>
          </w:p>
        </w:tc>
        <w:tc>
          <w:tcPr>
            <w:tcW w:w="100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b w:val="1"/>
                <w:bCs w:val="1"/>
                <w:color w:val="auto"/>
              </w:rPr>
              <w:t>(378)</w:t>
            </w:r>
          </w:p>
        </w:tc>
        <w:tc>
          <w:tcPr>
            <w:tcW w:w="98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191</w:t>
            </w:r>
          </w:p>
        </w:tc>
        <w:tc>
          <w:tcPr>
            <w:tcW w:w="9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(569)</w:t>
            </w:r>
          </w:p>
        </w:tc>
        <w:tc>
          <w:tcPr>
            <w:tcW w:w="10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(298)%</w:t>
            </w:r>
          </w:p>
        </w:tc>
        <w:tc>
          <w:tcPr>
            <w:tcW w:w="1060" w:type="dxa"/>
            <w:vAlign w:val="bottom"/>
            <w:gridSpan w:val="2"/>
          </w:tcPr>
          <w:p>
            <w:pPr>
              <w:jc w:val="right"/>
              <w:ind w:right="176"/>
              <w:spacing w:after="0"/>
              <w:rPr>
                <w:sz w:val="20"/>
                <w:szCs w:val="20"/>
                <w:color w:val="auto"/>
              </w:rPr>
            </w:pPr>
            <w:r>
              <w:rPr>
                <w:rFonts w:ascii="Times New Roman" w:cs="Times New Roman" w:eastAsia="Times New Roman" w:hAnsi="Times New Roman"/>
                <w:sz w:val="18"/>
                <w:szCs w:val="18"/>
                <w:b w:val="1"/>
                <w:bCs w:val="1"/>
                <w:color w:val="auto"/>
              </w:rPr>
              <w:t>(401)</w:t>
            </w:r>
          </w:p>
        </w:tc>
        <w:tc>
          <w:tcPr>
            <w:tcW w:w="104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(17,412)</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17,011</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216"/>
        </w:trPr>
        <w:tc>
          <w:tcPr>
            <w:tcW w:w="3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00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b w:val="1"/>
                <w:bCs w:val="1"/>
                <w:color w:val="auto"/>
              </w:rPr>
              <w:t>(57,159)</w:t>
            </w:r>
          </w:p>
        </w:tc>
        <w:tc>
          <w:tcPr>
            <w:tcW w:w="98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(13,084)</w:t>
            </w:r>
          </w:p>
        </w:tc>
        <w:tc>
          <w:tcPr>
            <w:tcW w:w="9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(44,075)</w:t>
            </w:r>
          </w:p>
        </w:tc>
        <w:tc>
          <w:tcPr>
            <w:tcW w:w="106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337%</w:t>
            </w:r>
          </w:p>
        </w:tc>
        <w:tc>
          <w:tcPr>
            <w:tcW w:w="1060" w:type="dxa"/>
            <w:vAlign w:val="bottom"/>
            <w:gridSpan w:val="2"/>
            <w:shd w:val="clear" w:color="auto" w:fill="CCEEFF"/>
          </w:tcPr>
          <w:p>
            <w:pPr>
              <w:jc w:val="right"/>
              <w:ind w:right="176"/>
              <w:spacing w:after="0"/>
              <w:rPr>
                <w:sz w:val="20"/>
                <w:szCs w:val="20"/>
                <w:color w:val="auto"/>
              </w:rPr>
            </w:pPr>
            <w:r>
              <w:rPr>
                <w:rFonts w:ascii="Times New Roman" w:cs="Times New Roman" w:eastAsia="Times New Roman" w:hAnsi="Times New Roman"/>
                <w:sz w:val="18"/>
                <w:szCs w:val="18"/>
                <w:b w:val="1"/>
                <w:bCs w:val="1"/>
                <w:color w:val="auto"/>
              </w:rPr>
              <w:t>(104,036)</w:t>
            </w:r>
          </w:p>
        </w:tc>
        <w:tc>
          <w:tcPr>
            <w:tcW w:w="104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(175,644)</w:t>
            </w: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71,608</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198"/>
        </w:trPr>
        <w:tc>
          <w:tcPr>
            <w:tcW w:w="32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Basic and diluted loss per share (in U.S.</w:t>
            </w:r>
          </w:p>
        </w:tc>
        <w:tc>
          <w:tcPr>
            <w:tcW w:w="1000" w:type="dxa"/>
            <w:vAlign w:val="bottom"/>
            <w:gridSpan w:val="2"/>
            <w:vMerge w:val="restart"/>
          </w:tcPr>
          <w:p>
            <w:pPr>
              <w:jc w:val="right"/>
              <w:ind w:right="181"/>
              <w:spacing w:after="0"/>
              <w:rPr>
                <w:sz w:val="20"/>
                <w:szCs w:val="20"/>
                <w:color w:val="auto"/>
              </w:rPr>
            </w:pPr>
            <w:r>
              <w:rPr>
                <w:rFonts w:ascii="Times New Roman" w:cs="Times New Roman" w:eastAsia="Times New Roman" w:hAnsi="Times New Roman"/>
                <w:sz w:val="18"/>
                <w:szCs w:val="18"/>
                <w:b w:val="1"/>
                <w:bCs w:val="1"/>
                <w:color w:val="auto"/>
              </w:rPr>
              <w:t>(0.19)</w:t>
            </w: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gridSpan w:val="2"/>
            <w:vMerge w:val="restart"/>
          </w:tcPr>
          <w:p>
            <w:pPr>
              <w:jc w:val="right"/>
              <w:ind w:right="176"/>
              <w:spacing w:after="0"/>
              <w:rPr>
                <w:sz w:val="20"/>
                <w:szCs w:val="20"/>
                <w:color w:val="auto"/>
              </w:rPr>
            </w:pPr>
            <w:r>
              <w:rPr>
                <w:rFonts w:ascii="Times New Roman" w:cs="Times New Roman" w:eastAsia="Times New Roman" w:hAnsi="Times New Roman"/>
                <w:sz w:val="18"/>
                <w:szCs w:val="18"/>
                <w:b w:val="1"/>
                <w:bCs w:val="1"/>
                <w:color w:val="auto"/>
              </w:rPr>
              <w:t>(0.40)</w:t>
            </w: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dollars)</w:t>
            </w:r>
          </w:p>
        </w:tc>
        <w:tc>
          <w:tcPr>
            <w:tcW w:w="1000" w:type="dxa"/>
            <w:vAlign w:val="bottom"/>
            <w:gridSpan w:val="2"/>
            <w:vMerge w:val="continue"/>
          </w:tcPr>
          <w:p>
            <w:pPr>
              <w:spacing w:after="0"/>
              <w:rPr>
                <w:sz w:val="20"/>
                <w:szCs w:val="20"/>
                <w:color w:val="auto"/>
              </w:rPr>
            </w:pPr>
          </w:p>
        </w:tc>
        <w:tc>
          <w:tcPr>
            <w:tcW w:w="98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(0.06)</w:t>
            </w:r>
          </w:p>
        </w:tc>
        <w:tc>
          <w:tcPr>
            <w:tcW w:w="92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vMerge w:val="continue"/>
          </w:tcPr>
          <w:p>
            <w:pPr>
              <w:spacing w:after="0"/>
              <w:rPr>
                <w:sz w:val="20"/>
                <w:szCs w:val="20"/>
                <w:color w:val="auto"/>
              </w:rPr>
            </w:pPr>
          </w:p>
        </w:tc>
        <w:tc>
          <w:tcPr>
            <w:tcW w:w="104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(0.85)</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32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Change in revaluation surplus - digital</w:t>
            </w:r>
          </w:p>
        </w:tc>
        <w:tc>
          <w:tcPr>
            <w:tcW w:w="6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32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assets, net of tax</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7,675</w:t>
            </w:r>
          </w:p>
        </w:tc>
        <w:tc>
          <w:tcPr>
            <w:tcW w:w="32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7,675</w:t>
            </w:r>
          </w:p>
        </w:tc>
        <w:tc>
          <w:tcPr>
            <w:tcW w:w="106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100%</w:t>
            </w:r>
          </w:p>
        </w:tc>
        <w:tc>
          <w:tcPr>
            <w:tcW w:w="1060" w:type="dxa"/>
            <w:vAlign w:val="bottom"/>
            <w:gridSpan w:val="2"/>
            <w:shd w:val="clear" w:color="auto" w:fill="CCEEFF"/>
          </w:tcPr>
          <w:p>
            <w:pPr>
              <w:jc w:val="right"/>
              <w:ind w:right="236"/>
              <w:spacing w:after="0"/>
              <w:rPr>
                <w:sz w:val="20"/>
                <w:szCs w:val="20"/>
                <w:color w:val="auto"/>
              </w:rPr>
            </w:pPr>
            <w:r>
              <w:rPr>
                <w:rFonts w:ascii="Times New Roman" w:cs="Times New Roman" w:eastAsia="Times New Roman" w:hAnsi="Times New Roman"/>
                <w:sz w:val="18"/>
                <w:szCs w:val="18"/>
                <w:b w:val="1"/>
                <w:bCs w:val="1"/>
                <w:color w:val="auto"/>
              </w:rPr>
              <w:t>9,242</w:t>
            </w:r>
          </w:p>
        </w:tc>
        <w:tc>
          <w:tcPr>
            <w:tcW w:w="104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9,242</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0"/>
        </w:trPr>
        <w:tc>
          <w:tcPr>
            <w:tcW w:w="3260" w:type="dxa"/>
            <w:vAlign w:val="bottom"/>
            <w:tcBorders>
              <w:top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comprehensive loss, net of tax</w:t>
            </w: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CEEFF"/>
            </w:tcBorders>
            <w:vMerge w:val="restart"/>
          </w:tcPr>
          <w:p>
            <w:pPr>
              <w:jc w:val="right"/>
              <w:ind w:right="1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tcBorders>
            <w:vMerge w:val="restart"/>
          </w:tcPr>
          <w:p>
            <w:pPr>
              <w:jc w:val="right"/>
              <w:ind w:right="161"/>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vMerge w:val="restart"/>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tcBorders>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w w:val="93"/>
              </w:rPr>
              <w:t>%</w:t>
            </w: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CEEFF"/>
            </w:tcBorders>
            <w:vMerge w:val="restart"/>
          </w:tcPr>
          <w:p>
            <w:pPr>
              <w:jc w:val="right"/>
              <w:ind w:right="176"/>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tcBorders>
            <w:vMerge w:val="restart"/>
          </w:tcPr>
          <w:p>
            <w:pPr>
              <w:jc w:val="right"/>
              <w:ind w:right="161"/>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w w:val="95"/>
              </w:rPr>
              <w:t>)%</w:t>
            </w:r>
          </w:p>
        </w:tc>
        <w:tc>
          <w:tcPr>
            <w:tcW w:w="0" w:type="dxa"/>
            <w:vAlign w:val="bottom"/>
          </w:tcPr>
          <w:p>
            <w:pPr>
              <w:spacing w:after="0" w:line="20" w:lineRule="exact"/>
              <w:rPr>
                <w:sz w:val="1"/>
                <w:szCs w:val="1"/>
                <w:color w:val="auto"/>
              </w:rPr>
            </w:pPr>
          </w:p>
        </w:tc>
      </w:tr>
      <w:tr>
        <w:trPr>
          <w:trHeight w:val="257"/>
        </w:trPr>
        <w:tc>
          <w:tcPr>
            <w:tcW w:w="3260" w:type="dxa"/>
            <w:vAlign w:val="bottom"/>
            <w:gridSpan w:val="2"/>
            <w:vMerge w:val="continue"/>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(49,484</w:t>
            </w:r>
          </w:p>
        </w:tc>
        <w:tc>
          <w:tcPr>
            <w:tcW w:w="320" w:type="dxa"/>
            <w:vAlign w:val="bottom"/>
            <w:vMerge w:val="continue"/>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(13,084</w:t>
            </w:r>
          </w:p>
        </w:tc>
        <w:tc>
          <w:tcPr>
            <w:tcW w:w="300" w:type="dxa"/>
            <w:vAlign w:val="bottom"/>
            <w:vMerge w:val="continue"/>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(36,400</w:t>
            </w:r>
          </w:p>
        </w:tc>
        <w:tc>
          <w:tcPr>
            <w:tcW w:w="180" w:type="dxa"/>
            <w:vAlign w:val="bottom"/>
            <w:vMerge w:val="continue"/>
          </w:tcPr>
          <w:p>
            <w:pPr>
              <w:spacing w:after="0"/>
              <w:rPr>
                <w:sz w:val="22"/>
                <w:szCs w:val="2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300" w:type="dxa"/>
            <w:vAlign w:val="bottom"/>
            <w:vMerge w:val="continue"/>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(94,794</w:t>
            </w:r>
          </w:p>
        </w:tc>
        <w:tc>
          <w:tcPr>
            <w:tcW w:w="320" w:type="dxa"/>
            <w:vAlign w:val="bottom"/>
            <w:vMerge w:val="continue"/>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(175,644</w:t>
            </w:r>
          </w:p>
        </w:tc>
        <w:tc>
          <w:tcPr>
            <w:tcW w:w="300" w:type="dxa"/>
            <w:vAlign w:val="bottom"/>
            <w:vMerge w:val="continue"/>
          </w:tcPr>
          <w:p>
            <w:pPr>
              <w:spacing w:after="0"/>
              <w:rPr>
                <w:sz w:val="22"/>
                <w:szCs w:val="22"/>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80,850</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260" w:type="dxa"/>
            <w:vAlign w:val="bottom"/>
            <w:tcBorders>
              <w:top w:val="single" w:sz="8" w:color="CCEEFF"/>
            </w:tcBorders>
            <w:gridSpan w:val="2"/>
            <w:vMerge w:val="restart"/>
            <w:shd w:val="clear" w:color="auto" w:fill="CCEEFF"/>
          </w:tcPr>
          <w:p>
            <w:pPr>
              <w:spacing w:after="0" w:line="236" w:lineRule="exact"/>
              <w:rPr>
                <w:sz w:val="20"/>
                <w:szCs w:val="20"/>
                <w:color w:val="auto"/>
              </w:rPr>
            </w:pPr>
            <w:r>
              <w:rPr>
                <w:rFonts w:ascii="Times New Roman" w:cs="Times New Roman" w:eastAsia="Times New Roman" w:hAnsi="Times New Roman"/>
                <w:sz w:val="17"/>
                <w:szCs w:val="17"/>
                <w:color w:val="auto"/>
              </w:rPr>
              <w:t xml:space="preserve">Gross Mining profit </w:t>
            </w:r>
            <w:r>
              <w:rPr>
                <w:rFonts w:ascii="Times New Roman" w:cs="Times New Roman" w:eastAsia="Times New Roman" w:hAnsi="Times New Roman"/>
                <w:sz w:val="27"/>
                <w:szCs w:val="27"/>
                <w:color w:val="auto"/>
                <w:vertAlign w:val="superscript"/>
              </w:rPr>
              <w:t>(2)</w:t>
            </w: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CEEFF"/>
            </w:tcBorders>
            <w:vMerge w:val="restart"/>
            <w:shd w:val="clear" w:color="auto" w:fill="CCEEFF"/>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tcBorders>
            <w:vMerge w:val="restart"/>
            <w:shd w:val="clear" w:color="auto" w:fill="CCEEFF"/>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vMerge w:val="restart"/>
            <w:shd w:val="clear" w:color="auto" w:fill="CCEEFF"/>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CEEFF"/>
            </w:tcBorders>
            <w:vMerge w:val="restart"/>
            <w:shd w:val="clear" w:color="auto" w:fill="CCEEFF"/>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tcBorders>
            <w:vMerge w:val="restart"/>
            <w:shd w:val="clear" w:color="auto" w:fill="CCEEFF"/>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vMerge w:val="restart"/>
            <w:shd w:val="clear" w:color="auto" w:fill="CCEEFF"/>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line="20" w:lineRule="exact"/>
              <w:rPr>
                <w:sz w:val="1"/>
                <w:szCs w:val="1"/>
                <w:color w:val="auto"/>
              </w:rPr>
            </w:pPr>
          </w:p>
        </w:tc>
      </w:tr>
      <w:tr>
        <w:trPr>
          <w:trHeight w:val="216"/>
        </w:trPr>
        <w:tc>
          <w:tcPr>
            <w:tcW w:w="3260" w:type="dxa"/>
            <w:vAlign w:val="bottom"/>
            <w:gridSpan w:val="2"/>
            <w:vMerge w:val="continue"/>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23,357</w:t>
            </w:r>
          </w:p>
        </w:tc>
        <w:tc>
          <w:tcPr>
            <w:tcW w:w="320" w:type="dxa"/>
            <w:vAlign w:val="bottom"/>
            <w:vMerge w:val="continue"/>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8,494</w:t>
            </w:r>
          </w:p>
        </w:tc>
        <w:tc>
          <w:tcPr>
            <w:tcW w:w="300" w:type="dxa"/>
            <w:vAlign w:val="bottom"/>
            <w:vMerge w:val="continue"/>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14,863</w:t>
            </w:r>
          </w:p>
        </w:tc>
        <w:tc>
          <w:tcPr>
            <w:tcW w:w="180" w:type="dxa"/>
            <w:vAlign w:val="bottom"/>
            <w:vMerge w:val="continue"/>
            <w:shd w:val="clear" w:color="auto" w:fill="CCEEFF"/>
          </w:tcPr>
          <w:p>
            <w:pPr>
              <w:spacing w:after="0"/>
              <w:rPr>
                <w:sz w:val="18"/>
                <w:szCs w:val="18"/>
                <w:color w:val="auto"/>
              </w:rPr>
            </w:pPr>
          </w:p>
        </w:tc>
        <w:tc>
          <w:tcPr>
            <w:tcW w:w="106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175%</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62,374</w:t>
            </w:r>
          </w:p>
        </w:tc>
        <w:tc>
          <w:tcPr>
            <w:tcW w:w="320" w:type="dxa"/>
            <w:vAlign w:val="bottom"/>
            <w:vMerge w:val="continue"/>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82,584</w:t>
            </w:r>
          </w:p>
        </w:tc>
        <w:tc>
          <w:tcPr>
            <w:tcW w:w="300" w:type="dxa"/>
            <w:vAlign w:val="bottom"/>
            <w:vMerge w:val="continue"/>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(20,210)</w:t>
            </w:r>
          </w:p>
        </w:tc>
        <w:tc>
          <w:tcPr>
            <w:tcW w:w="200" w:type="dxa"/>
            <w:vAlign w:val="bottom"/>
            <w:vMerge w:val="continue"/>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326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 xml:space="preserve">Gross Mining margin </w:t>
            </w:r>
            <w:r>
              <w:rPr>
                <w:rFonts w:ascii="Times New Roman" w:cs="Times New Roman" w:eastAsia="Times New Roman" w:hAnsi="Times New Roman"/>
                <w:sz w:val="29"/>
                <w:szCs w:val="29"/>
                <w:color w:val="auto"/>
                <w:vertAlign w:val="superscript"/>
              </w:rPr>
              <w:t>(2)</w:t>
            </w:r>
          </w:p>
        </w:tc>
        <w:tc>
          <w:tcPr>
            <w:tcW w:w="10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52%</w:t>
            </w:r>
          </w:p>
        </w:tc>
        <w:tc>
          <w:tcPr>
            <w:tcW w:w="9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33%</w:t>
            </w:r>
          </w:p>
        </w:tc>
        <w:tc>
          <w:tcPr>
            <w:tcW w:w="92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b w:val="1"/>
                <w:bCs w:val="1"/>
                <w:color w:val="auto"/>
              </w:rPr>
              <w:t>44%</w:t>
            </w:r>
          </w:p>
        </w:tc>
        <w:tc>
          <w:tcPr>
            <w:tcW w:w="10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59%</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326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EBITDA </w:t>
            </w:r>
            <w:r>
              <w:rPr>
                <w:rFonts w:ascii="Times New Roman" w:cs="Times New Roman" w:eastAsia="Times New Roman" w:hAnsi="Times New Roman"/>
                <w:sz w:val="29"/>
                <w:szCs w:val="29"/>
                <w:color w:val="auto"/>
                <w:vertAlign w:val="superscript"/>
              </w:rPr>
              <w:t>(2)</w:t>
            </w:r>
          </w:p>
        </w:tc>
        <w:tc>
          <w:tcPr>
            <w:tcW w:w="100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b w:val="1"/>
                <w:bCs w:val="1"/>
                <w:color w:val="auto"/>
              </w:rPr>
              <w:t>(35,656)</w:t>
            </w:r>
          </w:p>
        </w:tc>
        <w:tc>
          <w:tcPr>
            <w:tcW w:w="98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10,955</w:t>
            </w:r>
          </w:p>
        </w:tc>
        <w:tc>
          <w:tcPr>
            <w:tcW w:w="9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(46,611)</w:t>
            </w:r>
          </w:p>
        </w:tc>
        <w:tc>
          <w:tcPr>
            <w:tcW w:w="10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(425)%</w:t>
            </w:r>
          </w:p>
        </w:tc>
        <w:tc>
          <w:tcPr>
            <w:tcW w:w="1060" w:type="dxa"/>
            <w:vAlign w:val="bottom"/>
            <w:gridSpan w:val="2"/>
            <w:shd w:val="clear" w:color="auto" w:fill="CCEEFF"/>
          </w:tcPr>
          <w:p>
            <w:pPr>
              <w:jc w:val="right"/>
              <w:ind w:right="176"/>
              <w:spacing w:after="0"/>
              <w:rPr>
                <w:sz w:val="20"/>
                <w:szCs w:val="20"/>
                <w:color w:val="auto"/>
              </w:rPr>
            </w:pPr>
            <w:r>
              <w:rPr>
                <w:rFonts w:ascii="Times New Roman" w:cs="Times New Roman" w:eastAsia="Times New Roman" w:hAnsi="Times New Roman"/>
                <w:sz w:val="18"/>
                <w:szCs w:val="18"/>
                <w:b w:val="1"/>
                <w:bCs w:val="1"/>
                <w:color w:val="auto"/>
              </w:rPr>
              <w:t>(16,993)</w:t>
            </w:r>
          </w:p>
        </w:tc>
        <w:tc>
          <w:tcPr>
            <w:tcW w:w="104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(106,871)</w:t>
            </w: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89,878</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57"/>
        </w:trPr>
        <w:tc>
          <w:tcPr>
            <w:tcW w:w="326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 xml:space="preserve">EBITDA margin </w:t>
            </w:r>
            <w:r>
              <w:rPr>
                <w:rFonts w:ascii="Times New Roman" w:cs="Times New Roman" w:eastAsia="Times New Roman" w:hAnsi="Times New Roman"/>
                <w:sz w:val="29"/>
                <w:szCs w:val="29"/>
                <w:color w:val="auto"/>
                <w:vertAlign w:val="superscript"/>
              </w:rPr>
              <w:t>(2)</w:t>
            </w:r>
          </w:p>
        </w:tc>
        <w:tc>
          <w:tcPr>
            <w:tcW w:w="100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b w:val="1"/>
                <w:bCs w:val="1"/>
                <w:color w:val="auto"/>
              </w:rPr>
              <w:t>(77)%</w:t>
            </w:r>
          </w:p>
        </w:tc>
        <w:tc>
          <w:tcPr>
            <w:tcW w:w="9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41%</w:t>
            </w:r>
          </w:p>
        </w:tc>
        <w:tc>
          <w:tcPr>
            <w:tcW w:w="92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c>
          <w:tcPr>
            <w:tcW w:w="104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(75)%</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326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Adjusted EBITDA </w:t>
            </w:r>
            <w:r>
              <w:rPr>
                <w:rFonts w:ascii="Times New Roman" w:cs="Times New Roman" w:eastAsia="Times New Roman" w:hAnsi="Times New Roman"/>
                <w:sz w:val="29"/>
                <w:szCs w:val="29"/>
                <w:color w:val="auto"/>
                <w:vertAlign w:val="superscript"/>
              </w:rPr>
              <w:t>(2)</w:t>
            </w:r>
          </w:p>
        </w:tc>
        <w:tc>
          <w:tcPr>
            <w:tcW w:w="100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b w:val="1"/>
                <w:bCs w:val="1"/>
                <w:color w:val="auto"/>
              </w:rPr>
              <w:t>14,048</w:t>
            </w:r>
          </w:p>
        </w:tc>
        <w:tc>
          <w:tcPr>
            <w:tcW w:w="98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1,982</w:t>
            </w:r>
          </w:p>
        </w:tc>
        <w:tc>
          <w:tcPr>
            <w:tcW w:w="92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12,066</w:t>
            </w:r>
          </w:p>
        </w:tc>
        <w:tc>
          <w:tcPr>
            <w:tcW w:w="106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609%</w:t>
            </w:r>
          </w:p>
        </w:tc>
        <w:tc>
          <w:tcPr>
            <w:tcW w:w="1060" w:type="dxa"/>
            <w:vAlign w:val="bottom"/>
            <w:gridSpan w:val="2"/>
            <w:shd w:val="clear" w:color="auto" w:fill="CCEEFF"/>
          </w:tcPr>
          <w:p>
            <w:pPr>
              <w:jc w:val="right"/>
              <w:ind w:right="236"/>
              <w:spacing w:after="0"/>
              <w:rPr>
                <w:sz w:val="20"/>
                <w:szCs w:val="20"/>
                <w:color w:val="auto"/>
              </w:rPr>
            </w:pPr>
            <w:r>
              <w:rPr>
                <w:rFonts w:ascii="Times New Roman" w:cs="Times New Roman" w:eastAsia="Times New Roman" w:hAnsi="Times New Roman"/>
                <w:sz w:val="18"/>
                <w:szCs w:val="18"/>
                <w:b w:val="1"/>
                <w:bCs w:val="1"/>
                <w:color w:val="auto"/>
              </w:rPr>
              <w:t>35,085</w:t>
            </w:r>
          </w:p>
        </w:tc>
        <w:tc>
          <w:tcPr>
            <w:tcW w:w="104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54,686</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(19,601)</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394"/>
        </w:trPr>
        <w:tc>
          <w:tcPr>
            <w:tcW w:w="3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Adjusted EBITDA margin </w:t>
            </w:r>
            <w:r>
              <w:rPr>
                <w:rFonts w:ascii="Times New Roman" w:cs="Times New Roman" w:eastAsia="Times New Roman" w:hAnsi="Times New Roman"/>
                <w:sz w:val="29"/>
                <w:szCs w:val="29"/>
                <w:color w:val="auto"/>
                <w:vertAlign w:val="superscript"/>
              </w:rPr>
              <w:t>(2)</w:t>
            </w:r>
          </w:p>
        </w:tc>
        <w:tc>
          <w:tcPr>
            <w:tcW w:w="10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30%</w:t>
            </w:r>
          </w:p>
        </w:tc>
        <w:tc>
          <w:tcPr>
            <w:tcW w:w="9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7%</w:t>
            </w:r>
          </w:p>
        </w:tc>
        <w:tc>
          <w:tcPr>
            <w:tcW w:w="92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b w:val="1"/>
                <w:bCs w:val="1"/>
                <w:color w:val="auto"/>
              </w:rPr>
              <w:t>24%</w:t>
            </w:r>
          </w:p>
        </w:tc>
        <w:tc>
          <w:tcPr>
            <w:tcW w:w="10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38%</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178308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79" w:lineRule="exact"/>
        <w:rPr>
          <w:sz w:val="20"/>
          <w:szCs w:val="20"/>
          <w:color w:val="auto"/>
        </w:rPr>
      </w:pPr>
    </w:p>
    <w:p>
      <w:pPr>
        <w:ind w:left="340" w:hanging="332"/>
        <w:spacing w:after="0"/>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Gross margin and Operating margin are supplemental financial ratios; refer to section 10 - </w:t>
      </w:r>
      <w:r>
        <w:rPr>
          <w:rFonts w:ascii="Times New Roman" w:cs="Times New Roman" w:eastAsia="Times New Roman" w:hAnsi="Times New Roman"/>
          <w:sz w:val="18"/>
          <w:szCs w:val="18"/>
          <w:i w:val="1"/>
          <w:iCs w:val="1"/>
          <w:color w:val="auto"/>
        </w:rPr>
        <w:t>Non-IFRS and Other Financial Measures and Ratios</w:t>
      </w:r>
      <w:r>
        <w:rPr>
          <w:rFonts w:ascii="Times New Roman" w:cs="Times New Roman" w:eastAsia="Times New Roman" w:hAnsi="Times New Roman"/>
          <w:sz w:val="18"/>
          <w:szCs w:val="18"/>
          <w:color w:val="auto"/>
        </w:rPr>
        <w:t xml:space="preserve"> of the</w:t>
      </w:r>
    </w:p>
    <w:p>
      <w:pPr>
        <w:spacing w:after="0" w:line="227" w:lineRule="exact"/>
        <w:rPr>
          <w:sz w:val="20"/>
          <w:szCs w:val="20"/>
          <w:color w:val="auto"/>
        </w:rPr>
      </w:pPr>
    </w:p>
    <w:p>
      <w:pPr>
        <w:ind w:left="340" w:hanging="332"/>
        <w:spacing w:after="0" w:line="261" w:lineRule="auto"/>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Gross Mining profit, Gross Mining margin, EBITDA, EBITDA margin, Adjusted EBITDA and Adjusted EBITDA margin are non-IFRS measures or ratios; refer to section 10 - </w:t>
      </w:r>
      <w:r>
        <w:rPr>
          <w:rFonts w:ascii="Times New Roman" w:cs="Times New Roman" w:eastAsia="Times New Roman" w:hAnsi="Times New Roman"/>
          <w:sz w:val="18"/>
          <w:szCs w:val="18"/>
          <w:i w:val="1"/>
          <w:iCs w:val="1"/>
          <w:color w:val="auto"/>
        </w:rPr>
        <w:t>Non-IFRS and Other Financial Measures and Ratios</w:t>
      </w:r>
      <w:r>
        <w:rPr>
          <w:rFonts w:ascii="Times New Roman" w:cs="Times New Roman" w:eastAsia="Times New Roman" w:hAnsi="Times New Roman"/>
          <w:sz w:val="18"/>
          <w:szCs w:val="18"/>
          <w:color w:val="auto"/>
        </w:rPr>
        <w:t xml:space="preserve"> of the Company’s </w:t>
      </w:r>
      <w:r>
        <w:rPr>
          <w:rFonts w:ascii="Times New Roman" w:cs="Times New Roman" w:eastAsia="Times New Roman" w:hAnsi="Times New Roman"/>
          <w:sz w:val="18"/>
          <w:szCs w:val="18"/>
          <w:i w:val="1"/>
          <w:iCs w:val="1"/>
          <w:color w:val="auto"/>
        </w:rPr>
        <w:t>MD&amp;A.</w:t>
      </w:r>
    </w:p>
    <w:p>
      <w:pPr>
        <w:ind w:left="340" w:hanging="332"/>
        <w:spacing w:after="0" w:line="260" w:lineRule="auto"/>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Prior year figures are derived from restated financial statements. Refer to the 2023 annual financial statements Note 3e - </w:t>
      </w:r>
      <w:r>
        <w:rPr>
          <w:rFonts w:ascii="Times New Roman" w:cs="Times New Roman" w:eastAsia="Times New Roman" w:hAnsi="Times New Roman"/>
          <w:sz w:val="18"/>
          <w:szCs w:val="18"/>
          <w:i w:val="1"/>
          <w:iCs w:val="1"/>
          <w:color w:val="auto"/>
        </w:rPr>
        <w:t>Basis of Presentation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Material Accounting Policy Information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2022 Restatement.</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38"/>
        </w:trPr>
        <w:tc>
          <w:tcPr>
            <w:tcW w:w="9440" w:type="dxa"/>
            <w:vAlign w:val="bottom"/>
            <w:gridSpan w:val="13"/>
          </w:tcPr>
          <w:p>
            <w:pPr>
              <w:ind w:left="1840"/>
              <w:spacing w:after="0"/>
              <w:rPr>
                <w:sz w:val="20"/>
                <w:szCs w:val="20"/>
                <w:color w:val="auto"/>
              </w:rPr>
            </w:pPr>
            <w:r>
              <w:rPr>
                <w:rFonts w:ascii="Times New Roman" w:cs="Times New Roman" w:eastAsia="Times New Roman" w:hAnsi="Times New Roman"/>
                <w:sz w:val="18"/>
                <w:szCs w:val="18"/>
                <w:b w:val="1"/>
                <w:bCs w:val="1"/>
                <w:color w:val="auto"/>
              </w:rPr>
              <w:t>Bitfarms Ltd. Reconciliation of Consolidated Net Income (loss) to EBITDA and Adjusted EBITDA</w:t>
            </w: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3780" w:type="dxa"/>
            <w:vAlign w:val="bottom"/>
          </w:tcPr>
          <w:p>
            <w:pPr>
              <w:spacing w:after="0"/>
              <w:rPr>
                <w:sz w:val="24"/>
                <w:szCs w:val="24"/>
                <w:color w:val="auto"/>
              </w:rPr>
            </w:pPr>
          </w:p>
        </w:tc>
        <w:tc>
          <w:tcPr>
            <w:tcW w:w="3400" w:type="dxa"/>
            <w:vAlign w:val="bottom"/>
            <w:tcBorders>
              <w:bottom w:val="single" w:sz="8" w:color="auto"/>
            </w:tcBorders>
            <w:gridSpan w:val="7"/>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Three months ended December 31,</w:t>
            </w:r>
          </w:p>
        </w:tc>
        <w:tc>
          <w:tcPr>
            <w:tcW w:w="260" w:type="dxa"/>
            <w:vAlign w:val="bottom"/>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5"/>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74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(U.S.$ in thousands except where indicated)</w:t>
            </w:r>
          </w:p>
        </w:tc>
        <w:tc>
          <w:tcPr>
            <w:tcW w:w="6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00" w:type="dxa"/>
            <w:vAlign w:val="bottom"/>
          </w:tcPr>
          <w:p>
            <w:pPr>
              <w:spacing w:after="0"/>
              <w:rPr>
                <w:sz w:val="22"/>
                <w:szCs w:val="22"/>
                <w:color w:val="auto"/>
              </w:rPr>
            </w:pPr>
          </w:p>
        </w:tc>
        <w:tc>
          <w:tcPr>
            <w:tcW w:w="660" w:type="dxa"/>
            <w:vAlign w:val="bottom"/>
          </w:tcPr>
          <w:p>
            <w:pPr>
              <w:jc w:val="right"/>
              <w:spacing w:after="0" w:line="256" w:lineRule="exact"/>
              <w:rPr>
                <w:sz w:val="20"/>
                <w:szCs w:val="20"/>
                <w:color w:val="auto"/>
              </w:rPr>
            </w:pPr>
            <w:r>
              <w:rPr>
                <w:rFonts w:ascii="Times New Roman" w:cs="Times New Roman" w:eastAsia="Times New Roman" w:hAnsi="Times New Roman"/>
                <w:sz w:val="18"/>
                <w:szCs w:val="18"/>
                <w:color w:val="auto"/>
                <w:w w:val="95"/>
              </w:rPr>
              <w:t xml:space="preserve">2022 </w:t>
            </w:r>
            <w:r>
              <w:rPr>
                <w:rFonts w:ascii="Times New Roman" w:cs="Times New Roman" w:eastAsia="Times New Roman" w:hAnsi="Times New Roman"/>
                <w:sz w:val="29"/>
                <w:szCs w:val="29"/>
                <w:color w:val="auto"/>
                <w:w w:val="95"/>
                <w:vertAlign w:val="superscript"/>
              </w:rPr>
              <w:t>(1)</w:t>
            </w:r>
          </w:p>
        </w:tc>
        <w:tc>
          <w:tcPr>
            <w:tcW w:w="2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 Change</w:t>
            </w:r>
          </w:p>
        </w:tc>
        <w:tc>
          <w:tcPr>
            <w:tcW w:w="12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 Change</w:t>
            </w:r>
          </w:p>
        </w:tc>
        <w:tc>
          <w:tcPr>
            <w:tcW w:w="260" w:type="dxa"/>
            <w:vAlign w:val="bottom"/>
          </w:tcPr>
          <w:p>
            <w:pPr>
              <w:spacing w:after="0"/>
              <w:rPr>
                <w:sz w:val="22"/>
                <w:szCs w:val="22"/>
                <w:color w:val="auto"/>
              </w:rPr>
            </w:pPr>
          </w:p>
        </w:tc>
        <w:tc>
          <w:tcPr>
            <w:tcW w:w="72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00" w:type="dxa"/>
            <w:vAlign w:val="bottom"/>
          </w:tcPr>
          <w:p>
            <w:pPr>
              <w:spacing w:after="0"/>
              <w:rPr>
                <w:sz w:val="22"/>
                <w:szCs w:val="22"/>
                <w:color w:val="auto"/>
              </w:rPr>
            </w:pPr>
          </w:p>
        </w:tc>
        <w:tc>
          <w:tcPr>
            <w:tcW w:w="720" w:type="dxa"/>
            <w:vAlign w:val="bottom"/>
          </w:tcPr>
          <w:p>
            <w:pPr>
              <w:jc w:val="right"/>
              <w:spacing w:after="0" w:line="256" w:lineRule="exact"/>
              <w:rPr>
                <w:sz w:val="20"/>
                <w:szCs w:val="20"/>
                <w:color w:val="auto"/>
              </w:rPr>
            </w:pPr>
            <w:r>
              <w:rPr>
                <w:rFonts w:ascii="Times New Roman" w:cs="Times New Roman" w:eastAsia="Times New Roman" w:hAnsi="Times New Roman"/>
                <w:sz w:val="18"/>
                <w:szCs w:val="18"/>
                <w:color w:val="auto"/>
                <w:w w:val="98"/>
              </w:rPr>
              <w:t xml:space="preserve">2022 </w:t>
            </w:r>
            <w:r>
              <w:rPr>
                <w:rFonts w:ascii="Times New Roman" w:cs="Times New Roman" w:eastAsia="Times New Roman" w:hAnsi="Times New Roman"/>
                <w:sz w:val="29"/>
                <w:szCs w:val="29"/>
                <w:color w:val="auto"/>
                <w:w w:val="98"/>
                <w:vertAlign w:val="superscript"/>
              </w:rPr>
              <w:t>(1)</w:t>
            </w:r>
          </w:p>
        </w:tc>
        <w:tc>
          <w:tcPr>
            <w:tcW w:w="26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 Change</w:t>
            </w:r>
          </w:p>
        </w:tc>
        <w:tc>
          <w:tcPr>
            <w:tcW w:w="120" w:type="dxa"/>
            <w:vAlign w:val="bottom"/>
          </w:tcPr>
          <w:p>
            <w:pPr>
              <w:spacing w:after="0"/>
              <w:rPr>
                <w:sz w:val="22"/>
                <w:szCs w:val="22"/>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6"/>
              </w:rPr>
              <w:t>% Change</w:t>
            </w:r>
          </w:p>
        </w:tc>
        <w:tc>
          <w:tcPr>
            <w:tcW w:w="0" w:type="dxa"/>
            <w:vAlign w:val="bottom"/>
          </w:tcPr>
          <w:p>
            <w:pPr>
              <w:spacing w:after="0"/>
              <w:rPr>
                <w:sz w:val="1"/>
                <w:szCs w:val="1"/>
                <w:color w:val="auto"/>
              </w:rPr>
            </w:pPr>
          </w:p>
        </w:tc>
      </w:tr>
      <w:tr>
        <w:trPr>
          <w:trHeight w:val="27"/>
        </w:trPr>
        <w:tc>
          <w:tcPr>
            <w:tcW w:w="3780" w:type="dxa"/>
            <w:vAlign w:val="bottom"/>
            <w:tcBorders>
              <w:right w:val="single" w:sz="8" w:color="CCEEFF"/>
            </w:tcBorders>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vMerge w:val="restart"/>
            <w:shd w:val="clear" w:color="auto" w:fill="CCEEFF"/>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vMerge w:val="restart"/>
            <w:shd w:val="clear" w:color="auto" w:fill="CCEEFF"/>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vMerge w:val="restart"/>
            <w:shd w:val="clear" w:color="auto" w:fill="CCEEFF"/>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60" w:type="dxa"/>
            <w:vAlign w:val="bottom"/>
            <w:vMerge w:val="restart"/>
            <w:shd w:val="clear" w:color="auto" w:fill="CCEEFF"/>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Borders>
              <w:right w:val="single" w:sz="8" w:color="CCEEFF"/>
            </w:tcBorders>
            <w:vMerge w:val="restart"/>
            <w:shd w:val="clear" w:color="auto" w:fill="CCEEFF"/>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7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46,241</w:t>
            </w:r>
          </w:p>
        </w:tc>
        <w:tc>
          <w:tcPr>
            <w:tcW w:w="300" w:type="dxa"/>
            <w:vAlign w:val="bottom"/>
            <w:vMerge w:val="continue"/>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27,037</w:t>
            </w:r>
          </w:p>
        </w:tc>
        <w:tc>
          <w:tcPr>
            <w:tcW w:w="220" w:type="dxa"/>
            <w:vAlign w:val="bottom"/>
            <w:vMerge w:val="continue"/>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19,204</w:t>
            </w:r>
          </w:p>
        </w:tc>
        <w:tc>
          <w:tcPr>
            <w:tcW w:w="120" w:type="dxa"/>
            <w:vAlign w:val="bottom"/>
            <w:vMerge w:val="continue"/>
            <w:shd w:val="clear" w:color="auto" w:fill="CCEEFF"/>
          </w:tcPr>
          <w:p>
            <w:pPr>
              <w:spacing w:after="0"/>
              <w:rPr>
                <w:sz w:val="21"/>
                <w:szCs w:val="21"/>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71%</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146,366</w:t>
            </w:r>
          </w:p>
        </w:tc>
        <w:tc>
          <w:tcPr>
            <w:tcW w:w="300" w:type="dxa"/>
            <w:vAlign w:val="bottom"/>
            <w:vMerge w:val="continue"/>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142,428</w:t>
            </w:r>
          </w:p>
        </w:tc>
        <w:tc>
          <w:tcPr>
            <w:tcW w:w="260" w:type="dxa"/>
            <w:vAlign w:val="bottom"/>
            <w:vMerge w:val="continue"/>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3,938</w:t>
            </w:r>
          </w:p>
        </w:tc>
        <w:tc>
          <w:tcPr>
            <w:tcW w:w="120" w:type="dxa"/>
            <w:vAlign w:val="bottom"/>
            <w:tcBorders>
              <w:right w:val="single" w:sz="8" w:color="CCEEFF"/>
            </w:tcBorders>
            <w:vMerge w:val="continue"/>
            <w:shd w:val="clear" w:color="auto" w:fill="CCEEFF"/>
          </w:tcPr>
          <w:p>
            <w:pPr>
              <w:spacing w:after="0"/>
              <w:rPr>
                <w:sz w:val="21"/>
                <w:szCs w:val="21"/>
                <w:color w:val="auto"/>
              </w:rPr>
            </w:pP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41"/>
        </w:trPr>
        <w:tc>
          <w:tcPr>
            <w:tcW w:w="3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 before income taxes</w:t>
            </w: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(57,537)</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(12,893)</w:t>
            </w: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(44,644)</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346%</w:t>
            </w:r>
          </w:p>
        </w:tc>
        <w:tc>
          <w:tcPr>
            <w:tcW w:w="102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(104,437)</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(193,056)</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88,619</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18"/>
        </w:trPr>
        <w:tc>
          <w:tcPr>
            <w:tcW w:w="37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and income</w:t>
            </w: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91</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3,071</w:t>
            </w: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(2,980)</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(97)%</w:t>
            </w:r>
          </w:p>
        </w:tc>
        <w:tc>
          <w:tcPr>
            <w:tcW w:w="1020" w:type="dxa"/>
            <w:vAlign w:val="bottom"/>
            <w:gridSpan w:val="2"/>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2,659</w:t>
            </w:r>
          </w:p>
        </w:tc>
        <w:tc>
          <w:tcPr>
            <w:tcW w:w="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13,765</w:t>
            </w:r>
          </w:p>
        </w:tc>
        <w:tc>
          <w:tcPr>
            <w:tcW w:w="840" w:type="dxa"/>
            <w:vAlign w:val="bottom"/>
            <w:tcBorders>
              <w:righ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(11,106)</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41"/>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21,790</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20,777</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1,013</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w:t>
            </w:r>
          </w:p>
        </w:tc>
        <w:tc>
          <w:tcPr>
            <w:tcW w:w="102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84,785</w:t>
            </w: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72,420</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12,365</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8"/>
        </w:trPr>
        <w:tc>
          <w:tcPr>
            <w:tcW w:w="37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EBITDA</w:t>
            </w: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(35,656)</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10,955</w:t>
            </w: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(46,611)</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(425)%</w:t>
            </w:r>
          </w:p>
        </w:tc>
        <w:tc>
          <w:tcPr>
            <w:tcW w:w="102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(16,993)</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(106,871)</w:t>
            </w:r>
          </w:p>
        </w:tc>
        <w:tc>
          <w:tcPr>
            <w:tcW w:w="8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89,878</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41"/>
        </w:trPr>
        <w:tc>
          <w:tcPr>
            <w:tcW w:w="3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EBITDA margin</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(77)%</w:t>
            </w: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41%</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(75)%</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8"/>
        </w:trPr>
        <w:tc>
          <w:tcPr>
            <w:tcW w:w="37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payment</w:t>
            </w: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3,906</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3,795</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111</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w:t>
            </w:r>
          </w:p>
        </w:tc>
        <w:tc>
          <w:tcPr>
            <w:tcW w:w="1020" w:type="dxa"/>
            <w:vAlign w:val="bottom"/>
            <w:gridSpan w:val="2"/>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10,915</w:t>
            </w:r>
          </w:p>
        </w:tc>
        <w:tc>
          <w:tcPr>
            <w:tcW w:w="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21,788</w:t>
            </w:r>
          </w:p>
        </w:tc>
        <w:tc>
          <w:tcPr>
            <w:tcW w:w="840" w:type="dxa"/>
            <w:vAlign w:val="bottom"/>
            <w:tcBorders>
              <w:righ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(10,873)</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Realized loss on disposition of digital assets</w:t>
            </w: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28,567</w:t>
            </w: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(28,567)</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102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150,810</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(150,810)</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198"/>
        </w:trPr>
        <w:tc>
          <w:tcPr>
            <w:tcW w:w="3780" w:type="dxa"/>
            <w:vAlign w:val="bottom"/>
            <w:tcBorders>
              <w:right w:val="single" w:sz="8" w:color="CCEEFF"/>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Impairment (reversal) on short-term prepaid</w:t>
            </w: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8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deposits, equipment and construction</w:t>
            </w: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prepayments, property, plant and equipment and</w:t>
            </w:r>
          </w:p>
        </w:tc>
        <w:tc>
          <w:tcPr>
            <w:tcW w:w="960" w:type="dxa"/>
            <w:vAlign w:val="bottom"/>
            <w:gridSpan w:val="2"/>
            <w:vMerge w:val="restart"/>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2,270</w:t>
            </w: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vMerge w:val="restart"/>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12,252</w:t>
            </w: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78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right-of-use assets</w:t>
            </w:r>
          </w:p>
        </w:tc>
        <w:tc>
          <w:tcPr>
            <w:tcW w:w="960" w:type="dxa"/>
            <w:vAlign w:val="bottom"/>
            <w:gridSpan w:val="2"/>
            <w:vMerge w:val="continue"/>
            <w:shd w:val="clear" w:color="auto" w:fill="CCEEFF"/>
          </w:tcPr>
          <w:p>
            <w:pPr>
              <w:spacing w:after="0"/>
              <w:rPr>
                <w:sz w:val="20"/>
                <w:szCs w:val="20"/>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(8,903)</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11,173</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125%</w:t>
            </w:r>
          </w:p>
        </w:tc>
        <w:tc>
          <w:tcPr>
            <w:tcW w:w="1020" w:type="dxa"/>
            <w:vAlign w:val="bottom"/>
            <w:gridSpan w:val="2"/>
            <w:vMerge w:val="continue"/>
            <w:shd w:val="clear" w:color="auto" w:fill="CCEEFF"/>
          </w:tcPr>
          <w:p>
            <w:pPr>
              <w:spacing w:after="0"/>
              <w:rPr>
                <w:sz w:val="20"/>
                <w:szCs w:val="20"/>
                <w:color w:val="auto"/>
              </w:rPr>
            </w:pPr>
          </w:p>
        </w:tc>
        <w:tc>
          <w:tcPr>
            <w:tcW w:w="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75,213</w:t>
            </w:r>
          </w:p>
        </w:tc>
        <w:tc>
          <w:tcPr>
            <w:tcW w:w="840" w:type="dxa"/>
            <w:vAlign w:val="bottom"/>
            <w:tcBorders>
              <w:righ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(62,961)</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Reversal of revaluation loss on digital assets</w:t>
            </w: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(1,183)</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(23,284)</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22,101</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(95)%</w:t>
            </w:r>
          </w:p>
        </w:tc>
        <w:tc>
          <w:tcPr>
            <w:tcW w:w="102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(2,695)</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(2,166)</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(529)</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16"/>
        </w:trPr>
        <w:tc>
          <w:tcPr>
            <w:tcW w:w="37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 on goodwill</w:t>
            </w: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17,900</w:t>
            </w:r>
          </w:p>
        </w:tc>
        <w:tc>
          <w:tcPr>
            <w:tcW w:w="840" w:type="dxa"/>
            <w:vAlign w:val="bottom"/>
            <w:tcBorders>
              <w:righ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(17,900)</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198"/>
        </w:trPr>
        <w:tc>
          <w:tcPr>
            <w:tcW w:w="37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Gain on extinguishment of long-term debt and</w:t>
            </w:r>
          </w:p>
        </w:tc>
        <w:tc>
          <w:tcPr>
            <w:tcW w:w="96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gridSpan w:val="2"/>
            <w:vMerge w:val="restart"/>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(12,835)</w:t>
            </w: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lease liabilities</w:t>
            </w:r>
          </w:p>
        </w:tc>
        <w:tc>
          <w:tcPr>
            <w:tcW w:w="960" w:type="dxa"/>
            <w:vAlign w:val="bottom"/>
            <w:gridSpan w:val="2"/>
            <w:vMerge w:val="continue"/>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vMerge w:val="continue"/>
          </w:tcPr>
          <w:p>
            <w:pPr>
              <w:spacing w:after="0"/>
              <w:rPr>
                <w:sz w:val="20"/>
                <w:szCs w:val="20"/>
                <w:color w:val="auto"/>
              </w:rPr>
            </w:pP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(12,835)</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37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(gain) on revaluation of warrants</w:t>
            </w: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37,874</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(3,759)</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41,633</w:t>
            </w:r>
          </w:p>
        </w:tc>
        <w:tc>
          <w:tcPr>
            <w:tcW w:w="10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i w:val="1"/>
                <w:iCs w:val="1"/>
                <w:color w:val="auto"/>
              </w:rPr>
              <w:t>nm</w:t>
            </w:r>
          </w:p>
        </w:tc>
        <w:tc>
          <w:tcPr>
            <w:tcW w:w="1020" w:type="dxa"/>
            <w:vAlign w:val="bottom"/>
            <w:gridSpan w:val="2"/>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38,088</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(63,406)</w:t>
            </w:r>
          </w:p>
        </w:tc>
        <w:tc>
          <w:tcPr>
            <w:tcW w:w="8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101,494</w:t>
            </w: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160%</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Gain on disposition of marketable securities</w:t>
            </w: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(999)</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(7,317)</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6,318</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(86)%</w:t>
            </w:r>
          </w:p>
        </w:tc>
        <w:tc>
          <w:tcPr>
            <w:tcW w:w="102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(12,245)</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(51,649)</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39,404</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16"/>
        </w:trPr>
        <w:tc>
          <w:tcPr>
            <w:tcW w:w="37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financial expenses and other</w:t>
            </w: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7,836</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1,928</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5,908</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306%</w:t>
            </w:r>
          </w:p>
        </w:tc>
        <w:tc>
          <w:tcPr>
            <w:tcW w:w="1020" w:type="dxa"/>
            <w:vAlign w:val="bottom"/>
            <w:gridSpan w:val="2"/>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18,598</w:t>
            </w:r>
          </w:p>
        </w:tc>
        <w:tc>
          <w:tcPr>
            <w:tcW w:w="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13,067</w:t>
            </w:r>
          </w:p>
        </w:tc>
        <w:tc>
          <w:tcPr>
            <w:tcW w:w="8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5,531</w:t>
            </w: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14,048</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1,982</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12,066</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609%</w:t>
            </w:r>
          </w:p>
        </w:tc>
        <w:tc>
          <w:tcPr>
            <w:tcW w:w="102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35,085</w:t>
            </w: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54,686</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(19,601)</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16"/>
        </w:trPr>
        <w:tc>
          <w:tcPr>
            <w:tcW w:w="37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EBITDA margin</w:t>
            </w: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30%</w:t>
            </w: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24%</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38%</w:t>
            </w:r>
          </w:p>
        </w:tc>
        <w:tc>
          <w:tcPr>
            <w:tcW w:w="8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nm: </w:t>
      </w:r>
      <w:r>
        <w:rPr>
          <w:rFonts w:ascii="Times New Roman" w:cs="Times New Roman" w:eastAsia="Times New Roman" w:hAnsi="Times New Roman"/>
          <w:sz w:val="18"/>
          <w:szCs w:val="18"/>
          <w:color w:val="auto"/>
        </w:rPr>
        <w:t>not meaningful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155575</wp:posOffset>
            </wp:positionV>
            <wp:extent cx="178308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46" w:lineRule="exact"/>
        <w:rPr>
          <w:sz w:val="20"/>
          <w:szCs w:val="20"/>
          <w:color w:val="auto"/>
        </w:rPr>
      </w:pPr>
    </w:p>
    <w:p>
      <w:pPr>
        <w:ind w:left="380" w:hanging="372"/>
        <w:spacing w:after="0" w:line="284" w:lineRule="auto"/>
        <w:tabs>
          <w:tab w:leader="none" w:pos="3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Prior year figures are derived from restated financial statements. Refer to the 2023 annual financial statements Note 3e - </w:t>
      </w:r>
      <w:r>
        <w:rPr>
          <w:rFonts w:ascii="Times New Roman" w:cs="Times New Roman" w:eastAsia="Times New Roman" w:hAnsi="Times New Roman"/>
          <w:sz w:val="18"/>
          <w:szCs w:val="18"/>
          <w:i w:val="1"/>
          <w:iCs w:val="1"/>
          <w:color w:val="auto"/>
        </w:rPr>
        <w:t>Basis of Presentation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Material Accounting Policy Information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2022 Restatement.</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38"/>
        </w:trPr>
        <w:tc>
          <w:tcPr>
            <w:tcW w:w="8660" w:type="dxa"/>
            <w:vAlign w:val="bottom"/>
            <w:gridSpan w:val="21"/>
          </w:tcPr>
          <w:p>
            <w:pPr>
              <w:jc w:val="center"/>
              <w:ind w:left="2510"/>
              <w:spacing w:after="0"/>
              <w:rPr>
                <w:sz w:val="20"/>
                <w:szCs w:val="20"/>
                <w:color w:val="auto"/>
              </w:rPr>
            </w:pPr>
            <w:r>
              <w:rPr>
                <w:rFonts w:ascii="Times New Roman" w:cs="Times New Roman" w:eastAsia="Times New Roman" w:hAnsi="Times New Roman"/>
                <w:sz w:val="18"/>
                <w:szCs w:val="18"/>
                <w:b w:val="1"/>
                <w:bCs w:val="1"/>
                <w:color w:val="auto"/>
                <w:w w:val="99"/>
              </w:rPr>
              <w:t>Bitfarms Ltd. Calculation of Gross Mining Profit and Gross Mining Margin</w:t>
            </w: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28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720" w:type="dxa"/>
            <w:vAlign w:val="bottom"/>
            <w:gridSpan w:val="15"/>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Three months ended December 31,</w:t>
            </w: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940" w:type="dxa"/>
            <w:vAlign w:val="bottom"/>
            <w:gridSpan w:val="8"/>
          </w:tcPr>
          <w:p>
            <w:pPr>
              <w:jc w:val="right"/>
              <w:ind w:right="960"/>
              <w:spacing w:after="0"/>
              <w:rPr>
                <w:sz w:val="20"/>
                <w:szCs w:val="20"/>
                <w:color w:val="auto"/>
              </w:rPr>
            </w:pPr>
            <w:r>
              <w:rPr>
                <w:rFonts w:ascii="Times New Roman" w:cs="Times New Roman" w:eastAsia="Times New Roman" w:hAnsi="Times New Roman"/>
                <w:sz w:val="18"/>
                <w:szCs w:val="18"/>
                <w:b w:val="1"/>
                <w:bCs w:val="1"/>
                <w:color w:val="auto"/>
                <w:w w:val="98"/>
              </w:rPr>
              <w:t>Year ended December 31,</w:t>
            </w:r>
          </w:p>
        </w:tc>
        <w:tc>
          <w:tcPr>
            <w:tcW w:w="0" w:type="dxa"/>
            <w:vAlign w:val="bottom"/>
          </w:tcPr>
          <w:p>
            <w:pPr>
              <w:spacing w:after="0"/>
              <w:rPr>
                <w:sz w:val="1"/>
                <w:szCs w:val="1"/>
                <w:color w:val="auto"/>
              </w:rPr>
            </w:pPr>
          </w:p>
        </w:tc>
      </w:tr>
      <w:tr>
        <w:trPr>
          <w:trHeight w:val="230"/>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(U.S.$ in thousands except where indicated)</w:t>
            </w:r>
          </w:p>
        </w:tc>
        <w:tc>
          <w:tcPr>
            <w:tcW w:w="680" w:type="dxa"/>
            <w:vAlign w:val="bottom"/>
            <w:tcBorders>
              <w:top w:val="single" w:sz="8" w:color="auto"/>
            </w:tcBorders>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4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2022</w:t>
            </w:r>
          </w:p>
        </w:tc>
        <w:tc>
          <w:tcPr>
            <w:tcW w:w="220" w:type="dxa"/>
            <w:vAlign w:val="bottom"/>
            <w:tcBorders>
              <w:top w:val="single" w:sz="8" w:color="auto"/>
            </w:tcBorders>
          </w:tcPr>
          <w:p>
            <w:pPr>
              <w:spacing w:after="0"/>
              <w:rPr>
                <w:sz w:val="19"/>
                <w:szCs w:val="19"/>
                <w:color w:val="auto"/>
              </w:rPr>
            </w:pPr>
          </w:p>
        </w:tc>
        <w:tc>
          <w:tcPr>
            <w:tcW w:w="1580" w:type="dxa"/>
            <w:vAlign w:val="bottom"/>
            <w:tcBorders>
              <w:top w:val="single" w:sz="8" w:color="auto"/>
            </w:tcBorders>
            <w:gridSpan w:val="6"/>
          </w:tcPr>
          <w:p>
            <w:pPr>
              <w:jc w:val="right"/>
              <w:spacing w:after="0"/>
              <w:rPr>
                <w:sz w:val="20"/>
                <w:szCs w:val="20"/>
                <w:color w:val="auto"/>
              </w:rPr>
            </w:pPr>
            <w:r>
              <w:rPr>
                <w:rFonts w:ascii="Times New Roman" w:cs="Times New Roman" w:eastAsia="Times New Roman" w:hAnsi="Times New Roman"/>
                <w:sz w:val="18"/>
                <w:szCs w:val="18"/>
                <w:color w:val="auto"/>
              </w:rPr>
              <w:t>$ Change  % Change</w:t>
            </w:r>
          </w:p>
        </w:tc>
        <w:tc>
          <w:tcPr>
            <w:tcW w:w="3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77"/>
              </w:rPr>
              <w:t>2023</w:t>
            </w:r>
          </w:p>
        </w:tc>
        <w:tc>
          <w:tcPr>
            <w:tcW w:w="24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2022</w:t>
            </w:r>
          </w:p>
        </w:tc>
        <w:tc>
          <w:tcPr>
            <w:tcW w:w="2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99"/>
              </w:rPr>
              <w:t>$ Change</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 Change</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820" w:type="dxa"/>
            <w:vAlign w:val="bottom"/>
            <w:shd w:val="clear" w:color="auto" w:fill="000000"/>
          </w:tcPr>
          <w:p>
            <w:pPr>
              <w:spacing w:after="0"/>
              <w:rPr>
                <w:sz w:val="2"/>
                <w:szCs w:val="2"/>
                <w:color w:val="auto"/>
              </w:rPr>
            </w:pPr>
          </w:p>
        </w:tc>
        <w:tc>
          <w:tcPr>
            <w:tcW w:w="1080" w:type="dxa"/>
            <w:vAlign w:val="bottom"/>
            <w:tcBorders>
              <w:right w:val="single" w:sz="8" w:color="CCEEFF"/>
            </w:tcBorders>
            <w:shd w:val="clear" w:color="auto" w:fill="000000"/>
          </w:tcPr>
          <w:p>
            <w:pPr>
              <w:spacing w:after="0"/>
              <w:rPr>
                <w:sz w:val="2"/>
                <w:szCs w:val="2"/>
                <w:color w:val="auto"/>
              </w:rPr>
            </w:pPr>
          </w:p>
        </w:tc>
        <w:tc>
          <w:tcPr>
            <w:tcW w:w="460" w:type="dxa"/>
            <w:vAlign w:val="bottom"/>
            <w:tcBorders>
              <w:right w:val="single" w:sz="8" w:color="auto"/>
            </w:tcBorders>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40" w:type="dxa"/>
            <w:vAlign w:val="bottom"/>
            <w:vMerge w:val="restart"/>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40" w:type="dxa"/>
            <w:vAlign w:val="bottom"/>
            <w:gridSpan w:val="2"/>
            <w:shd w:val="clear" w:color="auto" w:fill="000000"/>
          </w:tcPr>
          <w:p>
            <w:pPr>
              <w:spacing w:after="0"/>
              <w:rPr>
                <w:sz w:val="2"/>
                <w:szCs w:val="2"/>
                <w:color w:val="auto"/>
              </w:rPr>
            </w:pPr>
          </w:p>
        </w:tc>
        <w:tc>
          <w:tcPr>
            <w:tcW w:w="220" w:type="dxa"/>
            <w:vAlign w:val="bottom"/>
            <w:vMerge w:val="restart"/>
            <w:shd w:val="clear" w:color="auto" w:fill="CCEEFF"/>
          </w:tcPr>
          <w:p>
            <w:pPr>
              <w:spacing w:after="0"/>
              <w:rPr>
                <w:sz w:val="2"/>
                <w:szCs w:val="2"/>
                <w:color w:val="auto"/>
              </w:rPr>
            </w:pPr>
          </w:p>
        </w:tc>
        <w:tc>
          <w:tcPr>
            <w:tcW w:w="280" w:type="dxa"/>
            <w:vAlign w:val="bottom"/>
            <w:tcBorders>
              <w:right w:val="single" w:sz="8" w:color="auto"/>
            </w:tcBorders>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20" w:type="dxa"/>
            <w:vAlign w:val="bottom"/>
            <w:vMerge w:val="restart"/>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00" w:type="dxa"/>
            <w:vAlign w:val="bottom"/>
            <w:tcBorders>
              <w:right w:val="single" w:sz="8" w:color="auto"/>
            </w:tcBorders>
            <w:shd w:val="clear" w:color="auto" w:fill="CCEEFF"/>
          </w:tcPr>
          <w:p>
            <w:pPr>
              <w:spacing w:after="0"/>
              <w:rPr>
                <w:sz w:val="2"/>
                <w:szCs w:val="2"/>
                <w:color w:val="auto"/>
              </w:rPr>
            </w:pPr>
          </w:p>
        </w:tc>
        <w:tc>
          <w:tcPr>
            <w:tcW w:w="200" w:type="dxa"/>
            <w:vAlign w:val="bottom"/>
            <w:tcBorders>
              <w:right w:val="single" w:sz="8" w:color="auto"/>
            </w:tcBorders>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40" w:type="dxa"/>
            <w:vAlign w:val="bottom"/>
            <w:vMerge w:val="restart"/>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Borders>
              <w:right w:val="single" w:sz="8" w:color="CCEEFF"/>
            </w:tcBorders>
            <w:vMerge w:val="restart"/>
            <w:shd w:val="clear" w:color="auto" w:fill="CCEEFF"/>
          </w:tcPr>
          <w:p>
            <w:pPr>
              <w:spacing w:after="0"/>
              <w:rPr>
                <w:sz w:val="2"/>
                <w:szCs w:val="2"/>
                <w:color w:val="auto"/>
              </w:rPr>
            </w:pPr>
          </w:p>
        </w:tc>
        <w:tc>
          <w:tcPr>
            <w:tcW w:w="900" w:type="dxa"/>
            <w:vAlign w:val="bottom"/>
            <w:tcBorders>
              <w:left w:val="single" w:sz="8" w:color="auto"/>
              <w:right w:val="single" w:sz="8" w:color="auto"/>
            </w:tcBorders>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line="20" w:lineRule="exact"/>
              <w:rPr>
                <w:sz w:val="1"/>
                <w:szCs w:val="1"/>
                <w:color w:val="auto"/>
              </w:rPr>
            </w:pPr>
          </w:p>
        </w:tc>
      </w:tr>
      <w:tr>
        <w:trPr>
          <w:trHeight w:val="216"/>
        </w:trPr>
        <w:tc>
          <w:tcPr>
            <w:tcW w:w="390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(loss) profit</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1,757</w:t>
            </w:r>
          </w:p>
        </w:tc>
        <w:tc>
          <w:tcPr>
            <w:tcW w:w="2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0"/>
              </w:rPr>
              <w:t>(12,084)</w:t>
            </w:r>
          </w:p>
        </w:tc>
        <w:tc>
          <w:tcPr>
            <w:tcW w:w="220" w:type="dxa"/>
            <w:vAlign w:val="bottom"/>
            <w:vMerge w:val="continue"/>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4"/>
              </w:rPr>
              <w:t>13,841</w:t>
            </w:r>
          </w:p>
        </w:tc>
        <w:tc>
          <w:tcPr>
            <w:tcW w:w="12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115%</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(21,502)</w:t>
            </w:r>
          </w:p>
        </w:tc>
        <w:tc>
          <w:tcPr>
            <w:tcW w:w="2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10,518</w:t>
            </w:r>
          </w:p>
        </w:tc>
        <w:tc>
          <w:tcPr>
            <w:tcW w:w="220" w:type="dxa"/>
            <w:vAlign w:val="bottom"/>
            <w:tcBorders>
              <w:right w:val="single" w:sz="8" w:color="CCEEFF"/>
            </w:tcBorders>
            <w:vMerge w:val="continue"/>
            <w:shd w:val="clear" w:color="auto" w:fill="CCEEFF"/>
          </w:tcPr>
          <w:p>
            <w:pPr>
              <w:spacing w:after="0"/>
              <w:rPr>
                <w:sz w:val="18"/>
                <w:szCs w:val="18"/>
                <w:color w:val="auto"/>
              </w:rPr>
            </w:pPr>
          </w:p>
        </w:tc>
        <w:tc>
          <w:tcPr>
            <w:tcW w:w="900" w:type="dxa"/>
            <w:vAlign w:val="bottom"/>
            <w:tcBorders>
              <w:left w:val="single" w:sz="8" w:color="CCEEFF"/>
              <w:right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(32,020)</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22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Non-Mining revenues (1)</w:t>
            </w:r>
          </w:p>
        </w:tc>
        <w:tc>
          <w:tcPr>
            <w:tcW w:w="92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(1,285)</w:t>
            </w:r>
          </w:p>
        </w:tc>
        <w:tc>
          <w:tcPr>
            <w:tcW w:w="120" w:type="dxa"/>
            <w:vAlign w:val="bottom"/>
          </w:tcPr>
          <w:p>
            <w:pPr>
              <w:spacing w:after="0"/>
              <w:rPr>
                <w:sz w:val="18"/>
                <w:szCs w:val="18"/>
                <w:color w:val="auto"/>
              </w:rPr>
            </w:pPr>
          </w:p>
        </w:tc>
        <w:tc>
          <w:tcPr>
            <w:tcW w:w="80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(1,101)</w:t>
            </w:r>
          </w:p>
        </w:tc>
        <w:tc>
          <w:tcPr>
            <w:tcW w:w="28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17%</w:t>
            </w:r>
          </w:p>
        </w:tc>
        <w:tc>
          <w:tcPr>
            <w:tcW w:w="200" w:type="dxa"/>
            <w:vAlign w:val="bottom"/>
          </w:tcPr>
          <w:p>
            <w:pPr>
              <w:spacing w:after="0"/>
              <w:rPr>
                <w:sz w:val="18"/>
                <w:szCs w:val="18"/>
                <w:color w:val="auto"/>
              </w:rPr>
            </w:pPr>
          </w:p>
        </w:tc>
        <w:tc>
          <w:tcPr>
            <w:tcW w:w="7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98"/>
              </w:rPr>
              <w:t>(5,060)</w:t>
            </w:r>
          </w:p>
        </w:tc>
        <w:tc>
          <w:tcPr>
            <w:tcW w:w="12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(3,443)</w:t>
            </w: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(1,617)</w:t>
            </w:r>
          </w:p>
        </w:tc>
        <w:tc>
          <w:tcPr>
            <w:tcW w:w="9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16"/>
        </w:trPr>
        <w:tc>
          <w:tcPr>
            <w:tcW w:w="390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20" w:type="dxa"/>
            <w:vAlign w:val="bottom"/>
            <w:gridSpan w:val="3"/>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21,790</w:t>
            </w:r>
          </w:p>
        </w:tc>
        <w:tc>
          <w:tcPr>
            <w:tcW w:w="12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20,777</w:t>
            </w:r>
          </w:p>
        </w:tc>
        <w:tc>
          <w:tcPr>
            <w:tcW w:w="280" w:type="dxa"/>
            <w:vAlign w:val="bottom"/>
            <w:tcBorders>
              <w:right w:val="single" w:sz="8" w:color="CCEEFF"/>
            </w:tcBorders>
            <w:shd w:val="clear" w:color="auto" w:fill="CCEEFF"/>
          </w:tcPr>
          <w:p>
            <w:pPr>
              <w:spacing w:after="0"/>
              <w:rPr>
                <w:sz w:val="18"/>
                <w:szCs w:val="18"/>
                <w:color w:val="auto"/>
              </w:rPr>
            </w:pPr>
          </w:p>
        </w:tc>
        <w:tc>
          <w:tcPr>
            <w:tcW w:w="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1,013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tcBorders>
              <w:right w:val="single" w:sz="8" w:color="CCEEFF"/>
            </w:tcBorders>
            <w:shd w:val="clear" w:color="auto" w:fill="CCEEFF"/>
          </w:tcPr>
          <w:p>
            <w:pPr>
              <w:spacing w:after="0"/>
              <w:rPr>
                <w:sz w:val="18"/>
                <w:szCs w:val="18"/>
                <w:color w:val="auto"/>
              </w:rPr>
            </w:pPr>
          </w:p>
        </w:tc>
        <w:tc>
          <w:tcPr>
            <w:tcW w:w="72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92"/>
              </w:rPr>
              <w:t>84,785</w:t>
            </w:r>
          </w:p>
        </w:tc>
        <w:tc>
          <w:tcPr>
            <w:tcW w:w="120" w:type="dxa"/>
            <w:vAlign w:val="bottom"/>
            <w:shd w:val="clear" w:color="auto" w:fill="CCEEFF"/>
          </w:tcPr>
          <w:p>
            <w:pPr>
              <w:spacing w:after="0"/>
              <w:rPr>
                <w:sz w:val="18"/>
                <w:szCs w:val="18"/>
                <w:color w:val="auto"/>
              </w:rPr>
            </w:pPr>
          </w:p>
        </w:tc>
        <w:tc>
          <w:tcPr>
            <w:tcW w:w="7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72,420</w:t>
            </w:r>
          </w:p>
        </w:tc>
        <w:tc>
          <w:tcPr>
            <w:tcW w:w="900" w:type="dxa"/>
            <w:vAlign w:val="bottom"/>
            <w:tcBorders>
              <w:left w:val="single" w:sz="8" w:color="CCEEFF"/>
              <w:right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12,365</w:t>
            </w:r>
          </w:p>
        </w:tc>
        <w:tc>
          <w:tcPr>
            <w:tcW w:w="9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6"/>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Purchases of electrical components and other</w:t>
            </w:r>
          </w:p>
        </w:tc>
        <w:tc>
          <w:tcPr>
            <w:tcW w:w="920" w:type="dxa"/>
            <w:vAlign w:val="bottom"/>
            <w:gridSpan w:val="3"/>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754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510</w:t>
            </w:r>
          </w:p>
        </w:tc>
        <w:tc>
          <w:tcPr>
            <w:tcW w:w="280" w:type="dxa"/>
            <w:vAlign w:val="bottom"/>
          </w:tcPr>
          <w:p>
            <w:pPr>
              <w:spacing w:after="0"/>
              <w:rPr>
                <w:sz w:val="18"/>
                <w:szCs w:val="18"/>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48%</w:t>
            </w:r>
          </w:p>
        </w:tc>
        <w:tc>
          <w:tcPr>
            <w:tcW w:w="200" w:type="dxa"/>
            <w:vAlign w:val="bottom"/>
          </w:tcPr>
          <w:p>
            <w:pPr>
              <w:spacing w:after="0"/>
              <w:rPr>
                <w:sz w:val="18"/>
                <w:szCs w:val="18"/>
                <w:color w:val="auto"/>
              </w:rPr>
            </w:pPr>
          </w:p>
        </w:tc>
        <w:tc>
          <w:tcPr>
            <w:tcW w:w="72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2,590</w:t>
            </w:r>
          </w:p>
        </w:tc>
        <w:tc>
          <w:tcPr>
            <w:tcW w:w="12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1,773</w:t>
            </w:r>
          </w:p>
        </w:tc>
        <w:tc>
          <w:tcPr>
            <w:tcW w:w="9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817</w:t>
            </w:r>
          </w:p>
        </w:tc>
        <w:tc>
          <w:tcPr>
            <w:tcW w:w="9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16"/>
        </w:trPr>
        <w:tc>
          <w:tcPr>
            <w:tcW w:w="390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Electrician salaries and payroll taxes</w:t>
            </w:r>
          </w:p>
        </w:tc>
        <w:tc>
          <w:tcPr>
            <w:tcW w:w="920" w:type="dxa"/>
            <w:vAlign w:val="bottom"/>
            <w:gridSpan w:val="3"/>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341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392</w:t>
            </w:r>
          </w:p>
        </w:tc>
        <w:tc>
          <w:tcPr>
            <w:tcW w:w="280" w:type="dxa"/>
            <w:vAlign w:val="bottom"/>
            <w:tcBorders>
              <w:right w:val="single" w:sz="8" w:color="CCEEFF"/>
            </w:tcBorders>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tcBorders>
              <w:right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w:t>
            </w:r>
          </w:p>
        </w:tc>
        <w:tc>
          <w:tcPr>
            <w:tcW w:w="200" w:type="dxa"/>
            <w:vAlign w:val="bottom"/>
            <w:tcBorders>
              <w:right w:val="single" w:sz="8" w:color="CCEEFF"/>
            </w:tcBorders>
            <w:shd w:val="clear" w:color="auto" w:fill="CCEEFF"/>
          </w:tcPr>
          <w:p>
            <w:pPr>
              <w:spacing w:after="0"/>
              <w:rPr>
                <w:sz w:val="18"/>
                <w:szCs w:val="18"/>
                <w:color w:val="auto"/>
              </w:rPr>
            </w:pPr>
          </w:p>
        </w:tc>
        <w:tc>
          <w:tcPr>
            <w:tcW w:w="72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1,561</w:t>
            </w:r>
          </w:p>
        </w:tc>
        <w:tc>
          <w:tcPr>
            <w:tcW w:w="120" w:type="dxa"/>
            <w:vAlign w:val="bottom"/>
            <w:shd w:val="clear" w:color="auto" w:fill="CCEEFF"/>
          </w:tcPr>
          <w:p>
            <w:pPr>
              <w:spacing w:after="0"/>
              <w:rPr>
                <w:sz w:val="18"/>
                <w:szCs w:val="18"/>
                <w:color w:val="auto"/>
              </w:rPr>
            </w:pPr>
          </w:p>
        </w:tc>
        <w:tc>
          <w:tcPr>
            <w:tcW w:w="7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1,316</w:t>
            </w:r>
          </w:p>
        </w:tc>
        <w:tc>
          <w:tcPr>
            <w:tcW w:w="900" w:type="dxa"/>
            <w:vAlign w:val="bottom"/>
            <w:tcBorders>
              <w:left w:val="single" w:sz="8" w:color="CCEEFF"/>
              <w:right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245</w:t>
            </w:r>
          </w:p>
        </w:tc>
        <w:tc>
          <w:tcPr>
            <w:tcW w:w="9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16"/>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Gross Mining profit</w:t>
            </w:r>
          </w:p>
        </w:tc>
        <w:tc>
          <w:tcPr>
            <w:tcW w:w="920" w:type="dxa"/>
            <w:vAlign w:val="bottom"/>
            <w:gridSpan w:val="3"/>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23,357</w:t>
            </w:r>
          </w:p>
        </w:tc>
        <w:tc>
          <w:tcPr>
            <w:tcW w:w="120" w:type="dxa"/>
            <w:vAlign w:val="bottom"/>
          </w:tcPr>
          <w:p>
            <w:pPr>
              <w:spacing w:after="0"/>
              <w:rPr>
                <w:sz w:val="18"/>
                <w:szCs w:val="18"/>
                <w:color w:val="auto"/>
              </w:rPr>
            </w:pPr>
          </w:p>
        </w:tc>
        <w:tc>
          <w:tcPr>
            <w:tcW w:w="80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8,494</w:t>
            </w:r>
          </w:p>
        </w:tc>
        <w:tc>
          <w:tcPr>
            <w:tcW w:w="280" w:type="dxa"/>
            <w:vAlign w:val="bottom"/>
          </w:tcPr>
          <w:p>
            <w:pPr>
              <w:spacing w:after="0"/>
              <w:rPr>
                <w:sz w:val="18"/>
                <w:szCs w:val="18"/>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84"/>
              </w:rPr>
              <w:t>14,863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175%</w:t>
            </w:r>
          </w:p>
        </w:tc>
        <w:tc>
          <w:tcPr>
            <w:tcW w:w="200" w:type="dxa"/>
            <w:vAlign w:val="bottom"/>
          </w:tcPr>
          <w:p>
            <w:pPr>
              <w:spacing w:after="0"/>
              <w:rPr>
                <w:sz w:val="18"/>
                <w:szCs w:val="18"/>
                <w:color w:val="auto"/>
              </w:rPr>
            </w:pPr>
          </w:p>
        </w:tc>
        <w:tc>
          <w:tcPr>
            <w:tcW w:w="72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92"/>
              </w:rPr>
              <w:t>62,374</w:t>
            </w:r>
          </w:p>
        </w:tc>
        <w:tc>
          <w:tcPr>
            <w:tcW w:w="12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82,584</w:t>
            </w: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(20,210)</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16"/>
        </w:trPr>
        <w:tc>
          <w:tcPr>
            <w:tcW w:w="390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Mining margin</w:t>
            </w:r>
          </w:p>
        </w:tc>
        <w:tc>
          <w:tcPr>
            <w:tcW w:w="9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33%</w:t>
            </w:r>
          </w:p>
        </w:tc>
        <w:tc>
          <w:tcPr>
            <w:tcW w:w="280" w:type="dxa"/>
            <w:vAlign w:val="bottom"/>
            <w:tcBorders>
              <w:right w:val="single" w:sz="8" w:color="CCEEFF"/>
            </w:tcBorders>
            <w:shd w:val="clear" w:color="auto" w:fill="CCEEFF"/>
          </w:tcPr>
          <w:p>
            <w:pPr>
              <w:spacing w:after="0"/>
              <w:rPr>
                <w:sz w:val="18"/>
                <w:szCs w:val="18"/>
                <w:color w:val="auto"/>
              </w:rPr>
            </w:pPr>
          </w:p>
        </w:tc>
        <w:tc>
          <w:tcPr>
            <w:tcW w:w="840" w:type="dxa"/>
            <w:vAlign w:val="bottom"/>
            <w:gridSpan w:val="4"/>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right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right w:val="single" w:sz="8" w:color="CCEEFF"/>
            </w:tcBorders>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w:t>
            </w:r>
          </w:p>
        </w:tc>
        <w:tc>
          <w:tcPr>
            <w:tcW w:w="120" w:type="dxa"/>
            <w:vAlign w:val="bottom"/>
            <w:shd w:val="clear" w:color="auto" w:fill="CCEEFF"/>
          </w:tcPr>
          <w:p>
            <w:pPr>
              <w:spacing w:after="0"/>
              <w:rPr>
                <w:sz w:val="18"/>
                <w:szCs w:val="18"/>
                <w:color w:val="auto"/>
              </w:rPr>
            </w:pPr>
          </w:p>
        </w:tc>
        <w:tc>
          <w:tcPr>
            <w:tcW w:w="780" w:type="dxa"/>
            <w:vAlign w:val="bottom"/>
            <w:tcBorders>
              <w:righ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59%</w:t>
            </w:r>
          </w:p>
        </w:tc>
        <w:tc>
          <w:tcPr>
            <w:tcW w:w="900" w:type="dxa"/>
            <w:vAlign w:val="bottom"/>
            <w:tcBorders>
              <w:left w:val="single" w:sz="8" w:color="CCEEFF"/>
              <w:right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3900" w:type="dxa"/>
            <w:vAlign w:val="bottom"/>
            <w:gridSpan w:val="2"/>
          </w:tcPr>
          <w:p>
            <w:pPr>
              <w:spacing w:after="0"/>
              <w:rPr>
                <w:sz w:val="21"/>
                <w:szCs w:val="21"/>
                <w:color w:val="auto"/>
              </w:rPr>
            </w:pPr>
          </w:p>
        </w:tc>
        <w:tc>
          <w:tcPr>
            <w:tcW w:w="4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8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w w:val="95"/>
              </w:rPr>
              <w:t>(1) Non-Mining revenues reconciliation:</w:t>
            </w:r>
          </w:p>
        </w:tc>
        <w:tc>
          <w:tcPr>
            <w:tcW w:w="10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5"/>
        </w:trPr>
        <w:tc>
          <w:tcPr>
            <w:tcW w:w="28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40" w:type="dxa"/>
            <w:vAlign w:val="bottom"/>
            <w:gridSpan w:val="13"/>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Three months ended December 31,</w:t>
            </w: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940" w:type="dxa"/>
            <w:vAlign w:val="bottom"/>
            <w:gridSpan w:val="8"/>
          </w:tcPr>
          <w:p>
            <w:pPr>
              <w:jc w:val="right"/>
              <w:ind w:right="80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0" w:type="dxa"/>
            <w:vAlign w:val="bottom"/>
          </w:tcPr>
          <w:p>
            <w:pPr>
              <w:spacing w:after="0"/>
              <w:rPr>
                <w:sz w:val="1"/>
                <w:szCs w:val="1"/>
                <w:color w:val="auto"/>
              </w:rPr>
            </w:pPr>
          </w:p>
        </w:tc>
      </w:tr>
      <w:tr>
        <w:trPr>
          <w:trHeight w:val="229"/>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(U.S.$ in thousands except where indicated)</w:t>
            </w:r>
          </w:p>
        </w:tc>
        <w:tc>
          <w:tcPr>
            <w:tcW w:w="460" w:type="dxa"/>
            <w:vAlign w:val="bottom"/>
          </w:tcPr>
          <w:p>
            <w:pPr>
              <w:spacing w:after="0"/>
              <w:rPr>
                <w:sz w:val="19"/>
                <w:szCs w:val="19"/>
                <w:color w:val="auto"/>
              </w:rPr>
            </w:pPr>
          </w:p>
        </w:tc>
        <w:tc>
          <w:tcPr>
            <w:tcW w:w="580" w:type="dxa"/>
            <w:vAlign w:val="bottom"/>
            <w:tcBorders>
              <w:top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4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2022</w:t>
            </w:r>
          </w:p>
        </w:tc>
        <w:tc>
          <w:tcPr>
            <w:tcW w:w="2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w w:val="99"/>
              </w:rPr>
              <w:t>$ Change</w:t>
            </w:r>
          </w:p>
        </w:tc>
        <w:tc>
          <w:tcPr>
            <w:tcW w:w="1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6"/>
              </w:rPr>
              <w:t>% Change</w:t>
            </w:r>
          </w:p>
        </w:tc>
        <w:tc>
          <w:tcPr>
            <w:tcW w:w="200" w:type="dxa"/>
            <w:vAlign w:val="bottom"/>
          </w:tcPr>
          <w:p>
            <w:pPr>
              <w:spacing w:after="0"/>
              <w:rPr>
                <w:sz w:val="19"/>
                <w:szCs w:val="19"/>
                <w:color w:val="auto"/>
              </w:rPr>
            </w:pPr>
          </w:p>
        </w:tc>
        <w:tc>
          <w:tcPr>
            <w:tcW w:w="720" w:type="dxa"/>
            <w:vAlign w:val="bottom"/>
            <w:tcBorders>
              <w:top w:val="single" w:sz="8" w:color="auto"/>
            </w:tcBorders>
            <w:gridSpan w:val="2"/>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2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 Change</w:t>
            </w:r>
          </w:p>
        </w:tc>
        <w:tc>
          <w:tcPr>
            <w:tcW w:w="7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6"/>
              </w:rPr>
              <w:t>% Change</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3900" w:type="dxa"/>
            <w:vAlign w:val="bottom"/>
            <w:tcBorders>
              <w:right w:val="single" w:sz="8" w:color="auto"/>
            </w:tcBorders>
            <w:gridSpan w:val="2"/>
            <w:shd w:val="clear" w:color="auto" w:fill="000000"/>
          </w:tcPr>
          <w:p>
            <w:pPr>
              <w:spacing w:after="0"/>
              <w:rPr>
                <w:sz w:val="2"/>
                <w:szCs w:val="2"/>
                <w:color w:val="auto"/>
              </w:rPr>
            </w:pPr>
          </w:p>
        </w:tc>
        <w:tc>
          <w:tcPr>
            <w:tcW w:w="460" w:type="dxa"/>
            <w:vAlign w:val="bottom"/>
            <w:tcBorders>
              <w:right w:val="single" w:sz="8" w:color="CCEEFF"/>
            </w:tcBorders>
            <w:shd w:val="clear" w:color="auto" w:fill="000000"/>
          </w:tcPr>
          <w:p>
            <w:pPr>
              <w:spacing w:after="0"/>
              <w:rPr>
                <w:sz w:val="2"/>
                <w:szCs w:val="2"/>
                <w:color w:val="auto"/>
              </w:rPr>
            </w:pPr>
          </w:p>
        </w:tc>
        <w:tc>
          <w:tcPr>
            <w:tcW w:w="720" w:type="dxa"/>
            <w:vAlign w:val="bottom"/>
            <w:gridSpan w:val="4"/>
            <w:shd w:val="clear" w:color="auto" w:fill="000000"/>
          </w:tcPr>
          <w:p>
            <w:pPr>
              <w:spacing w:after="0"/>
              <w:rPr>
                <w:sz w:val="2"/>
                <w:szCs w:val="2"/>
                <w:color w:val="auto"/>
              </w:rPr>
            </w:pPr>
          </w:p>
        </w:tc>
        <w:tc>
          <w:tcPr>
            <w:tcW w:w="120" w:type="dxa"/>
            <w:vAlign w:val="bottom"/>
            <w:vMerge w:val="restart"/>
            <w:shd w:val="clear" w:color="auto" w:fill="CCEEFF"/>
          </w:tcPr>
          <w:p>
            <w:pPr>
              <w:spacing w:after="0"/>
              <w:rPr>
                <w:sz w:val="2"/>
                <w:szCs w:val="2"/>
                <w:color w:val="auto"/>
              </w:rPr>
            </w:pPr>
          </w:p>
        </w:tc>
        <w:tc>
          <w:tcPr>
            <w:tcW w:w="820" w:type="dxa"/>
            <w:vAlign w:val="bottom"/>
            <w:tcBorders>
              <w:right w:val="single" w:sz="8" w:color="CCEEFF"/>
            </w:tcBorders>
            <w:gridSpan w:val="3"/>
            <w:shd w:val="clear" w:color="auto" w:fill="000000"/>
          </w:tcPr>
          <w:p>
            <w:pPr>
              <w:spacing w:after="0"/>
              <w:rPr>
                <w:sz w:val="2"/>
                <w:szCs w:val="2"/>
                <w:color w:val="auto"/>
              </w:rPr>
            </w:pPr>
          </w:p>
        </w:tc>
        <w:tc>
          <w:tcPr>
            <w:tcW w:w="720" w:type="dxa"/>
            <w:vAlign w:val="bottom"/>
            <w:gridSpan w:val="3"/>
            <w:shd w:val="clear" w:color="auto" w:fill="000000"/>
          </w:tcPr>
          <w:p>
            <w:pPr>
              <w:spacing w:after="0"/>
              <w:rPr>
                <w:sz w:val="2"/>
                <w:szCs w:val="2"/>
                <w:color w:val="auto"/>
              </w:rPr>
            </w:pPr>
          </w:p>
        </w:tc>
        <w:tc>
          <w:tcPr>
            <w:tcW w:w="120" w:type="dxa"/>
            <w:vAlign w:val="bottom"/>
            <w:vMerge w:val="restart"/>
            <w:shd w:val="clear" w:color="auto" w:fill="CCEEFF"/>
          </w:tcPr>
          <w:p>
            <w:pPr>
              <w:spacing w:after="0"/>
              <w:rPr>
                <w:sz w:val="2"/>
                <w:szCs w:val="2"/>
                <w:color w:val="auto"/>
              </w:rPr>
            </w:pPr>
          </w:p>
        </w:tc>
        <w:tc>
          <w:tcPr>
            <w:tcW w:w="760" w:type="dxa"/>
            <w:vAlign w:val="bottom"/>
            <w:tcBorders>
              <w:right w:val="single" w:sz="8" w:color="auto"/>
            </w:tcBorders>
            <w:gridSpan w:val="2"/>
            <w:shd w:val="clear" w:color="auto" w:fill="000000"/>
          </w:tcPr>
          <w:p>
            <w:pPr>
              <w:spacing w:after="0"/>
              <w:rPr>
                <w:sz w:val="2"/>
                <w:szCs w:val="2"/>
                <w:color w:val="auto"/>
              </w:rPr>
            </w:pPr>
          </w:p>
        </w:tc>
        <w:tc>
          <w:tcPr>
            <w:tcW w:w="200" w:type="dxa"/>
            <w:vAlign w:val="bottom"/>
            <w:tcBorders>
              <w:right w:val="single" w:sz="8" w:color="CCEEFF"/>
            </w:tcBorders>
            <w:shd w:val="clear" w:color="auto" w:fill="CCEEFF"/>
          </w:tcPr>
          <w:p>
            <w:pPr>
              <w:spacing w:after="0"/>
              <w:rPr>
                <w:sz w:val="2"/>
                <w:szCs w:val="2"/>
                <w:color w:val="auto"/>
              </w:rPr>
            </w:pPr>
          </w:p>
        </w:tc>
        <w:tc>
          <w:tcPr>
            <w:tcW w:w="720" w:type="dxa"/>
            <w:vAlign w:val="bottom"/>
            <w:gridSpan w:val="2"/>
            <w:shd w:val="clear" w:color="auto" w:fill="000000"/>
          </w:tcPr>
          <w:p>
            <w:pPr>
              <w:spacing w:after="0"/>
              <w:rPr>
                <w:sz w:val="2"/>
                <w:szCs w:val="2"/>
                <w:color w:val="auto"/>
              </w:rPr>
            </w:pPr>
          </w:p>
        </w:tc>
        <w:tc>
          <w:tcPr>
            <w:tcW w:w="120" w:type="dxa"/>
            <w:vAlign w:val="bottom"/>
            <w:vMerge w:val="restart"/>
            <w:shd w:val="clear" w:color="auto" w:fill="CCEEFF"/>
          </w:tcPr>
          <w:p>
            <w:pPr>
              <w:spacing w:after="0"/>
              <w:rPr>
                <w:sz w:val="2"/>
                <w:szCs w:val="2"/>
                <w:color w:val="auto"/>
              </w:rPr>
            </w:pPr>
          </w:p>
        </w:tc>
        <w:tc>
          <w:tcPr>
            <w:tcW w:w="780" w:type="dxa"/>
            <w:vAlign w:val="bottom"/>
            <w:tcBorders>
              <w:right w:val="single" w:sz="8" w:color="CCEEFF"/>
            </w:tcBorders>
            <w:gridSpan w:val="2"/>
            <w:shd w:val="clear" w:color="auto" w:fill="000000"/>
          </w:tcPr>
          <w:p>
            <w:pPr>
              <w:spacing w:after="0"/>
              <w:rPr>
                <w:sz w:val="2"/>
                <w:szCs w:val="2"/>
                <w:color w:val="auto"/>
              </w:rPr>
            </w:pPr>
          </w:p>
        </w:tc>
        <w:tc>
          <w:tcPr>
            <w:tcW w:w="900" w:type="dxa"/>
            <w:vAlign w:val="bottom"/>
            <w:tcBorders>
              <w:left w:val="single" w:sz="8" w:color="CCEEFF"/>
              <w:right w:val="single" w:sz="8" w:color="auto"/>
            </w:tcBorders>
            <w:shd w:val="clear" w:color="auto" w:fill="000000"/>
          </w:tcPr>
          <w:p>
            <w:pPr>
              <w:spacing w:after="0"/>
              <w:rPr>
                <w:sz w:val="2"/>
                <w:szCs w:val="2"/>
                <w:color w:val="auto"/>
              </w:rPr>
            </w:pPr>
          </w:p>
        </w:tc>
        <w:tc>
          <w:tcPr>
            <w:tcW w:w="740" w:type="dxa"/>
            <w:vAlign w:val="bottom"/>
            <w:gridSpan w:val="2"/>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90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460" w:type="dxa"/>
            <w:vAlign w:val="bottom"/>
            <w:tcBorders>
              <w:right w:val="single" w:sz="8" w:color="CCEEFF"/>
            </w:tcBorders>
            <w:shd w:val="clear" w:color="auto" w:fill="CCEEFF"/>
          </w:tcPr>
          <w:p>
            <w:pPr>
              <w:spacing w:after="0"/>
              <w:rPr>
                <w:sz w:val="18"/>
                <w:szCs w:val="18"/>
                <w:color w:val="auto"/>
              </w:rPr>
            </w:pPr>
          </w:p>
        </w:tc>
        <w:tc>
          <w:tcPr>
            <w:tcW w:w="7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46,241</w:t>
            </w:r>
          </w:p>
        </w:tc>
        <w:tc>
          <w:tcPr>
            <w:tcW w:w="120" w:type="dxa"/>
            <w:vAlign w:val="bottom"/>
            <w:vMerge w:val="continue"/>
            <w:shd w:val="clear" w:color="auto" w:fill="CCEEFF"/>
          </w:tcPr>
          <w:p>
            <w:pPr>
              <w:spacing w:after="0"/>
              <w:rPr>
                <w:sz w:val="18"/>
                <w:szCs w:val="18"/>
                <w:color w:val="auto"/>
              </w:rPr>
            </w:pPr>
          </w:p>
        </w:tc>
        <w:tc>
          <w:tcPr>
            <w:tcW w:w="820" w:type="dxa"/>
            <w:vAlign w:val="bottom"/>
            <w:tcBorders>
              <w:right w:val="single" w:sz="8" w:color="CCEEFF"/>
            </w:tcBorders>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27,037</w:t>
            </w:r>
          </w:p>
        </w:tc>
        <w:tc>
          <w:tcPr>
            <w:tcW w:w="7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19,204</w:t>
            </w:r>
          </w:p>
        </w:tc>
        <w:tc>
          <w:tcPr>
            <w:tcW w:w="120" w:type="dxa"/>
            <w:vAlign w:val="bottom"/>
            <w:vMerge w:val="continue"/>
            <w:shd w:val="clear" w:color="auto" w:fill="CCEEFF"/>
          </w:tcPr>
          <w:p>
            <w:pPr>
              <w:spacing w:after="0"/>
              <w:rPr>
                <w:sz w:val="18"/>
                <w:szCs w:val="18"/>
                <w:color w:val="auto"/>
              </w:rPr>
            </w:pPr>
          </w:p>
        </w:tc>
        <w:tc>
          <w:tcPr>
            <w:tcW w:w="96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146,366</w:t>
            </w:r>
          </w:p>
        </w:tc>
        <w:tc>
          <w:tcPr>
            <w:tcW w:w="120" w:type="dxa"/>
            <w:vAlign w:val="bottom"/>
            <w:vMerge w:val="continue"/>
            <w:shd w:val="clear" w:color="auto" w:fill="CCEEFF"/>
          </w:tcPr>
          <w:p>
            <w:pPr>
              <w:spacing w:after="0"/>
              <w:rPr>
                <w:sz w:val="18"/>
                <w:szCs w:val="18"/>
                <w:color w:val="auto"/>
              </w:rPr>
            </w:pPr>
          </w:p>
        </w:tc>
        <w:tc>
          <w:tcPr>
            <w:tcW w:w="780" w:type="dxa"/>
            <w:vAlign w:val="bottom"/>
            <w:tcBorders>
              <w:righ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142,428</w:t>
            </w:r>
          </w:p>
        </w:tc>
        <w:tc>
          <w:tcPr>
            <w:tcW w:w="900" w:type="dxa"/>
            <w:vAlign w:val="bottom"/>
            <w:tcBorders>
              <w:left w:val="single" w:sz="8" w:color="CCEEFF"/>
              <w:right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3,938</w:t>
            </w:r>
          </w:p>
        </w:tc>
        <w:tc>
          <w:tcPr>
            <w:tcW w:w="9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98"/>
        </w:trPr>
        <w:tc>
          <w:tcPr>
            <w:tcW w:w="4940" w:type="dxa"/>
            <w:vAlign w:val="bottom"/>
            <w:gridSpan w:val="6"/>
          </w:tcPr>
          <w:p>
            <w:pPr>
              <w:spacing w:after="0" w:line="198" w:lineRule="exact"/>
              <w:rPr>
                <w:sz w:val="20"/>
                <w:szCs w:val="20"/>
                <w:color w:val="auto"/>
              </w:rPr>
            </w:pPr>
            <w:r>
              <w:rPr>
                <w:rFonts w:ascii="Times New Roman" w:cs="Times New Roman" w:eastAsia="Times New Roman" w:hAnsi="Times New Roman"/>
                <w:sz w:val="18"/>
                <w:szCs w:val="18"/>
                <w:color w:val="auto"/>
              </w:rPr>
              <w:t>Less Mining related revenues for the purpose of calculating</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9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gross Mining margin:</w:t>
            </w: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90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Mining revenues</w:t>
            </w:r>
          </w:p>
        </w:tc>
        <w:tc>
          <w:tcPr>
            <w:tcW w:w="1300" w:type="dxa"/>
            <w:vAlign w:val="bottom"/>
            <w:gridSpan w:val="6"/>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(44,956)</w:t>
            </w:r>
          </w:p>
        </w:tc>
        <w:tc>
          <w:tcPr>
            <w:tcW w:w="82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(25,936)</w:t>
            </w:r>
          </w:p>
        </w:tc>
        <w:tc>
          <w:tcPr>
            <w:tcW w:w="84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(19,020)</w:t>
            </w:r>
          </w:p>
        </w:tc>
        <w:tc>
          <w:tcPr>
            <w:tcW w:w="96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8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(141,306)</w:t>
            </w:r>
          </w:p>
        </w:tc>
        <w:tc>
          <w:tcPr>
            <w:tcW w:w="78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(138,985)</w:t>
            </w:r>
          </w:p>
        </w:tc>
        <w:tc>
          <w:tcPr>
            <w:tcW w:w="900" w:type="dxa"/>
            <w:vAlign w:val="bottom"/>
            <w:tcBorders>
              <w:left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(2,321)</w:t>
            </w:r>
          </w:p>
        </w:tc>
        <w:tc>
          <w:tcPr>
            <w:tcW w:w="9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38"/>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Non-Mining revenues</w:t>
            </w:r>
          </w:p>
        </w:tc>
        <w:tc>
          <w:tcPr>
            <w:tcW w:w="1300" w:type="dxa"/>
            <w:vAlign w:val="bottom"/>
            <w:gridSpan w:val="6"/>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1,285</w:t>
            </w:r>
          </w:p>
        </w:tc>
        <w:tc>
          <w:tcPr>
            <w:tcW w:w="82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1,101</w:t>
            </w:r>
          </w:p>
        </w:tc>
        <w:tc>
          <w:tcPr>
            <w:tcW w:w="84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184</w:t>
            </w: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5,060</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3,443</w:t>
            </w: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1,617</w:t>
            </w:r>
          </w:p>
        </w:tc>
        <w:tc>
          <w:tcPr>
            <w:tcW w:w="9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660"/>
        </w:trPr>
        <w:tc>
          <w:tcPr>
            <w:tcW w:w="28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gridSpan w:val="2"/>
          </w:tcPr>
          <w:p>
            <w:pPr>
              <w:jc w:val="center"/>
              <w:ind w:left="230"/>
              <w:spacing w:after="0"/>
              <w:rPr>
                <w:sz w:val="20"/>
                <w:szCs w:val="20"/>
                <w:color w:val="auto"/>
              </w:rPr>
            </w:pPr>
            <w:r>
              <w:rPr>
                <w:rFonts w:ascii="Times New Roman" w:cs="Times New Roman" w:eastAsia="Times New Roman" w:hAnsi="Times New Roman"/>
                <w:sz w:val="18"/>
                <w:szCs w:val="18"/>
                <w:color w:val="auto"/>
                <w:w w:val="99"/>
              </w:rPr>
              <w:t>12</w:t>
            </w:r>
          </w:p>
        </w:tc>
        <w:tc>
          <w:tcPr>
            <w:tcW w:w="2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440" w:gutter="0" w:footer="0" w:header="0"/>
        </w:sectPr>
      </w:pPr>
    </w:p>
    <w:bookmarkStart w:id="15" w:name="page16"/>
    <w:bookmarkEnd w:id="1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00" w:type="dxa"/>
            <w:vAlign w:val="bottom"/>
            <w:gridSpan w:val="12"/>
          </w:tcPr>
          <w:p>
            <w:pPr>
              <w:ind w:left="3100"/>
              <w:spacing w:after="0"/>
              <w:rPr>
                <w:sz w:val="20"/>
                <w:szCs w:val="20"/>
                <w:color w:val="auto"/>
              </w:rPr>
            </w:pPr>
            <w:r>
              <w:rPr>
                <w:rFonts w:ascii="Times New Roman" w:cs="Times New Roman" w:eastAsia="Times New Roman" w:hAnsi="Times New Roman"/>
                <w:sz w:val="18"/>
                <w:szCs w:val="18"/>
                <w:b w:val="1"/>
                <w:bCs w:val="1"/>
                <w:color w:val="auto"/>
              </w:rPr>
              <w:t>Bitfarms Ltd. Calculation of Direct Cost and Direct Cost per BTC</w:t>
            </w: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4240" w:type="dxa"/>
            <w:vAlign w:val="bottom"/>
          </w:tcPr>
          <w:p>
            <w:pPr>
              <w:spacing w:after="0"/>
              <w:rPr>
                <w:sz w:val="24"/>
                <w:szCs w:val="24"/>
                <w:color w:val="auto"/>
              </w:rPr>
            </w:pPr>
          </w:p>
        </w:tc>
        <w:tc>
          <w:tcPr>
            <w:tcW w:w="3620" w:type="dxa"/>
            <w:vAlign w:val="bottom"/>
            <w:gridSpan w:val="9"/>
          </w:tcPr>
          <w:p>
            <w:pPr>
              <w:ind w:left="300"/>
              <w:spacing w:after="0"/>
              <w:rPr>
                <w:sz w:val="20"/>
                <w:szCs w:val="20"/>
                <w:color w:val="auto"/>
              </w:rPr>
            </w:pPr>
            <w:r>
              <w:rPr>
                <w:rFonts w:ascii="Times New Roman" w:cs="Times New Roman" w:eastAsia="Times New Roman" w:hAnsi="Times New Roman"/>
                <w:sz w:val="18"/>
                <w:szCs w:val="18"/>
                <w:b w:val="1"/>
                <w:bCs w:val="1"/>
                <w:color w:val="auto"/>
              </w:rPr>
              <w:t>Three months ended December 31,</w:t>
            </w:r>
          </w:p>
        </w:tc>
        <w:tc>
          <w:tcPr>
            <w:tcW w:w="3380" w:type="dxa"/>
            <w:vAlign w:val="bottom"/>
            <w:gridSpan w:val="9"/>
          </w:tcPr>
          <w:p>
            <w:pPr>
              <w:jc w:val="right"/>
              <w:ind w:right="86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0" w:type="dxa"/>
            <w:vAlign w:val="bottom"/>
          </w:tcPr>
          <w:p>
            <w:pPr>
              <w:spacing w:after="0"/>
              <w:rPr>
                <w:sz w:val="1"/>
                <w:szCs w:val="1"/>
                <w:color w:val="auto"/>
              </w:rPr>
            </w:pPr>
          </w:p>
        </w:tc>
      </w:tr>
      <w:tr>
        <w:trPr>
          <w:trHeight w:val="236"/>
        </w:trPr>
        <w:tc>
          <w:tcPr>
            <w:tcW w:w="4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(U.S.$ in thousands except where indicated)</w:t>
            </w:r>
          </w:p>
        </w:tc>
        <w:tc>
          <w:tcPr>
            <w:tcW w:w="72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Borders>
              <w:top w:val="single" w:sz="8" w:color="auto"/>
              <w:bottom w:val="single" w:sz="8" w:color="CCEEFF"/>
            </w:tcBorders>
          </w:tcPr>
          <w:p>
            <w:pPr>
              <w:spacing w:after="0"/>
              <w:rPr>
                <w:sz w:val="20"/>
                <w:szCs w:val="20"/>
                <w:color w:val="auto"/>
              </w:rPr>
            </w:pPr>
          </w:p>
        </w:tc>
        <w:tc>
          <w:tcPr>
            <w:tcW w:w="72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tcBorders>
              <w:top w:val="single" w:sz="8" w:color="auto"/>
              <w:bottom w:val="single" w:sz="8" w:color="CCEEFF"/>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 Change</w:t>
            </w:r>
          </w:p>
        </w:tc>
        <w:tc>
          <w:tcPr>
            <w:tcW w:w="120" w:type="dxa"/>
            <w:vAlign w:val="bottom"/>
            <w:tcBorders>
              <w:top w:val="single" w:sz="8" w:color="auto"/>
              <w:bottom w:val="single" w:sz="8" w:color="CCEEFF"/>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 Change</w:t>
            </w:r>
          </w:p>
        </w:tc>
        <w:tc>
          <w:tcPr>
            <w:tcW w:w="280" w:type="dxa"/>
            <w:vAlign w:val="bottom"/>
            <w:tcBorders>
              <w:bottom w:val="single" w:sz="8" w:color="CCEEFF"/>
            </w:tcBorders>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Borders>
              <w:top w:val="single" w:sz="8" w:color="auto"/>
              <w:bottom w:val="single" w:sz="8" w:color="CCEEFF"/>
            </w:tcBorders>
          </w:tcPr>
          <w:p>
            <w:pPr>
              <w:spacing w:after="0"/>
              <w:rPr>
                <w:sz w:val="20"/>
                <w:szCs w:val="20"/>
                <w:color w:val="auto"/>
              </w:rPr>
            </w:pPr>
          </w:p>
        </w:tc>
        <w:tc>
          <w:tcPr>
            <w:tcW w:w="72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tcBorders>
              <w:top w:val="single" w:sz="8" w:color="auto"/>
              <w:bottom w:val="single" w:sz="8" w:color="CCEEFF"/>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 Change</w:t>
            </w:r>
          </w:p>
        </w:tc>
        <w:tc>
          <w:tcPr>
            <w:tcW w:w="120" w:type="dxa"/>
            <w:vAlign w:val="bottom"/>
            <w:tcBorders>
              <w:top w:val="single" w:sz="8" w:color="auto"/>
              <w:bottom w:val="single" w:sz="8" w:color="CCEEFF"/>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 Change</w:t>
            </w:r>
          </w:p>
        </w:tc>
        <w:tc>
          <w:tcPr>
            <w:tcW w:w="2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2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Cost of revenues</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44,484</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39,121</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5,363</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167,868</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131,910</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35,958</w:t>
            </w:r>
          </w:p>
        </w:tc>
        <w:tc>
          <w:tcPr>
            <w:tcW w:w="120" w:type="dxa"/>
            <w:vAlign w:val="bottom"/>
            <w:tcBorders>
              <w:right w:val="single" w:sz="8" w:color="CCEEFF"/>
            </w:tcBorders>
            <w:shd w:val="clear" w:color="auto" w:fill="CCEEFF"/>
          </w:tcPr>
          <w:p>
            <w:pPr>
              <w:spacing w:after="0"/>
              <w:rPr>
                <w:sz w:val="18"/>
                <w:szCs w:val="18"/>
                <w:color w:val="auto"/>
              </w:rPr>
            </w:pPr>
          </w:p>
        </w:tc>
        <w:tc>
          <w:tcPr>
            <w:tcW w:w="9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(21,790)</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(20,777)</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(1,013)</w:t>
            </w:r>
          </w:p>
        </w:tc>
        <w:tc>
          <w:tcPr>
            <w:tcW w:w="10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(84,785)</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(72,420)</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(12,365)</w:t>
            </w:r>
          </w:p>
        </w:tc>
        <w:tc>
          <w:tcPr>
            <w:tcW w:w="9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6"/>
        </w:trPr>
        <w:tc>
          <w:tcPr>
            <w:tcW w:w="42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Purchases of electrical components</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(750)</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(507)</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(243)</w:t>
            </w:r>
          </w:p>
        </w:tc>
        <w:tc>
          <w:tcPr>
            <w:tcW w:w="10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48%</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(2,580)</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(1,759)</w:t>
            </w:r>
          </w:p>
        </w:tc>
        <w:tc>
          <w:tcPr>
            <w:tcW w:w="840" w:type="dxa"/>
            <w:vAlign w:val="bottom"/>
            <w:tcBorders>
              <w:righ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(821)</w:t>
            </w:r>
          </w:p>
        </w:tc>
        <w:tc>
          <w:tcPr>
            <w:tcW w:w="9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Electrician salaries and payroll taxes</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(341)</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(392)</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51</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(1,561)</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(1,316)</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(245)</w:t>
            </w:r>
          </w:p>
        </w:tc>
        <w:tc>
          <w:tcPr>
            <w:tcW w:w="9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16"/>
        </w:trPr>
        <w:tc>
          <w:tcPr>
            <w:tcW w:w="42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Infrastructure</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(1,607)</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(1,030)</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(577)</w:t>
            </w:r>
          </w:p>
        </w:tc>
        <w:tc>
          <w:tcPr>
            <w:tcW w:w="10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56%</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(3,909)</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(4,871)</w:t>
            </w:r>
          </w:p>
        </w:tc>
        <w:tc>
          <w:tcPr>
            <w:tcW w:w="8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962</w:t>
            </w:r>
          </w:p>
        </w:tc>
        <w:tc>
          <w:tcPr>
            <w:tcW w:w="9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(658)</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658</w:t>
            </w:r>
          </w:p>
        </w:tc>
        <w:tc>
          <w:tcPr>
            <w:tcW w:w="10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100%</w:t>
            </w:r>
          </w:p>
        </w:tc>
        <w:tc>
          <w:tcPr>
            <w:tcW w:w="8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82</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(82)</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164</w:t>
            </w:r>
          </w:p>
        </w:tc>
        <w:tc>
          <w:tcPr>
            <w:tcW w:w="9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200%</w:t>
            </w:r>
          </w:p>
        </w:tc>
        <w:tc>
          <w:tcPr>
            <w:tcW w:w="0" w:type="dxa"/>
            <w:vAlign w:val="bottom"/>
          </w:tcPr>
          <w:p>
            <w:pPr>
              <w:spacing w:after="0"/>
              <w:rPr>
                <w:sz w:val="1"/>
                <w:szCs w:val="1"/>
                <w:color w:val="auto"/>
              </w:rPr>
            </w:pPr>
          </w:p>
        </w:tc>
      </w:tr>
      <w:tr>
        <w:trPr>
          <w:trHeight w:val="216"/>
        </w:trPr>
        <w:tc>
          <w:tcPr>
            <w:tcW w:w="42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Direct Cost</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19,996</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15,757</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4,239</w:t>
            </w:r>
          </w:p>
        </w:tc>
        <w:tc>
          <w:tcPr>
            <w:tcW w:w="10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75,115</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51,462</w:t>
            </w:r>
          </w:p>
        </w:tc>
        <w:tc>
          <w:tcPr>
            <w:tcW w:w="8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23,653</w:t>
            </w:r>
          </w:p>
        </w:tc>
        <w:tc>
          <w:tcPr>
            <w:tcW w:w="9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Quantity of BTC earned</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1,236</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1,434</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(198)</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4,928</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5,167</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(239)</w:t>
            </w: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42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Direct Cost per BTC (in U.S. dollars)</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16,200</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11,000</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5,200</w:t>
            </w:r>
          </w:p>
        </w:tc>
        <w:tc>
          <w:tcPr>
            <w:tcW w:w="10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47%</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15,200</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10,000</w:t>
            </w:r>
          </w:p>
        </w:tc>
        <w:tc>
          <w:tcPr>
            <w:tcW w:w="8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5,200</w:t>
            </w:r>
          </w:p>
        </w:tc>
        <w:tc>
          <w:tcPr>
            <w:tcW w:w="9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432"/>
        </w:trPr>
        <w:tc>
          <w:tcPr>
            <w:tcW w:w="7860" w:type="dxa"/>
            <w:vAlign w:val="bottom"/>
            <w:gridSpan w:val="10"/>
          </w:tcPr>
          <w:p>
            <w:pPr>
              <w:ind w:left="3420"/>
              <w:spacing w:after="0"/>
              <w:rPr>
                <w:sz w:val="20"/>
                <w:szCs w:val="20"/>
                <w:color w:val="auto"/>
              </w:rPr>
            </w:pPr>
            <w:r>
              <w:rPr>
                <w:rFonts w:ascii="Times New Roman" w:cs="Times New Roman" w:eastAsia="Times New Roman" w:hAnsi="Times New Roman"/>
                <w:sz w:val="18"/>
                <w:szCs w:val="18"/>
                <w:b w:val="1"/>
                <w:bCs w:val="1"/>
                <w:color w:val="auto"/>
                <w:w w:val="99"/>
              </w:rPr>
              <w:t>Bitfarms Ltd. of Total Cash Cost and Total Cost per BTC</w:t>
            </w: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2"/>
        </w:trPr>
        <w:tc>
          <w:tcPr>
            <w:tcW w:w="4240" w:type="dxa"/>
            <w:vAlign w:val="bottom"/>
          </w:tcPr>
          <w:p>
            <w:pPr>
              <w:spacing w:after="0"/>
              <w:rPr>
                <w:sz w:val="24"/>
                <w:szCs w:val="24"/>
                <w:color w:val="auto"/>
              </w:rPr>
            </w:pPr>
          </w:p>
        </w:tc>
        <w:tc>
          <w:tcPr>
            <w:tcW w:w="3260" w:type="dxa"/>
            <w:vAlign w:val="bottom"/>
            <w:tcBorders>
              <w:bottom w:val="single" w:sz="8" w:color="auto"/>
            </w:tcBorders>
            <w:gridSpan w:val="7"/>
          </w:tcPr>
          <w:p>
            <w:pPr>
              <w:ind w:left="300"/>
              <w:spacing w:after="0"/>
              <w:rPr>
                <w:sz w:val="20"/>
                <w:szCs w:val="20"/>
                <w:color w:val="auto"/>
              </w:rPr>
            </w:pPr>
            <w:r>
              <w:rPr>
                <w:rFonts w:ascii="Times New Roman" w:cs="Times New Roman" w:eastAsia="Times New Roman" w:hAnsi="Times New Roman"/>
                <w:sz w:val="18"/>
                <w:szCs w:val="18"/>
                <w:b w:val="1"/>
                <w:bCs w:val="1"/>
                <w:color w:val="auto"/>
              </w:rPr>
              <w:t>Three months ended December 31,</w:t>
            </w:r>
          </w:p>
        </w:tc>
        <w:tc>
          <w:tcPr>
            <w:tcW w:w="28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gridSpan w:val="7"/>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2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(U.S.$ in thousands except where indicated)</w:t>
            </w:r>
          </w:p>
        </w:tc>
        <w:tc>
          <w:tcPr>
            <w:tcW w:w="72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22"/>
                <w:szCs w:val="22"/>
                <w:color w:val="auto"/>
              </w:rPr>
            </w:pPr>
          </w:p>
        </w:tc>
        <w:tc>
          <w:tcPr>
            <w:tcW w:w="720" w:type="dxa"/>
            <w:vAlign w:val="bottom"/>
          </w:tcPr>
          <w:p>
            <w:pPr>
              <w:jc w:val="center"/>
              <w:spacing w:after="0" w:line="256" w:lineRule="exact"/>
              <w:rPr>
                <w:sz w:val="20"/>
                <w:szCs w:val="20"/>
                <w:color w:val="auto"/>
              </w:rPr>
            </w:pPr>
            <w:r>
              <w:rPr>
                <w:rFonts w:ascii="Times New Roman" w:cs="Times New Roman" w:eastAsia="Times New Roman" w:hAnsi="Times New Roman"/>
                <w:sz w:val="18"/>
                <w:szCs w:val="18"/>
                <w:color w:val="auto"/>
              </w:rPr>
              <w:t xml:space="preserve">2022 </w:t>
            </w:r>
            <w:r>
              <w:rPr>
                <w:rFonts w:ascii="Times New Roman" w:cs="Times New Roman" w:eastAsia="Times New Roman" w:hAnsi="Times New Roman"/>
                <w:sz w:val="29"/>
                <w:szCs w:val="29"/>
                <w:color w:val="auto"/>
                <w:vertAlign w:val="superscript"/>
              </w:rPr>
              <w:t>(1)</w:t>
            </w:r>
          </w:p>
        </w:tc>
        <w:tc>
          <w:tcPr>
            <w:tcW w:w="12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 Change</w:t>
            </w:r>
          </w:p>
        </w:tc>
        <w:tc>
          <w:tcPr>
            <w:tcW w:w="120" w:type="dxa"/>
            <w:vAlign w:val="bottom"/>
          </w:tcPr>
          <w:p>
            <w:pPr>
              <w:spacing w:after="0"/>
              <w:rPr>
                <w:sz w:val="22"/>
                <w:szCs w:val="22"/>
                <w:color w:val="auto"/>
              </w:rPr>
            </w:pPr>
          </w:p>
        </w:tc>
        <w:tc>
          <w:tcPr>
            <w:tcW w:w="110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w w:val="96"/>
              </w:rPr>
              <w:t>% Change</w:t>
            </w:r>
          </w:p>
        </w:tc>
        <w:tc>
          <w:tcPr>
            <w:tcW w:w="62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22"/>
                <w:szCs w:val="22"/>
                <w:color w:val="auto"/>
              </w:rPr>
            </w:pPr>
          </w:p>
        </w:tc>
        <w:tc>
          <w:tcPr>
            <w:tcW w:w="720" w:type="dxa"/>
            <w:vAlign w:val="bottom"/>
          </w:tcPr>
          <w:p>
            <w:pPr>
              <w:jc w:val="center"/>
              <w:spacing w:after="0" w:line="256" w:lineRule="exact"/>
              <w:rPr>
                <w:sz w:val="20"/>
                <w:szCs w:val="20"/>
                <w:color w:val="auto"/>
              </w:rPr>
            </w:pPr>
            <w:r>
              <w:rPr>
                <w:rFonts w:ascii="Times New Roman" w:cs="Times New Roman" w:eastAsia="Times New Roman" w:hAnsi="Times New Roman"/>
                <w:sz w:val="18"/>
                <w:szCs w:val="18"/>
                <w:color w:val="auto"/>
              </w:rPr>
              <w:t xml:space="preserve">2022 </w:t>
            </w:r>
            <w:r>
              <w:rPr>
                <w:rFonts w:ascii="Times New Roman" w:cs="Times New Roman" w:eastAsia="Times New Roman" w:hAnsi="Times New Roman"/>
                <w:sz w:val="29"/>
                <w:szCs w:val="29"/>
                <w:color w:val="auto"/>
                <w:vertAlign w:val="superscript"/>
              </w:rPr>
              <w:t>(1)</w:t>
            </w:r>
          </w:p>
        </w:tc>
        <w:tc>
          <w:tcPr>
            <w:tcW w:w="120" w:type="dxa"/>
            <w:vAlign w:val="bottom"/>
          </w:tcPr>
          <w:p>
            <w:pPr>
              <w:spacing w:after="0"/>
              <w:rPr>
                <w:sz w:val="22"/>
                <w:szCs w:val="22"/>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9"/>
              </w:rPr>
              <w:t>$ Change</w:t>
            </w:r>
          </w:p>
        </w:tc>
        <w:tc>
          <w:tcPr>
            <w:tcW w:w="9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w w:val="96"/>
              </w:rPr>
              <w:t>% Change</w:t>
            </w:r>
          </w:p>
        </w:tc>
        <w:tc>
          <w:tcPr>
            <w:tcW w:w="0" w:type="dxa"/>
            <w:vAlign w:val="bottom"/>
          </w:tcPr>
          <w:p>
            <w:pPr>
              <w:spacing w:after="0"/>
              <w:rPr>
                <w:sz w:val="1"/>
                <w:szCs w:val="1"/>
                <w:color w:val="auto"/>
              </w:rPr>
            </w:pPr>
          </w:p>
        </w:tc>
      </w:tr>
      <w:tr>
        <w:trPr>
          <w:trHeight w:val="27"/>
        </w:trPr>
        <w:tc>
          <w:tcPr>
            <w:tcW w:w="4240" w:type="dxa"/>
            <w:vAlign w:val="bottom"/>
            <w:tcBorders>
              <w:right w:val="single" w:sz="8" w:color="CCEEFF"/>
            </w:tcBorders>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vMerge w:val="restart"/>
            <w:shd w:val="clear" w:color="auto" w:fill="CCEEFF"/>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vMerge w:val="restart"/>
            <w:shd w:val="clear" w:color="auto" w:fill="CCEEFF"/>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vMerge w:val="restart"/>
            <w:shd w:val="clear" w:color="auto" w:fill="CCEEFF"/>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vMerge w:val="restart"/>
            <w:shd w:val="clear" w:color="auto" w:fill="CCEEFF"/>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vMerge w:val="restart"/>
            <w:shd w:val="clear" w:color="auto" w:fill="CCEEFF"/>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Borders>
              <w:right w:val="single" w:sz="8" w:color="CCEEFF"/>
            </w:tcBorders>
            <w:vMerge w:val="restart"/>
            <w:shd w:val="clear" w:color="auto" w:fill="CCEEFF"/>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line="20" w:lineRule="exact"/>
              <w:rPr>
                <w:sz w:val="1"/>
                <w:szCs w:val="1"/>
                <w:color w:val="auto"/>
              </w:rPr>
            </w:pPr>
          </w:p>
        </w:tc>
      </w:tr>
      <w:tr>
        <w:trPr>
          <w:trHeight w:val="216"/>
        </w:trPr>
        <w:tc>
          <w:tcPr>
            <w:tcW w:w="42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 before income taxes</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57,537</w:t>
            </w:r>
          </w:p>
        </w:tc>
        <w:tc>
          <w:tcPr>
            <w:tcW w:w="120" w:type="dxa"/>
            <w:vAlign w:val="bottom"/>
            <w:vMerge w:val="continue"/>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12,893</w:t>
            </w:r>
          </w:p>
        </w:tc>
        <w:tc>
          <w:tcPr>
            <w:tcW w:w="120" w:type="dxa"/>
            <w:vAlign w:val="bottom"/>
            <w:vMerge w:val="continue"/>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44,644</w:t>
            </w:r>
          </w:p>
        </w:tc>
        <w:tc>
          <w:tcPr>
            <w:tcW w:w="120" w:type="dxa"/>
            <w:vAlign w:val="bottom"/>
            <w:vMerge w:val="continue"/>
            <w:shd w:val="clear" w:color="auto" w:fill="CCEEFF"/>
          </w:tcPr>
          <w:p>
            <w:pPr>
              <w:spacing w:after="0"/>
              <w:rPr>
                <w:sz w:val="18"/>
                <w:szCs w:val="18"/>
                <w:color w:val="auto"/>
              </w:rPr>
            </w:pPr>
          </w:p>
        </w:tc>
        <w:tc>
          <w:tcPr>
            <w:tcW w:w="10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346%</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104,437</w:t>
            </w:r>
          </w:p>
        </w:tc>
        <w:tc>
          <w:tcPr>
            <w:tcW w:w="120" w:type="dxa"/>
            <w:vAlign w:val="bottom"/>
            <w:vMerge w:val="continue"/>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193,056</w:t>
            </w:r>
          </w:p>
        </w:tc>
        <w:tc>
          <w:tcPr>
            <w:tcW w:w="120" w:type="dxa"/>
            <w:vAlign w:val="bottom"/>
            <w:vMerge w:val="continue"/>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(88,619)</w:t>
            </w:r>
          </w:p>
        </w:tc>
        <w:tc>
          <w:tcPr>
            <w:tcW w:w="120" w:type="dxa"/>
            <w:vAlign w:val="bottom"/>
            <w:tcBorders>
              <w:right w:val="single" w:sz="8" w:color="CCEEFF"/>
            </w:tcBorders>
            <w:vMerge w:val="continue"/>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2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Revenues</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46,241</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27,037</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19,204</w:t>
            </w:r>
          </w:p>
        </w:tc>
        <w:tc>
          <w:tcPr>
            <w:tcW w:w="10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71%</w:t>
            </w:r>
          </w:p>
        </w:tc>
        <w:tc>
          <w:tcPr>
            <w:tcW w:w="8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146,366</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142,428</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3,938</w:t>
            </w:r>
          </w:p>
        </w:tc>
        <w:tc>
          <w:tcPr>
            <w:tcW w:w="9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42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(21,790)</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(20,777)</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(1,013)</w:t>
            </w:r>
          </w:p>
        </w:tc>
        <w:tc>
          <w:tcPr>
            <w:tcW w:w="10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(84,785)</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(72,420)</w:t>
            </w:r>
          </w:p>
        </w:tc>
        <w:tc>
          <w:tcPr>
            <w:tcW w:w="840" w:type="dxa"/>
            <w:vAlign w:val="bottom"/>
            <w:tcBorders>
              <w:righ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(12,365)</w:t>
            </w:r>
          </w:p>
        </w:tc>
        <w:tc>
          <w:tcPr>
            <w:tcW w:w="9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Purchases of electrical components</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(750)</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(507)</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(243)</w:t>
            </w:r>
          </w:p>
        </w:tc>
        <w:tc>
          <w:tcPr>
            <w:tcW w:w="10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48%</w:t>
            </w:r>
          </w:p>
        </w:tc>
        <w:tc>
          <w:tcPr>
            <w:tcW w:w="8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(2,580)</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(1,759)</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(821)</w:t>
            </w:r>
          </w:p>
        </w:tc>
        <w:tc>
          <w:tcPr>
            <w:tcW w:w="9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16"/>
        </w:trPr>
        <w:tc>
          <w:tcPr>
            <w:tcW w:w="42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Electrician salaries and payroll taxes</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(341)</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(392)</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51</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(1,561)</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(1,316)</w:t>
            </w:r>
          </w:p>
        </w:tc>
        <w:tc>
          <w:tcPr>
            <w:tcW w:w="840" w:type="dxa"/>
            <w:vAlign w:val="bottom"/>
            <w:tcBorders>
              <w:righ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(245)</w:t>
            </w:r>
          </w:p>
        </w:tc>
        <w:tc>
          <w:tcPr>
            <w:tcW w:w="9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Share-based payment</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(3,906)</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(3,795)</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(111)</w:t>
            </w:r>
          </w:p>
        </w:tc>
        <w:tc>
          <w:tcPr>
            <w:tcW w:w="10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(10,915)</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(21,788)</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10,873</w:t>
            </w: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16"/>
        </w:trPr>
        <w:tc>
          <w:tcPr>
            <w:tcW w:w="42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Realized loss on disposition of digital assets</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(28,567)</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28,567</w:t>
            </w:r>
          </w:p>
        </w:tc>
        <w:tc>
          <w:tcPr>
            <w:tcW w:w="10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100%</w:t>
            </w:r>
          </w:p>
        </w:tc>
        <w:tc>
          <w:tcPr>
            <w:tcW w:w="80" w:type="dxa"/>
            <w:vAlign w:val="bottom"/>
            <w:shd w:val="clear" w:color="auto" w:fill="CCEEFF"/>
          </w:tcPr>
          <w:p>
            <w:pPr>
              <w:spacing w:after="0"/>
              <w:rPr>
                <w:sz w:val="18"/>
                <w:szCs w:val="18"/>
                <w:color w:val="auto"/>
              </w:rPr>
            </w:pPr>
          </w:p>
        </w:tc>
        <w:tc>
          <w:tcPr>
            <w:tcW w:w="158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(150,810)</w:t>
            </w:r>
          </w:p>
        </w:tc>
        <w:tc>
          <w:tcPr>
            <w:tcW w:w="8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150,810</w:t>
            </w:r>
          </w:p>
        </w:tc>
        <w:tc>
          <w:tcPr>
            <w:tcW w:w="9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Reversal of revaluation loss on digital assets</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1,183</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23,284</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(22,101)</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8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2,695</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2,166</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529</w:t>
            </w:r>
          </w:p>
        </w:tc>
        <w:tc>
          <w:tcPr>
            <w:tcW w:w="9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198"/>
        </w:trPr>
        <w:tc>
          <w:tcPr>
            <w:tcW w:w="4240" w:type="dxa"/>
            <w:vAlign w:val="bottom"/>
            <w:tcBorders>
              <w:right w:val="single" w:sz="8" w:color="CCEEFF"/>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(Loss) gain on disposition of property, plant and</w:t>
            </w:r>
          </w:p>
        </w:tc>
        <w:tc>
          <w:tcPr>
            <w:tcW w:w="84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w:t>
            </w: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(1,778)</w:t>
            </w: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24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equipment</w:t>
            </w:r>
          </w:p>
        </w:tc>
        <w:tc>
          <w:tcPr>
            <w:tcW w:w="840" w:type="dxa"/>
            <w:vAlign w:val="bottom"/>
            <w:gridSpan w:val="2"/>
            <w:vMerge w:val="continue"/>
            <w:shd w:val="clear" w:color="auto" w:fill="CCEEFF"/>
          </w:tcPr>
          <w:p>
            <w:pPr>
              <w:spacing w:after="0"/>
              <w:rPr>
                <w:sz w:val="20"/>
                <w:szCs w:val="20"/>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415</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(417)</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80" w:type="dxa"/>
            <w:vAlign w:val="bottom"/>
            <w:shd w:val="clear" w:color="auto" w:fill="CCEEFF"/>
          </w:tcPr>
          <w:p>
            <w:pPr>
              <w:spacing w:after="0"/>
              <w:rPr>
                <w:sz w:val="20"/>
                <w:szCs w:val="20"/>
                <w:color w:val="auto"/>
              </w:rPr>
            </w:pPr>
          </w:p>
        </w:tc>
        <w:tc>
          <w:tcPr>
            <w:tcW w:w="740" w:type="dxa"/>
            <w:vAlign w:val="bottom"/>
            <w:gridSpan w:val="2"/>
            <w:vMerge w:val="continue"/>
            <w:shd w:val="clear" w:color="auto" w:fill="CCEEFF"/>
          </w:tcPr>
          <w:p>
            <w:pPr>
              <w:spacing w:after="0"/>
              <w:rPr>
                <w:sz w:val="20"/>
                <w:szCs w:val="20"/>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(1,277)</w:t>
            </w:r>
          </w:p>
        </w:tc>
        <w:tc>
          <w:tcPr>
            <w:tcW w:w="840" w:type="dxa"/>
            <w:vAlign w:val="bottom"/>
            <w:tcBorders>
              <w:righ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(501)</w:t>
            </w:r>
          </w:p>
        </w:tc>
        <w:tc>
          <w:tcPr>
            <w:tcW w:w="9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198"/>
        </w:trPr>
        <w:tc>
          <w:tcPr>
            <w:tcW w:w="42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Impairment (charge) reversal on short-term prepaid</w:t>
            </w: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deposits, equipment and construction prepayments,</w:t>
            </w:r>
          </w:p>
        </w:tc>
        <w:tc>
          <w:tcPr>
            <w:tcW w:w="8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(2,270)</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(12,252)</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property, plant and equipment and right-of-use assets</w:t>
            </w:r>
          </w:p>
        </w:tc>
        <w:tc>
          <w:tcPr>
            <w:tcW w:w="840" w:type="dxa"/>
            <w:vAlign w:val="bottom"/>
            <w:gridSpan w:val="2"/>
            <w:vMerge w:val="continue"/>
          </w:tcPr>
          <w:p>
            <w:pPr>
              <w:spacing w:after="0"/>
              <w:rPr>
                <w:sz w:val="20"/>
                <w:szCs w:val="20"/>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8,903</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(11,173)</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80" w:type="dxa"/>
            <w:vAlign w:val="bottom"/>
          </w:tcPr>
          <w:p>
            <w:pPr>
              <w:spacing w:after="0"/>
              <w:rPr>
                <w:sz w:val="20"/>
                <w:szCs w:val="20"/>
                <w:color w:val="auto"/>
              </w:rPr>
            </w:pPr>
          </w:p>
        </w:tc>
        <w:tc>
          <w:tcPr>
            <w:tcW w:w="740" w:type="dxa"/>
            <w:vAlign w:val="bottom"/>
            <w:gridSpan w:val="2"/>
            <w:vMerge w:val="continue"/>
          </w:tcPr>
          <w:p>
            <w:pPr>
              <w:spacing w:after="0"/>
              <w:rPr>
                <w:sz w:val="20"/>
                <w:szCs w:val="20"/>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(75,213)</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62,961</w:t>
            </w: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16"/>
        </w:trPr>
        <w:tc>
          <w:tcPr>
            <w:tcW w:w="42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 on goodwill</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(17,900)</w:t>
            </w:r>
          </w:p>
        </w:tc>
        <w:tc>
          <w:tcPr>
            <w:tcW w:w="8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17,900</w:t>
            </w:r>
          </w:p>
        </w:tc>
        <w:tc>
          <w:tcPr>
            <w:tcW w:w="9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Net financial income (expenses)</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(44,800)</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7,128</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(51,928)</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(729)%</w:t>
            </w:r>
          </w:p>
        </w:tc>
        <w:tc>
          <w:tcPr>
            <w:tcW w:w="8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(32,308)</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90,966</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(123,274)</w:t>
            </w: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0" w:type="dxa"/>
            <w:vAlign w:val="bottom"/>
          </w:tcPr>
          <w:p>
            <w:pPr>
              <w:spacing w:after="0"/>
              <w:rPr>
                <w:sz w:val="1"/>
                <w:szCs w:val="1"/>
                <w:color w:val="auto"/>
              </w:rPr>
            </w:pPr>
          </w:p>
        </w:tc>
      </w:tr>
      <w:tr>
        <w:trPr>
          <w:trHeight w:val="230"/>
        </w:trPr>
        <w:tc>
          <w:tcPr>
            <w:tcW w:w="42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(2,124)</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2,124</w:t>
            </w:r>
          </w:p>
        </w:tc>
        <w:tc>
          <w:tcPr>
            <w:tcW w:w="10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100%</w:t>
            </w:r>
          </w:p>
        </w:tc>
        <w:tc>
          <w:tcPr>
            <w:tcW w:w="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(97)</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(1,548)</w:t>
            </w:r>
          </w:p>
        </w:tc>
        <w:tc>
          <w:tcPr>
            <w:tcW w:w="8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1,451</w:t>
            </w:r>
          </w:p>
        </w:tc>
        <w:tc>
          <w:tcPr>
            <w:tcW w:w="9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Cash Cost</w:t>
            </w: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vMerge w:val="restart"/>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vMerge w:val="restart"/>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vMerge w:val="restart"/>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vMerge w:val="restart"/>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vMerge w:val="restart"/>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vMerge w:val="restart"/>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240" w:type="dxa"/>
            <w:vAlign w:val="bottom"/>
            <w:vMerge w:val="continue"/>
          </w:tcPr>
          <w:p>
            <w:pPr>
              <w:spacing w:after="0"/>
              <w:rPr>
                <w:sz w:val="17"/>
                <w:szCs w:val="17"/>
                <w:color w:val="auto"/>
              </w:rPr>
            </w:pPr>
          </w:p>
        </w:tc>
        <w:tc>
          <w:tcPr>
            <w:tcW w:w="7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31,102</w:t>
            </w:r>
          </w:p>
        </w:tc>
        <w:tc>
          <w:tcPr>
            <w:tcW w:w="120" w:type="dxa"/>
            <w:vAlign w:val="bottom"/>
            <w:vMerge w:val="continue"/>
          </w:tcPr>
          <w:p>
            <w:pPr>
              <w:spacing w:after="0"/>
              <w:rPr>
                <w:sz w:val="17"/>
                <w:szCs w:val="17"/>
                <w:color w:val="auto"/>
              </w:rPr>
            </w:pPr>
          </w:p>
        </w:tc>
        <w:tc>
          <w:tcPr>
            <w:tcW w:w="7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23,498</w:t>
            </w:r>
          </w:p>
        </w:tc>
        <w:tc>
          <w:tcPr>
            <w:tcW w:w="120" w:type="dxa"/>
            <w:vAlign w:val="bottom"/>
            <w:vMerge w:val="continue"/>
          </w:tcPr>
          <w:p>
            <w:pPr>
              <w:spacing w:after="0"/>
              <w:rPr>
                <w:sz w:val="17"/>
                <w:szCs w:val="17"/>
                <w:color w:val="auto"/>
              </w:rPr>
            </w:pPr>
          </w:p>
        </w:tc>
        <w:tc>
          <w:tcPr>
            <w:tcW w:w="7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7,604</w:t>
            </w:r>
          </w:p>
        </w:tc>
        <w:tc>
          <w:tcPr>
            <w:tcW w:w="120" w:type="dxa"/>
            <w:vAlign w:val="bottom"/>
            <w:vMerge w:val="continue"/>
          </w:tcPr>
          <w:p>
            <w:pPr>
              <w:spacing w:after="0"/>
              <w:rPr>
                <w:sz w:val="17"/>
                <w:szCs w:val="17"/>
                <w:color w:val="auto"/>
              </w:rPr>
            </w:pPr>
          </w:p>
        </w:tc>
        <w:tc>
          <w:tcPr>
            <w:tcW w:w="1020" w:type="dxa"/>
            <w:vAlign w:val="bottom"/>
            <w:gridSpan w:val="2"/>
          </w:tcPr>
          <w:p>
            <w:pPr>
              <w:jc w:val="right"/>
              <w:ind w:right="30"/>
              <w:spacing w:after="0" w:line="203" w:lineRule="exact"/>
              <w:rPr>
                <w:sz w:val="20"/>
                <w:szCs w:val="20"/>
                <w:color w:val="auto"/>
              </w:rPr>
            </w:pPr>
            <w:r>
              <w:rPr>
                <w:rFonts w:ascii="Times New Roman" w:cs="Times New Roman" w:eastAsia="Times New Roman" w:hAnsi="Times New Roman"/>
                <w:sz w:val="18"/>
                <w:szCs w:val="18"/>
                <w:color w:val="auto"/>
              </w:rPr>
              <w:t>32%</w:t>
            </w:r>
          </w:p>
        </w:tc>
        <w:tc>
          <w:tcPr>
            <w:tcW w:w="80" w:type="dxa"/>
            <w:vAlign w:val="bottom"/>
          </w:tcPr>
          <w:p>
            <w:pPr>
              <w:spacing w:after="0"/>
              <w:rPr>
                <w:sz w:val="17"/>
                <w:szCs w:val="17"/>
                <w:color w:val="auto"/>
              </w:rPr>
            </w:pPr>
          </w:p>
        </w:tc>
        <w:tc>
          <w:tcPr>
            <w:tcW w:w="6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107,222</w:t>
            </w:r>
          </w:p>
        </w:tc>
        <w:tc>
          <w:tcPr>
            <w:tcW w:w="120" w:type="dxa"/>
            <w:vAlign w:val="bottom"/>
            <w:vMerge w:val="continue"/>
          </w:tcPr>
          <w:p>
            <w:pPr>
              <w:spacing w:after="0"/>
              <w:rPr>
                <w:sz w:val="17"/>
                <w:szCs w:val="17"/>
                <w:color w:val="auto"/>
              </w:rPr>
            </w:pPr>
          </w:p>
        </w:tc>
        <w:tc>
          <w:tcPr>
            <w:tcW w:w="7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84,585</w:t>
            </w:r>
          </w:p>
        </w:tc>
        <w:tc>
          <w:tcPr>
            <w:tcW w:w="120" w:type="dxa"/>
            <w:vAlign w:val="bottom"/>
            <w:vMerge w:val="continue"/>
          </w:tcPr>
          <w:p>
            <w:pPr>
              <w:spacing w:after="0"/>
              <w:rPr>
                <w:sz w:val="17"/>
                <w:szCs w:val="17"/>
                <w:color w:val="auto"/>
              </w:rPr>
            </w:pPr>
          </w:p>
        </w:tc>
        <w:tc>
          <w:tcPr>
            <w:tcW w:w="7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22,637</w:t>
            </w:r>
          </w:p>
        </w:tc>
        <w:tc>
          <w:tcPr>
            <w:tcW w:w="120" w:type="dxa"/>
            <w:vAlign w:val="bottom"/>
            <w:vMerge w:val="continue"/>
          </w:tcPr>
          <w:p>
            <w:pPr>
              <w:spacing w:after="0"/>
              <w:rPr>
                <w:sz w:val="17"/>
                <w:szCs w:val="17"/>
                <w:color w:val="auto"/>
              </w:rPr>
            </w:pPr>
          </w:p>
        </w:tc>
        <w:tc>
          <w:tcPr>
            <w:tcW w:w="960" w:type="dxa"/>
            <w:vAlign w:val="bottom"/>
            <w:gridSpan w:val="3"/>
          </w:tcPr>
          <w:p>
            <w:pPr>
              <w:jc w:val="right"/>
              <w:ind w:right="60"/>
              <w:spacing w:after="0" w:line="203" w:lineRule="exact"/>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30"/>
        </w:trPr>
        <w:tc>
          <w:tcPr>
            <w:tcW w:w="42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Quantity of BTC earned</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1,236</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1,434</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(198)</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4,928</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5,167</w:t>
            </w:r>
          </w:p>
        </w:tc>
        <w:tc>
          <w:tcPr>
            <w:tcW w:w="840" w:type="dxa"/>
            <w:vAlign w:val="bottom"/>
            <w:tcBorders>
              <w:righ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(239)</w:t>
            </w:r>
          </w:p>
        </w:tc>
        <w:tc>
          <w:tcPr>
            <w:tcW w:w="9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Cash Cost per BTC (in U.S. dollars)</w:t>
            </w: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w w:val="93"/>
              </w:rPr>
              <w:t>%</w:t>
            </w: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gridSpan w:val="2"/>
            <w:vMerge w:val="restart"/>
          </w:tcPr>
          <w:p>
            <w:pPr>
              <w:jc w:val="right"/>
              <w:ind w:right="60"/>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line="20" w:lineRule="exact"/>
              <w:rPr>
                <w:sz w:val="1"/>
                <w:szCs w:val="1"/>
                <w:color w:val="auto"/>
              </w:rPr>
            </w:pPr>
          </w:p>
        </w:tc>
      </w:tr>
      <w:tr>
        <w:trPr>
          <w:trHeight w:val="237"/>
        </w:trPr>
        <w:tc>
          <w:tcPr>
            <w:tcW w:w="4240" w:type="dxa"/>
            <w:vAlign w:val="bottom"/>
            <w:vMerge w:val="continue"/>
          </w:tcPr>
          <w:p>
            <w:pPr>
              <w:spacing w:after="0"/>
              <w:rPr>
                <w:sz w:val="20"/>
                <w:szCs w:val="20"/>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25,200</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16,400</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8,800</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8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21,800</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16,400</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5,400</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2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178308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43" w:lineRule="exact"/>
        <w:rPr>
          <w:sz w:val="20"/>
          <w:szCs w:val="20"/>
          <w:color w:val="auto"/>
        </w:rPr>
      </w:pPr>
    </w:p>
    <w:p>
      <w:pPr>
        <w:ind w:left="340" w:hanging="332"/>
        <w:spacing w:after="0" w:line="284" w:lineRule="auto"/>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Prior year figures are derived from restated financial statements. Refer to the 2023 annual financial statements Note 3e - </w:t>
      </w:r>
      <w:r>
        <w:rPr>
          <w:rFonts w:ascii="Times New Roman" w:cs="Times New Roman" w:eastAsia="Times New Roman" w:hAnsi="Times New Roman"/>
          <w:sz w:val="18"/>
          <w:szCs w:val="18"/>
          <w:i w:val="1"/>
          <w:iCs w:val="1"/>
          <w:color w:val="auto"/>
        </w:rPr>
        <w:t>Basis of Presentation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Material Accounting Policy Information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2022 Restatement.</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2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
      <w:numFmt w:val="bullet"/>
      <w:start w:val="1"/>
    </w:lvl>
  </w:abstractNum>
  <w:abstractNum w:abstractNumId="4">
    <w:nsid w:val="12200854"/>
    <w:multiLevelType w:val="hybridMultilevel"/>
    <w:lvl w:ilvl="0">
      <w:lvlJc w:val="left"/>
      <w:lvlText w:val="*"/>
      <w:numFmt w:val="bullet"/>
      <w:start w:val="1"/>
    </w:lvl>
  </w:abstractNum>
  <w:abstractNum w:abstractNumId="5">
    <w:nsid w:val="4DB127F8"/>
    <w:multiLevelType w:val="hybridMultilevel"/>
    <w:lvl w:ilvl="0">
      <w:lvlJc w:val="left"/>
      <w:lvlText w:val="**"/>
      <w:numFmt w:val="bullet"/>
      <w:start w:val="1"/>
    </w:lvl>
  </w:abstractNum>
  <w:abstractNum w:abstractNumId="6">
    <w:nsid w:val="216231B"/>
    <w:multiLevelType w:val="hybridMultilevel"/>
    <w:lvl w:ilvl="0">
      <w:lvlJc w:val="left"/>
      <w:lvlText w:val="***"/>
      <w:numFmt w:val="bullet"/>
      <w:start w:val="1"/>
    </w:lvl>
  </w:abstractNum>
  <w:abstractNum w:abstractNumId="7">
    <w:nsid w:val="1F16E9E8"/>
    <w:multiLevelType w:val="hybridMultilevel"/>
    <w:lvl w:ilvl="0">
      <w:lvlJc w:val="left"/>
      <w:lvlText w:val="****"/>
      <w:numFmt w:val="bullet"/>
      <w:start w:val="1"/>
    </w:lvl>
  </w:abstractNum>
  <w:abstractNum w:abstractNumId="8">
    <w:nsid w:val="1190CDE7"/>
    <w:multiLevelType w:val="hybridMultilevel"/>
    <w:lvl w:ilvl="0">
      <w:lvlJc w:val="left"/>
      <w:lvlText w:val="●"/>
      <w:numFmt w:val="bullet"/>
      <w:start w:val="1"/>
    </w:lvl>
  </w:abstractNum>
  <w:abstractNum w:abstractNumId="9">
    <w:nsid w:val="66EF438D"/>
    <w:multiLevelType w:val="hybridMultilevel"/>
    <w:lvl w:ilvl="0">
      <w:lvlJc w:val="left"/>
      <w:lvlText w:val="1"/>
      <w:numFmt w:val="bullet"/>
      <w:start w:val="1"/>
    </w:lvl>
  </w:abstractNum>
  <w:abstractNum w:abstractNumId="10">
    <w:nsid w:val="140E0F76"/>
    <w:multiLevelType w:val="hybridMultilevel"/>
    <w:lvl w:ilvl="0">
      <w:lvlJc w:val="left"/>
      <w:lvlText w:val="2"/>
      <w:numFmt w:val="bullet"/>
      <w:start w:val="1"/>
    </w:lvl>
  </w:abstractNum>
  <w:abstractNum w:abstractNumId="11">
    <w:nsid w:val="3352255A"/>
    <w:multiLevelType w:val="hybridMultilevel"/>
    <w:lvl w:ilvl="0">
      <w:lvlJc w:val="left"/>
      <w:lvlText w:val="3"/>
      <w:numFmt w:val="bullet"/>
      <w:start w:val="1"/>
    </w:lvl>
  </w:abstractNum>
  <w:abstractNum w:abstractNumId="12">
    <w:nsid w:val="109CF92E"/>
    <w:multiLevelType w:val="hybridMultilevel"/>
    <w:lvl w:ilvl="0">
      <w:lvlJc w:val="left"/>
      <w:lvlText w:val="1"/>
      <w:numFmt w:val="bullet"/>
      <w:start w:val="1"/>
    </w:lvl>
  </w:abstractNum>
  <w:abstractNum w:abstractNumId="13">
    <w:nsid w:val="DED7263"/>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2024-03-07T07:14:22Z</dcterms:created>
  <dcterms:modified xsi:type="dcterms:W3CDTF">2024-03-07T07:14:22Z</dcterms:modified>
</cp:coreProperties>
</file>