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22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kadden</w:t>
      </w:r>
      <w:r>
        <w:rPr>
          <w:rFonts w:ascii="Times New Roman" w:cs="Times New Roman" w:eastAsia="Times New Roman" w:hAnsi="Times New Roman"/>
          <w:sz w:val="22"/>
          <w:szCs w:val="22"/>
          <w:color w:val="auto"/>
        </w:rPr>
        <w:t>, A</w:t>
      </w:r>
      <w:r>
        <w:rPr>
          <w:rFonts w:ascii="Times New Roman" w:cs="Times New Roman" w:eastAsia="Times New Roman" w:hAnsi="Times New Roman"/>
          <w:sz w:val="14"/>
          <w:szCs w:val="14"/>
          <w:color w:val="auto"/>
        </w:rPr>
        <w:t>rps</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late</w:t>
      </w:r>
      <w:r>
        <w:rPr>
          <w:rFonts w:ascii="Times New Roman" w:cs="Times New Roman" w:eastAsia="Times New Roman" w:hAnsi="Times New Roman"/>
          <w:sz w:val="22"/>
          <w:szCs w:val="22"/>
          <w:color w:val="auto"/>
        </w:rPr>
        <w:t>, M</w:t>
      </w:r>
      <w:r>
        <w:rPr>
          <w:rFonts w:ascii="Times New Roman" w:cs="Times New Roman" w:eastAsia="Times New Roman" w:hAnsi="Times New Roman"/>
          <w:sz w:val="14"/>
          <w:szCs w:val="14"/>
          <w:color w:val="auto"/>
        </w:rPr>
        <w:t>eagher</w:t>
      </w:r>
      <w:r>
        <w:rPr>
          <w:rFonts w:ascii="Times New Roman" w:cs="Times New Roman" w:eastAsia="Times New Roman" w:hAnsi="Times New Roman"/>
          <w:sz w:val="22"/>
          <w:szCs w:val="22"/>
          <w:color w:val="auto"/>
        </w:rPr>
        <w:t xml:space="preserve"> &amp; F</w:t>
      </w:r>
      <w:r>
        <w:rPr>
          <w:rFonts w:ascii="Times New Roman" w:cs="Times New Roman" w:eastAsia="Times New Roman" w:hAnsi="Times New Roman"/>
          <w:sz w:val="14"/>
          <w:szCs w:val="14"/>
          <w:color w:val="auto"/>
        </w:rPr>
        <w:t>lom llp</w:t>
      </w:r>
    </w:p>
    <w:p>
      <w:pPr>
        <w:spacing w:after="0" w:line="19" w:lineRule="exact"/>
        <w:rPr>
          <w:sz w:val="24"/>
          <w:szCs w:val="24"/>
          <w:color w:val="auto"/>
        </w:rPr>
      </w:pPr>
    </w:p>
    <w:p>
      <w:pPr>
        <w:jc w:val="center"/>
        <w:ind w:left="324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7" w:lineRule="exact"/>
        <w:rPr>
          <w:sz w:val="24"/>
          <w:szCs w:val="24"/>
          <w:color w:val="auto"/>
        </w:rPr>
      </w:pPr>
    </w:p>
    <w:p>
      <w:pPr>
        <w:jc w:val="center"/>
        <w:ind w:left="324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________</w:t>
      </w:r>
    </w:p>
    <w:p>
      <w:pPr>
        <w:spacing w:after="0" w:line="207" w:lineRule="exact"/>
        <w:rPr>
          <w:sz w:val="24"/>
          <w:szCs w:val="24"/>
          <w:color w:val="auto"/>
        </w:rPr>
      </w:pPr>
    </w:p>
    <w:p>
      <w:pPr>
        <w:jc w:val="center"/>
        <w:ind w:left="3240"/>
        <w:spacing w:after="0"/>
        <w:rPr>
          <w:sz w:val="20"/>
          <w:szCs w:val="20"/>
          <w:color w:val="auto"/>
        </w:rPr>
      </w:pPr>
      <w:r>
        <w:rPr>
          <w:rFonts w:ascii="Times New Roman" w:cs="Times New Roman" w:eastAsia="Times New Roman" w:hAnsi="Times New Roman"/>
          <w:sz w:val="18"/>
          <w:szCs w:val="18"/>
          <w:color w:val="auto"/>
        </w:rPr>
        <w:t>TEL: (212) 735-3000</w:t>
      </w:r>
    </w:p>
    <w:p>
      <w:pPr>
        <w:spacing w:after="0" w:line="27" w:lineRule="exact"/>
        <w:rPr>
          <w:sz w:val="24"/>
          <w:szCs w:val="24"/>
          <w:color w:val="auto"/>
        </w:rPr>
      </w:pPr>
    </w:p>
    <w:p>
      <w:pPr>
        <w:jc w:val="center"/>
        <w:ind w:left="3240"/>
        <w:spacing w:after="0"/>
        <w:rPr>
          <w:sz w:val="20"/>
          <w:szCs w:val="20"/>
          <w:color w:val="auto"/>
        </w:rPr>
      </w:pPr>
      <w:r>
        <w:rPr>
          <w:rFonts w:ascii="Times New Roman" w:cs="Times New Roman" w:eastAsia="Times New Roman" w:hAnsi="Times New Roman"/>
          <w:sz w:val="18"/>
          <w:szCs w:val="18"/>
          <w:color w:val="auto"/>
        </w:rPr>
        <w:t>FAX: (212) 735-2000</w:t>
      </w:r>
    </w:p>
    <w:p>
      <w:pPr>
        <w:spacing w:after="0" w:line="9" w:lineRule="exact"/>
        <w:rPr>
          <w:sz w:val="24"/>
          <w:szCs w:val="24"/>
          <w:color w:val="auto"/>
        </w:rPr>
      </w:pPr>
    </w:p>
    <w:p>
      <w:pPr>
        <w:jc w:val="center"/>
        <w:ind w:left="3240"/>
        <w:spacing w:after="0"/>
        <w:rPr>
          <w:sz w:val="20"/>
          <w:szCs w:val="20"/>
          <w:color w:val="auto"/>
        </w:rPr>
      </w:pPr>
      <w:r>
        <w:rPr>
          <w:rFonts w:ascii="Times New Roman" w:cs="Times New Roman" w:eastAsia="Times New Roman" w:hAnsi="Times New Roman"/>
          <w:sz w:val="18"/>
          <w:szCs w:val="18"/>
          <w:color w:val="auto"/>
        </w:rPr>
        <w:t>www.skadden.com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Kate Tillan</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Rolf Sundwall</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FIRM/AFFILIATE</w:t>
      </w:r>
    </w:p>
    <w:p>
      <w:pPr>
        <w:jc w:val="center"/>
        <w:ind w:right="1200"/>
        <w:spacing w:after="0" w:line="226" w:lineRule="auto"/>
        <w:rPr>
          <w:sz w:val="20"/>
          <w:szCs w:val="20"/>
          <w:color w:val="auto"/>
        </w:rPr>
      </w:pPr>
      <w:r>
        <w:rPr>
          <w:rFonts w:ascii="Times New Roman" w:cs="Times New Roman" w:eastAsia="Times New Roman" w:hAnsi="Times New Roman"/>
          <w:sz w:val="14"/>
          <w:szCs w:val="14"/>
          <w:color w:val="auto"/>
        </w:rPr>
        <w:t>OFFICES</w:t>
      </w:r>
    </w:p>
    <w:p>
      <w:pPr>
        <w:ind w:left="380"/>
        <w:spacing w:after="0" w:line="222" w:lineRule="auto"/>
        <w:rPr>
          <w:sz w:val="20"/>
          <w:szCs w:val="20"/>
          <w:color w:val="auto"/>
        </w:rPr>
      </w:pPr>
      <w:r>
        <w:rPr>
          <w:rFonts w:ascii="Times New Roman" w:cs="Times New Roman" w:eastAsia="Times New Roman" w:hAnsi="Times New Roman"/>
          <w:sz w:val="14"/>
          <w:szCs w:val="14"/>
          <w:color w:val="auto"/>
        </w:rPr>
        <w:t>-----------</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BOSTON</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CHICAGO</w:t>
      </w:r>
    </w:p>
    <w:p>
      <w:pPr>
        <w:jc w:val="center"/>
        <w:ind w:right="1200"/>
        <w:spacing w:after="0" w:line="222" w:lineRule="auto"/>
        <w:rPr>
          <w:sz w:val="20"/>
          <w:szCs w:val="20"/>
          <w:color w:val="auto"/>
        </w:rPr>
      </w:pPr>
      <w:r>
        <w:rPr>
          <w:rFonts w:ascii="Times New Roman" w:cs="Times New Roman" w:eastAsia="Times New Roman" w:hAnsi="Times New Roman"/>
          <w:sz w:val="14"/>
          <w:szCs w:val="14"/>
          <w:color w:val="auto"/>
        </w:rPr>
        <w:t>HOUSTON</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LOS ANGELES</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PALO ALTO</w:t>
      </w:r>
    </w:p>
    <w:p>
      <w:pPr>
        <w:jc w:val="center"/>
        <w:ind w:right="1200"/>
        <w:spacing w:after="0" w:line="222" w:lineRule="auto"/>
        <w:rPr>
          <w:sz w:val="20"/>
          <w:szCs w:val="20"/>
          <w:color w:val="auto"/>
        </w:rPr>
      </w:pPr>
      <w:r>
        <w:rPr>
          <w:rFonts w:ascii="Times New Roman" w:cs="Times New Roman" w:eastAsia="Times New Roman" w:hAnsi="Times New Roman"/>
          <w:sz w:val="14"/>
          <w:szCs w:val="14"/>
          <w:color w:val="auto"/>
        </w:rPr>
        <w:t>WASHINGTON, D.C.</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WILMINGTON</w:t>
      </w:r>
    </w:p>
    <w:p>
      <w:pPr>
        <w:ind w:left="380"/>
        <w:spacing w:after="0" w:line="222" w:lineRule="auto"/>
        <w:rPr>
          <w:sz w:val="20"/>
          <w:szCs w:val="20"/>
          <w:color w:val="auto"/>
        </w:rPr>
      </w:pPr>
      <w:r>
        <w:rPr>
          <w:rFonts w:ascii="Times New Roman" w:cs="Times New Roman" w:eastAsia="Times New Roman" w:hAnsi="Times New Roman"/>
          <w:sz w:val="14"/>
          <w:szCs w:val="14"/>
          <w:color w:val="auto"/>
        </w:rPr>
        <w:t>-----------</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BEIJING</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BRUSSELS</w:t>
      </w:r>
    </w:p>
    <w:p>
      <w:pPr>
        <w:jc w:val="center"/>
        <w:ind w:right="1200"/>
        <w:spacing w:after="0" w:line="222" w:lineRule="auto"/>
        <w:rPr>
          <w:sz w:val="20"/>
          <w:szCs w:val="20"/>
          <w:color w:val="auto"/>
        </w:rPr>
      </w:pPr>
      <w:r>
        <w:rPr>
          <w:rFonts w:ascii="Times New Roman" w:cs="Times New Roman" w:eastAsia="Times New Roman" w:hAnsi="Times New Roman"/>
          <w:sz w:val="14"/>
          <w:szCs w:val="14"/>
          <w:color w:val="auto"/>
        </w:rPr>
        <w:t>FRANKFURT</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HONG KONG</w:t>
      </w:r>
    </w:p>
    <w:p>
      <w:pPr>
        <w:jc w:val="center"/>
        <w:ind w:right="1200"/>
        <w:spacing w:after="0" w:line="222" w:lineRule="auto"/>
        <w:rPr>
          <w:sz w:val="20"/>
          <w:szCs w:val="20"/>
          <w:color w:val="auto"/>
        </w:rPr>
      </w:pPr>
      <w:r>
        <w:rPr>
          <w:rFonts w:ascii="Times New Roman" w:cs="Times New Roman" w:eastAsia="Times New Roman" w:hAnsi="Times New Roman"/>
          <w:sz w:val="14"/>
          <w:szCs w:val="14"/>
          <w:color w:val="auto"/>
        </w:rPr>
        <w:t>LONDON</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MUNICH</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PARIS</w:t>
      </w:r>
    </w:p>
    <w:p>
      <w:pPr>
        <w:jc w:val="center"/>
        <w:ind w:right="1200"/>
        <w:spacing w:after="0" w:line="222" w:lineRule="auto"/>
        <w:rPr>
          <w:sz w:val="20"/>
          <w:szCs w:val="20"/>
          <w:color w:val="auto"/>
        </w:rPr>
      </w:pPr>
      <w:r>
        <w:rPr>
          <w:rFonts w:ascii="Times New Roman" w:cs="Times New Roman" w:eastAsia="Times New Roman" w:hAnsi="Times New Roman"/>
          <w:sz w:val="14"/>
          <w:szCs w:val="14"/>
          <w:color w:val="auto"/>
        </w:rPr>
        <w:t>SÃO PAULO</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SEOUL</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SHANGHAI</w:t>
      </w:r>
    </w:p>
    <w:p>
      <w:pPr>
        <w:jc w:val="center"/>
        <w:ind w:right="1200"/>
        <w:spacing w:after="0" w:line="222" w:lineRule="auto"/>
        <w:rPr>
          <w:sz w:val="20"/>
          <w:szCs w:val="20"/>
          <w:color w:val="auto"/>
        </w:rPr>
      </w:pPr>
      <w:r>
        <w:rPr>
          <w:rFonts w:ascii="Times New Roman" w:cs="Times New Roman" w:eastAsia="Times New Roman" w:hAnsi="Times New Roman"/>
          <w:sz w:val="14"/>
          <w:szCs w:val="14"/>
          <w:color w:val="auto"/>
        </w:rPr>
        <w:t>SINGAPORE</w:t>
      </w:r>
    </w:p>
    <w:p>
      <w:pPr>
        <w:jc w:val="center"/>
        <w:ind w:right="1200"/>
        <w:spacing w:after="0" w:line="221" w:lineRule="auto"/>
        <w:rPr>
          <w:sz w:val="20"/>
          <w:szCs w:val="20"/>
          <w:color w:val="auto"/>
        </w:rPr>
      </w:pPr>
      <w:r>
        <w:rPr>
          <w:rFonts w:ascii="Times New Roman" w:cs="Times New Roman" w:eastAsia="Times New Roman" w:hAnsi="Times New Roman"/>
          <w:sz w:val="14"/>
          <w:szCs w:val="14"/>
          <w:color w:val="auto"/>
        </w:rPr>
        <w:t>TOKYO</w:t>
      </w:r>
    </w:p>
    <w:p>
      <w:pPr>
        <w:jc w:val="center"/>
        <w:ind w:right="1200"/>
        <w:spacing w:after="0"/>
        <w:rPr>
          <w:sz w:val="20"/>
          <w:szCs w:val="20"/>
          <w:color w:val="auto"/>
        </w:rPr>
      </w:pPr>
      <w:r>
        <w:rPr>
          <w:rFonts w:ascii="Times New Roman" w:cs="Times New Roman" w:eastAsia="Times New Roman" w:hAnsi="Times New Roman"/>
          <w:sz w:val="14"/>
          <w:szCs w:val="14"/>
          <w:color w:val="auto"/>
        </w:rPr>
        <w:t>TORONTO</w:t>
      </w:r>
    </w:p>
    <w:p>
      <w:pPr>
        <w:spacing w:after="0" w:line="19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January 21, 2025</w:t>
      </w:r>
    </w:p>
    <w:p>
      <w:pPr>
        <w:spacing w:after="0" w:line="2594" w:lineRule="exact"/>
        <w:rPr>
          <w:sz w:val="24"/>
          <w:szCs w:val="24"/>
          <w:color w:val="auto"/>
        </w:rPr>
      </w:pPr>
    </w:p>
    <w:p>
      <w:pPr>
        <w:sectPr>
          <w:pgSz w:w="11900" w:h="16838" w:orient="portrait"/>
          <w:cols w:equalWidth="0" w:num="2">
            <w:col w:w="8020" w:space="720"/>
            <w:col w:w="2500"/>
          </w:cols>
          <w:pgMar w:left="320" w:top="436" w:right="339" w:bottom="1440" w:gutter="0" w:footer="0" w:header="0"/>
        </w:sectPr>
      </w:pPr>
    </w:p>
    <w:p>
      <w:pPr>
        <w:spacing w:after="0" w:line="3"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Amendment No. 1 to Registration Statement on Form F-4</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Filed December 20, 2024</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333-282657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Tillan and Mr. Sundwall,</w:t>
      </w:r>
    </w:p>
    <w:p>
      <w:pPr>
        <w:spacing w:after="0" w:line="22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behalf of Bitfarms Ltd. (the “Company”), we hereby provide responses to comments received from the staff (the “Staff”) of the Securities and Exchange Commission (the “Commission”) by letter dated January 13, 2025 (the “Comment Letter”) with respect to the above-referenced Amendment No. 1 to Registration Statement on Form F-4 filed with the Commission on December 20, 2024 (the “Registration Statement”).</w:t>
      </w:r>
    </w:p>
    <w:p>
      <w:pPr>
        <w:spacing w:after="0" w:line="17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the submission of this letter, the Company is filing, through the Commission’s Electronic Data Gathering, Analysis and Retrieval (“EDGAR”) system, an amendment to the Registration Statement (the “Amendment”) in response to the Staff’s comments and to reflect certain other changes.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headings and paragraph numbers in this letter correspond to those contained in the Comment Letter. To facilitate the Staff’s review, we have reproduced the text of the Staff’s comments in bold and italics below, followed by responses from the Company. Capitalized terms used but not defined herein have the meanings given to them in the Registration Statement. All references to page numbers and captions (other than those in the Staff’s comments and unless otherwise stated) correspond to the page numbers and captions in the Amendment.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1 to Registration Statement on Form F-4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Merger Proposal, page 38</w:t>
      </w:r>
    </w:p>
    <w:p>
      <w:pPr>
        <w:spacing w:after="0" w:line="221" w:lineRule="exact"/>
        <w:rPr>
          <w:sz w:val="20"/>
          <w:szCs w:val="20"/>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Refer to your response to prior comment 9. Please revise to summarize the preemptive right provision, the standstill provision and the term of the Settlement Agreement.</w:t>
      </w:r>
    </w:p>
    <w:p>
      <w:pPr>
        <w:spacing w:after="0" w:line="158"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has revised the disclosure on pages 51 and 52 of the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Bitfarms’s Reasons for the Merger, page 52</w:t>
      </w:r>
    </w:p>
    <w:p>
      <w:pPr>
        <w:spacing w:after="0" w:line="221" w:lineRule="exact"/>
        <w:rPr>
          <w:sz w:val="20"/>
          <w:szCs w:val="20"/>
          <w:color w:val="auto"/>
        </w:rPr>
      </w:pPr>
    </w:p>
    <w:p>
      <w:pPr>
        <w:jc w:val="both"/>
        <w:ind w:left="340" w:hanging="332"/>
        <w:spacing w:after="0" w:line="262" w:lineRule="auto"/>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prior comment 11. Please reconcile your statement on page 23 that “the cumulative amount of non-recurring expenses expected to be incurred by Stronghold and Bitfarms in connection with the merger and completion of the transactions contemplated by the merger agreement is currently estimated to be approximately $18.0 million” with your revised disclosure on page 54 that “Bitfarms will incur substantial transaction fees and costs in connection with the merger, which is currently estimated to be approximately $9 million.”</w:t>
      </w:r>
    </w:p>
    <w:p>
      <w:pPr>
        <w:spacing w:after="0" w:line="180"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has revised the disclosure on page 23 of the Amendment.</w:t>
      </w:r>
    </w:p>
    <w:p>
      <w:pPr>
        <w:spacing w:after="0" w:line="225" w:lineRule="exact"/>
        <w:rPr>
          <w:rFonts w:ascii="Times New Roman" w:cs="Times New Roman" w:eastAsia="Times New Roman" w:hAnsi="Times New Roman"/>
          <w:sz w:val="18"/>
          <w:szCs w:val="18"/>
          <w:b w:val="1"/>
          <w:bCs w:val="1"/>
          <w:i w:val="1"/>
          <w:iCs w:val="1"/>
          <w:color w:val="auto"/>
        </w:rPr>
      </w:pPr>
    </w:p>
    <w:p>
      <w:pPr>
        <w:ind w:left="53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Please contact me at (212) 735-3712 or ryan.dzierniejko@skadden.com if the Staff has any questions or requires additional information.</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Ryan J. Dzierniejko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Jeffrey Lucas, Chief Financial Officer,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460"/>
      </w:cols>
      <w:pgMar w:left="320" w:top="90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2025-02-28T23:11:06Z</dcterms:created>
  <dcterms:modified xsi:type="dcterms:W3CDTF">2025-02-28T23:11:06Z</dcterms:modified>
</cp:coreProperties>
</file>