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77812-6k_bitfarmsltd.htm"/>
      <w:bookmarkStart w:id="1" w:name="ksea1778126k_bitfarmsltd"/>
      <w:bookmarkEnd w:id="0"/>
      <w:bookmarkEnd w:id="1"/>
      <w:r>
        <w:rPr>
          <w:bdr w:val="single" w:sz="16"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12" w:space="1" w:color="000000"/>
        </w:pBdr>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pBdr>
          <w:bottom w:val="single" w:sz="12" w:space="1" w:color="000000"/>
        </w:pBdr>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2023</w:t>
      </w:r>
    </w:p>
    <w:p>
      <w:pPr>
        <w:pStyle w:val="TextBody"/>
        <w:pBdr>
          <w:bottom w:val="single" w:sz="12" w:space="1" w:color="000000"/>
        </w:pBdr>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pBdr>
          <w:bottom w:val="single" w:sz="12" w:space="1" w:color="000000"/>
        </w:pBdr>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12" w:space="1" w:color="000000"/>
        </w:pBdr>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King Street East, Suite 902, Toronto, Ontario, Canada M5C 1C4</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pBdr>
          <w:bottom w:val="single" w:sz="12" w:space="1" w:color="000000"/>
        </w:pBdr>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jc w:val="center"/>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INCORPORATION BY REFERENCE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pPr>
      <w:r>
        <w:rPr>
          <w:rFonts w:ascii="Times New Roman;Times;Serif" w:hAnsi="Times New Roman;Times;Serif"/>
          <w:b w:val="false"/>
          <w:i w:val="false"/>
          <w:caps w:val="false"/>
          <w:smallCaps w:val="false"/>
          <w:sz w:val="20"/>
        </w:rPr>
        <w:t>On May 1, 2023 the Registrant filed with the Canadian Securities Regulatory Authorities on the System for Electronic Data Analysis and Retrieval (SEDAR) two material change reports that each include a copy of a press release, copies of which are attached hereto as Exhibit 99.1 and Exhibit 99.2, and which are incorporated by reference to the Company’s Registration Statement on </w:t>
      </w:r>
      <w:hyperlink r:id="rId2">
        <w:r>
          <w:rPr>
            <w:rStyle w:val="InternetLink"/>
            <w:rFonts w:ascii="Times New Roman;Times;Serif" w:hAnsi="Times New Roman;Times;Serif"/>
            <w:b w:val="false"/>
            <w:i w:val="false"/>
            <w:caps w:val="false"/>
            <w:smallCaps w:val="false"/>
            <w:sz w:val="20"/>
          </w:rPr>
          <w:t>Form F-10</w:t>
        </w:r>
      </w:hyperlink>
      <w:r>
        <w:rPr>
          <w:rFonts w:ascii="Times New Roman;Times;Serif" w:hAnsi="Times New Roman;Times;Serif"/>
          <w:b w:val="false"/>
          <w:i w:val="false"/>
          <w:caps w:val="false"/>
          <w:smallCaps w:val="false"/>
          <w:sz w:val="20"/>
        </w:rPr>
        <w:t xml:space="preserve"> (File No. 333-258788).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spacing w:before="0" w:after="0"/>
        <w:ind w:left="0" w:right="0" w:hanging="0"/>
        <w:rPr>
          <w:caps w:val="false"/>
          <w:smallCaps w:val="false"/>
        </w:rPr>
      </w:pPr>
      <w:r>
        <w:rPr>
          <w:caps w:val="false"/>
          <w:smallCaps w:val="false"/>
        </w:rPr>
        <w:t> </w:t>
      </w:r>
    </w:p>
    <w:tbl>
      <w:tblPr>
        <w:tblW w:w="4615" w:type="dxa"/>
        <w:jc w:val="left"/>
        <w:tblInd w:w="0" w:type="dxa"/>
        <w:tblCellMar>
          <w:top w:w="0" w:type="dxa"/>
          <w:left w:w="0" w:type="dxa"/>
          <w:bottom w:w="28" w:type="dxa"/>
          <w:right w:w="0" w:type="dxa"/>
        </w:tblCellMar>
      </w:tblPr>
      <w:tblGrid>
        <w:gridCol w:w="980"/>
        <w:gridCol w:w="60"/>
        <w:gridCol w:w="3575"/>
      </w:tblGrid>
      <w:tr>
        <w:trPr/>
        <w:tc>
          <w:tcPr>
            <w:tcW w:w="980"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3575"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pPr>
            <w:r>
              <w:rPr/>
              <w:t> </w:t>
            </w:r>
          </w:p>
        </w:tc>
        <w:tc>
          <w:tcPr>
            <w:tcW w:w="3575" w:type="dxa"/>
            <w:tcBorders/>
            <w:shd w:fill="auto" w:val="clear"/>
            <w:tcMar>
              <w:bottom w:w="0" w:type="dxa"/>
            </w:tcMar>
            <w:vAlign w:val="center"/>
          </w:tcPr>
          <w:p>
            <w:pPr>
              <w:pStyle w:val="TableContents"/>
              <w:spacing w:before="0" w:after="283"/>
              <w:jc w:val="both"/>
              <w:rPr>
                <w:caps w:val="false"/>
                <w:smallCaps w:val="false"/>
              </w:rPr>
            </w:pPr>
            <w:r>
              <w:rPr>
                <w:caps w:val="false"/>
                <w:smallCaps w:val="false"/>
              </w:rPr>
              <w:t> </w:t>
            </w:r>
          </w:p>
        </w:tc>
      </w:tr>
      <w:tr>
        <w:trPr/>
        <w:tc>
          <w:tcPr>
            <w:tcW w:w="980"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spacing w:before="0" w:after="283"/>
              <w:rPr/>
            </w:pPr>
            <w:r>
              <w:rPr/>
              <w:t> </w:t>
            </w:r>
          </w:p>
        </w:tc>
        <w:tc>
          <w:tcPr>
            <w:tcW w:w="3575" w:type="dxa"/>
            <w:tcBorders/>
            <w:shd w:fill="CCEEFF" w:val="clear"/>
            <w:tcMar>
              <w:bottom w:w="0" w:type="dxa"/>
            </w:tcMar>
            <w:vAlign w:val="center"/>
          </w:tcPr>
          <w:p>
            <w:pPr>
              <w:pStyle w:val="TableContents"/>
              <w:spacing w:before="0" w:after="283"/>
              <w:jc w:val="both"/>
              <w:rPr/>
            </w:pPr>
            <w:hyperlink w:anchor="ea177812ex99-1_bitfarmsltd.htm">
              <w:r>
                <w:rPr>
                  <w:rStyle w:val="InternetLink"/>
                  <w:rFonts w:ascii="Times New Roman;Times;Serif" w:hAnsi="Times New Roman;Times;Serif"/>
                  <w:b w:val="false"/>
                  <w:i w:val="false"/>
                  <w:caps w:val="false"/>
                  <w:smallCaps w:val="false"/>
                  <w:sz w:val="20"/>
                </w:rPr>
                <w:t>Material Change Report dated May 1, 2023</w:t>
              </w:r>
            </w:hyperlink>
          </w:p>
        </w:tc>
      </w:tr>
      <w:tr>
        <w:trPr/>
        <w:tc>
          <w:tcPr>
            <w:tcW w:w="980" w:type="dxa"/>
            <w:tcBorders/>
            <w:shd w:fill="FFFF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spacing w:before="0" w:after="283"/>
              <w:rPr/>
            </w:pPr>
            <w:r>
              <w:rPr/>
              <w:t> </w:t>
            </w:r>
          </w:p>
        </w:tc>
        <w:tc>
          <w:tcPr>
            <w:tcW w:w="3575" w:type="dxa"/>
            <w:tcBorders/>
            <w:shd w:fill="FFFFFF" w:val="clear"/>
            <w:tcMar>
              <w:bottom w:w="0" w:type="dxa"/>
            </w:tcMar>
            <w:vAlign w:val="center"/>
          </w:tcPr>
          <w:p>
            <w:pPr>
              <w:pStyle w:val="TableContents"/>
              <w:spacing w:before="0" w:after="283"/>
              <w:jc w:val="both"/>
              <w:rPr/>
            </w:pPr>
            <w:hyperlink w:anchor="ea177812ex99-2_bitfarmsltd.htm">
              <w:r>
                <w:rPr>
                  <w:rStyle w:val="InternetLink"/>
                  <w:rFonts w:ascii="Times New Roman;Times;Serif" w:hAnsi="Times New Roman;Times;Serif"/>
                  <w:b w:val="false"/>
                  <w:i w:val="false"/>
                  <w:caps w:val="false"/>
                  <w:smallCaps w:val="false"/>
                  <w:sz w:val="20"/>
                </w:rPr>
                <w:t>Material Change Report dated May 1, 2023</w:t>
              </w:r>
            </w:hyperlink>
          </w:p>
        </w:tc>
      </w:tr>
    </w:tbl>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4080" w:type="dxa"/>
        <w:jc w:val="left"/>
        <w:tblInd w:w="0" w:type="dxa"/>
        <w:tblCellMar>
          <w:top w:w="0" w:type="dxa"/>
          <w:left w:w="0" w:type="dxa"/>
          <w:bottom w:w="0" w:type="dxa"/>
          <w:right w:w="0" w:type="dxa"/>
        </w:tblCellMar>
      </w:tblPr>
      <w:tblGrid>
        <w:gridCol w:w="75"/>
        <w:gridCol w:w="320"/>
        <w:gridCol w:w="590"/>
        <w:gridCol w:w="30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4005" w:type="dxa"/>
            <w:gridSpan w:val="3"/>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85" w:type="dxa"/>
            <w:gridSpan w:val="2"/>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 Geoffrey Morphy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Geoffrey Morphy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2" w:name="ea177812ex99-1_bitfarmsltd.htm"/>
      <w:bookmarkStart w:id="3" w:name="ksea177812ex991_bitfarmsltd"/>
      <w:bookmarkEnd w:id="2"/>
      <w:bookmarkEnd w:id="3"/>
      <w:r>
        <w:rPr>
          <w:rFonts w:ascii="Times New Roman;Times;Serif" w:hAnsi="Times New Roman;Times;Serif"/>
          <w:b/>
          <w:i w:val="false"/>
          <w:caps w:val="false"/>
          <w:smallCaps w:val="false"/>
          <w:sz w:val="20"/>
        </w:rPr>
        <w:t>Exhibit 99.1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spacing w:before="0" w:after="0"/>
        <w:jc w:val="center"/>
        <w:rPr>
          <w:caps w:val="false"/>
          <w:smallCaps w:val="false"/>
        </w:rPr>
      </w:pPr>
      <w:r>
        <w:rPr>
          <w:caps w:val="false"/>
          <w:smallCaps w:val="false"/>
        </w:rPr>
        <w:t> </w:t>
      </w:r>
    </w:p>
    <w:tbl>
      <w:tblPr>
        <w:tblW w:w="3310" w:type="dxa"/>
        <w:jc w:val="left"/>
        <w:tblInd w:w="0" w:type="dxa"/>
        <w:tblCellMar>
          <w:top w:w="0" w:type="dxa"/>
          <w:left w:w="0" w:type="dxa"/>
          <w:bottom w:w="0" w:type="dxa"/>
          <w:right w:w="0" w:type="dxa"/>
        </w:tblCellMar>
      </w:tblPr>
      <w:tblGrid>
        <w:gridCol w:w="575"/>
        <w:gridCol w:w="273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273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Company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King Street East, Suite 902</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1C4</w:t>
      </w:r>
    </w:p>
    <w:p>
      <w:pPr>
        <w:pStyle w:val="TextBody"/>
        <w:spacing w:before="0" w:after="0"/>
        <w:ind w:left="0" w:right="0" w:hanging="0"/>
        <w:jc w:val="both"/>
        <w:rPr>
          <w:caps w:val="false"/>
          <w:smallCaps w:val="false"/>
        </w:rPr>
      </w:pPr>
      <w:r>
        <w:rPr>
          <w:caps w:val="false"/>
          <w:smallCaps w:val="false"/>
        </w:rPr>
        <w:t> </w:t>
      </w:r>
    </w:p>
    <w:tbl>
      <w:tblPr>
        <w:tblW w:w="2740" w:type="dxa"/>
        <w:jc w:val="left"/>
        <w:tblInd w:w="0" w:type="dxa"/>
        <w:tblCellMar>
          <w:top w:w="0" w:type="dxa"/>
          <w:left w:w="0" w:type="dxa"/>
          <w:bottom w:w="0" w:type="dxa"/>
          <w:right w:w="0" w:type="dxa"/>
        </w:tblCellMar>
      </w:tblPr>
      <w:tblGrid>
        <w:gridCol w:w="575"/>
        <w:gridCol w:w="216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216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Material Change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extBody"/>
        <w:spacing w:before="0" w:after="0"/>
        <w:ind w:left="0" w:right="0" w:hanging="0"/>
        <w:jc w:val="both"/>
        <w:rPr>
          <w:caps w:val="false"/>
          <w:smallCaps w:val="false"/>
        </w:rPr>
      </w:pPr>
      <w:r>
        <w:rPr>
          <w:caps w:val="false"/>
          <w:smallCaps w:val="false"/>
        </w:rPr>
        <w:t> </w:t>
      </w:r>
    </w:p>
    <w:tbl>
      <w:tblPr>
        <w:tblW w:w="1780" w:type="dxa"/>
        <w:jc w:val="left"/>
        <w:tblInd w:w="0" w:type="dxa"/>
        <w:tblCellMar>
          <w:top w:w="0" w:type="dxa"/>
          <w:left w:w="0" w:type="dxa"/>
          <w:bottom w:w="0" w:type="dxa"/>
          <w:right w:w="0" w:type="dxa"/>
        </w:tblCellMar>
      </w:tblPr>
      <w:tblGrid>
        <w:gridCol w:w="575"/>
        <w:gridCol w:w="120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120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News Release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May 1, 2023, by a newswire company in Canada.</w:t>
      </w:r>
    </w:p>
    <w:p>
      <w:pPr>
        <w:pStyle w:val="TextBody"/>
        <w:spacing w:before="0" w:after="0"/>
        <w:ind w:left="0" w:right="0" w:hanging="0"/>
        <w:jc w:val="both"/>
        <w:rPr>
          <w:caps w:val="false"/>
          <w:smallCaps w:val="false"/>
        </w:rPr>
      </w:pPr>
      <w:r>
        <w:rPr>
          <w:caps w:val="false"/>
          <w:smallCaps w:val="false"/>
        </w:rPr>
        <w:t> </w:t>
      </w:r>
    </w:p>
    <w:tbl>
      <w:tblPr>
        <w:tblW w:w="3190" w:type="dxa"/>
        <w:jc w:val="left"/>
        <w:tblInd w:w="0" w:type="dxa"/>
        <w:tblCellMar>
          <w:top w:w="0" w:type="dxa"/>
          <w:left w:w="0" w:type="dxa"/>
          <w:bottom w:w="0" w:type="dxa"/>
          <w:right w:w="0" w:type="dxa"/>
        </w:tblCellMar>
      </w:tblPr>
      <w:tblGrid>
        <w:gridCol w:w="575"/>
        <w:gridCol w:w="261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261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Material Change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spacing w:before="0" w:after="0"/>
        <w:ind w:left="0" w:right="0" w:hanging="0"/>
        <w:jc w:val="both"/>
        <w:rPr>
          <w:caps w:val="false"/>
          <w:smallCaps w:val="false"/>
        </w:rPr>
      </w:pPr>
      <w:r>
        <w:rPr>
          <w:caps w:val="false"/>
          <w:smallCaps w:val="false"/>
        </w:rPr>
        <w:t> </w:t>
      </w:r>
    </w:p>
    <w:tbl>
      <w:tblPr>
        <w:tblW w:w="3715" w:type="dxa"/>
        <w:jc w:val="left"/>
        <w:tblInd w:w="0" w:type="dxa"/>
        <w:tblCellMar>
          <w:top w:w="0" w:type="dxa"/>
          <w:left w:w="0" w:type="dxa"/>
          <w:bottom w:w="0" w:type="dxa"/>
          <w:right w:w="0" w:type="dxa"/>
        </w:tblCellMar>
      </w:tblPr>
      <w:tblGrid>
        <w:gridCol w:w="575"/>
        <w:gridCol w:w="314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314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Description of Material Change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spacing w:before="0" w:after="0"/>
        <w:ind w:left="0" w:right="0" w:hanging="0"/>
        <w:jc w:val="both"/>
        <w:rPr>
          <w:caps w:val="false"/>
          <w:smallCaps w:val="false"/>
        </w:rPr>
      </w:pPr>
      <w:r>
        <w:rPr>
          <w:caps w:val="false"/>
          <w:smallCaps w:val="false"/>
        </w:rPr>
        <w:t> </w:t>
      </w:r>
    </w:p>
    <w:tbl>
      <w:tblPr>
        <w:tblW w:w="5635" w:type="dxa"/>
        <w:jc w:val="left"/>
        <w:tblInd w:w="0" w:type="dxa"/>
        <w:tblCellMar>
          <w:top w:w="0" w:type="dxa"/>
          <w:left w:w="0" w:type="dxa"/>
          <w:bottom w:w="0" w:type="dxa"/>
          <w:right w:w="0" w:type="dxa"/>
        </w:tblCellMar>
      </w:tblPr>
      <w:tblGrid>
        <w:gridCol w:w="575"/>
        <w:gridCol w:w="506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506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Reliance of subsection 7.1(2) of National Instrument 51-102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2425" w:type="dxa"/>
        <w:jc w:val="left"/>
        <w:tblInd w:w="0" w:type="dxa"/>
        <w:tblCellMar>
          <w:top w:w="0" w:type="dxa"/>
          <w:left w:w="0" w:type="dxa"/>
          <w:bottom w:w="0" w:type="dxa"/>
          <w:right w:w="0" w:type="dxa"/>
        </w:tblCellMar>
      </w:tblPr>
      <w:tblGrid>
        <w:gridCol w:w="575"/>
        <w:gridCol w:w="185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185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Omitted Information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2140" w:type="dxa"/>
        <w:jc w:val="left"/>
        <w:tblInd w:w="0" w:type="dxa"/>
        <w:tblCellMar>
          <w:top w:w="0" w:type="dxa"/>
          <w:left w:w="0" w:type="dxa"/>
          <w:bottom w:w="0" w:type="dxa"/>
          <w:right w:w="0" w:type="dxa"/>
        </w:tblCellMar>
      </w:tblPr>
      <w:tblGrid>
        <w:gridCol w:w="575"/>
        <w:gridCol w:w="156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156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Bonta</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&amp; Director</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nbonta@bitfarms.com</w:t>
      </w:r>
    </w:p>
    <w:p>
      <w:pPr>
        <w:pStyle w:val="TextBody"/>
        <w:spacing w:before="0" w:after="0"/>
        <w:ind w:left="0" w:right="0" w:hanging="0"/>
        <w:jc w:val="both"/>
        <w:rPr>
          <w:caps w:val="false"/>
          <w:smallCaps w:val="false"/>
        </w:rPr>
      </w:pPr>
      <w:r>
        <w:rPr>
          <w:caps w:val="false"/>
          <w:smallCaps w:val="false"/>
        </w:rPr>
        <w:t> </w:t>
      </w:r>
    </w:p>
    <w:tbl>
      <w:tblPr>
        <w:tblW w:w="1885" w:type="dxa"/>
        <w:jc w:val="left"/>
        <w:tblInd w:w="0" w:type="dxa"/>
        <w:tblCellMar>
          <w:top w:w="0" w:type="dxa"/>
          <w:left w:w="0" w:type="dxa"/>
          <w:bottom w:w="0" w:type="dxa"/>
          <w:right w:w="0" w:type="dxa"/>
        </w:tblCellMar>
      </w:tblPr>
      <w:tblGrid>
        <w:gridCol w:w="575"/>
        <w:gridCol w:w="131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131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extBody"/>
        <w:spacing w:before="0" w:after="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caps w:val="false"/>
          <w:smallCaps w:val="false"/>
        </w:rPr>
      </w:pPr>
      <w:r>
        <w:rPr>
          <w:caps w:val="false"/>
          <w:smallCaps w:val="false"/>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257425" cy="5905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Bitfarms Mines 379 BTC in April</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Operating capacity reaches 196 MW and hashrate 5.0 EH/s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purposes of the Company’s prospectus supplement dated August 16, 2021, to its short form base shelf prospectus dated August 12,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(May 1, 2023)</w:t>
      </w:r>
      <w:r>
        <w:rPr>
          <w:rFonts w:ascii="Times New Roman;Times;Serif" w:hAnsi="Times New Roman;Times;Serif"/>
          <w:b w:val="false"/>
          <w:i w:val="false"/>
          <w:caps w:val="false"/>
          <w:smallCaps w:val="false"/>
          <w:sz w:val="20"/>
        </w:rPr>
        <w:t xml:space="preserve"> - Bitfarms Ltd. (</w:t>
      </w:r>
      <w:r>
        <w:rPr>
          <w:rFonts w:ascii="Times New Roman;Times;Serif" w:hAnsi="Times New Roman;Times;Serif"/>
          <w:b w:val="false"/>
          <w:i w:val="false"/>
          <w:caps w:val="false"/>
          <w:smallCaps w:val="false"/>
          <w:sz w:val="20"/>
          <w:u w:val="single"/>
        </w:rPr>
        <w:t>NASDAQ: BITF//TSX: BITF</w:t>
      </w:r>
      <w:r>
        <w:rPr>
          <w:rFonts w:ascii="Times New Roman;Times;Serif" w:hAnsi="Times New Roman;Times;Serif"/>
          <w:b w:val="false"/>
          <w:i w:val="false"/>
          <w:caps w:val="false"/>
          <w:smallCaps w:val="false"/>
          <w:sz w:val="20"/>
        </w:rPr>
        <w:t>), a global vertically integrated Bitcoin mining company, provided a Bitcoin (BTC) production and mining operations update for April 2023. In addition, earlier today Bitfarms announced it had regained compliance with the minimum bid price requirement of $1.00 per share under Nasdaq Listing Rule 5550(a)(2).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we announced last week, boosted by production increases from new installations in Rio Cuarto, Argentina, our operational hashrate reached 5.0 EH/s on April 27, 2023,” said Geoff Morphy, CEO of Bitfarms. “Importantly, our private power producer in Argentina is now fully permitted to provide up to 100 MW, and we are able to begin purchasing power under this agreement at prices expected to be below $0.03 per KWh. With the permitting milestone achieved, we are positioned to expand in Rio Cuarto with sourced power costs that should reduce our average cost of power and realize our growth target of 6.0 EH/s in 2023. Additionally, in April we entered into agreements to acquire 22 MW of hydro power capacity in Baie-Comeau, Quebec, subject to closing, that is expected to drive further growth and our renewable energy portfolio.”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Gagnon, Chief Mining Officer of Bitfarms, said, “In April, BTC production declined 6% year-over-year, as a 52% increase in our hashrate was offset by a 61% increase in network difficulty and a 9-day shutdown in Rio Cuarto as we transitioned to a new substation. However, we continued to drive hashrate growth on a sequential month-over-month basis, as 4% growth in April increased our corporate hashrate to 5.0 EH/s at the end of the month. We also purchased an additional 650 PH/s of new Bitmain and MicroBT miners to fill out another 22 MW in the first warehouse, which is expected to increase our total hashrate a further 13% upon deployment in the coming months. With competitive pricing and high efficiency, we expect these new miners will improve corporate energy efficiencies measured by w/TH and reduce our overall operating costs/TH. Furthering our cost control initiatives, we also rolled out miner specific real-time energy tracking across all sites and a hardware diagnostics tool that should dramatically reduce repair times on new miner models.”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April 2023, we were cash flow positive from operations after scheduled interest and principal payments. Reflecting improved mining economics, as in March, we sold less BTC than we produced, which resulted in a net addition of 30 BTC to treasury in April, bringing the total at month end to 465 Bitcoin,” concluded Morphy.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Mining Review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Network difficulty increased another 4% in April and is up 38% year-to-date in 2023, while Bitcoin price is up roughly 77% in the same period, resulting in a 9% improvement in mining economics as measured by USD/TH.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curtailment in Quebec continued to moderate in April, as warmer weather reduced the energy demand by local power grids. With the coming of the Spring bloom in Quebec, energy curtailment is expected to subside. The table below presents an overview of April 2023 performance metrics as compared to both March 2023 and April 2022.</w:t>
      </w:r>
    </w:p>
    <w:p>
      <w:pPr>
        <w:pStyle w:val="TextBody"/>
        <w:spacing w:before="0" w:after="0"/>
        <w:ind w:left="0" w:right="0" w:hanging="0"/>
        <w:jc w:val="both"/>
        <w:rPr>
          <w:caps w:val="false"/>
          <w:smallCaps w:val="false"/>
        </w:rPr>
      </w:pPr>
      <w:r>
        <w:rPr>
          <w:caps w:val="false"/>
          <w:smallCaps w:val="false"/>
        </w:rPr>
        <w:t> </w:t>
      </w:r>
    </w:p>
    <w:tbl>
      <w:tblPr>
        <w:tblW w:w="6842" w:type="dxa"/>
        <w:jc w:val="left"/>
        <w:tblInd w:w="0" w:type="dxa"/>
        <w:tblCellMar>
          <w:top w:w="0" w:type="dxa"/>
          <w:left w:w="0" w:type="dxa"/>
          <w:bottom w:w="28" w:type="dxa"/>
          <w:right w:w="0" w:type="dxa"/>
        </w:tblCellMar>
      </w:tblPr>
      <w:tblGrid>
        <w:gridCol w:w="3320"/>
        <w:gridCol w:w="60"/>
        <w:gridCol w:w="141"/>
        <w:gridCol w:w="898"/>
        <w:gridCol w:w="60"/>
        <w:gridCol w:w="60"/>
        <w:gridCol w:w="145"/>
        <w:gridCol w:w="924"/>
        <w:gridCol w:w="60"/>
        <w:gridCol w:w="60"/>
        <w:gridCol w:w="141"/>
        <w:gridCol w:w="898"/>
        <w:gridCol w:w="75"/>
      </w:tblGrid>
      <w:tr>
        <w:trPr/>
        <w:tc>
          <w:tcPr>
            <w:tcW w:w="3320" w:type="dxa"/>
            <w:tcBorders>
              <w:bottom w:val="single" w:sz="12" w:space="0" w:color="000000"/>
            </w:tcBorders>
            <w:shd w:fill="auto" w:val="clear"/>
            <w:vAlign w:val="center"/>
          </w:tcPr>
          <w:p>
            <w:pPr>
              <w:pStyle w:val="TableContents"/>
              <w:spacing w:before="0" w:after="283"/>
              <w:jc w:val="left"/>
              <w:rPr>
                <w:b/>
              </w:rPr>
            </w:pPr>
            <w:r>
              <w:rPr>
                <w:b/>
              </w:rPr>
              <w:t>Key Performance Indicators</w:t>
            </w:r>
          </w:p>
        </w:tc>
        <w:tc>
          <w:tcPr>
            <w:tcW w:w="60" w:type="dxa"/>
            <w:tcBorders/>
            <w:shd w:fill="auto" w:val="clear"/>
            <w:tcMar>
              <w:bottom w:w="0" w:type="dxa"/>
            </w:tcMar>
            <w:vAlign w:val="center"/>
          </w:tcPr>
          <w:p>
            <w:pPr>
              <w:pStyle w:val="TableContents"/>
              <w:spacing w:before="0" w:after="283"/>
              <w:jc w:val="center"/>
              <w:rPr/>
            </w:pPr>
            <w:r>
              <w:rPr/>
              <w:t> </w:t>
            </w:r>
          </w:p>
        </w:tc>
        <w:tc>
          <w:tcPr>
            <w:tcW w:w="1039" w:type="dxa"/>
            <w:gridSpan w:val="2"/>
            <w:tcBorders>
              <w:bottom w:val="single" w:sz="12" w:space="0" w:color="000000"/>
            </w:tcBorders>
            <w:shd w:fill="auto" w:val="clear"/>
            <w:vAlign w:val="center"/>
          </w:tcPr>
          <w:p>
            <w:pPr>
              <w:pStyle w:val="TableContents"/>
              <w:spacing w:before="0" w:after="283"/>
              <w:jc w:val="center"/>
              <w:rPr>
                <w:b/>
              </w:rPr>
            </w:pPr>
            <w:r>
              <w:rPr>
                <w:b/>
              </w:rPr>
              <w:t>Apr. 2023</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069" w:type="dxa"/>
            <w:gridSpan w:val="2"/>
            <w:tcBorders>
              <w:bottom w:val="single" w:sz="12" w:space="0" w:color="000000"/>
            </w:tcBorders>
            <w:shd w:fill="auto" w:val="clear"/>
            <w:vAlign w:val="center"/>
          </w:tcPr>
          <w:p>
            <w:pPr>
              <w:pStyle w:val="TableContents"/>
              <w:spacing w:before="0" w:after="283"/>
              <w:jc w:val="center"/>
              <w:rPr>
                <w:b/>
              </w:rPr>
            </w:pPr>
            <w:r>
              <w:rPr>
                <w:b/>
              </w:rPr>
              <w:t>Mar. 2023</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039" w:type="dxa"/>
            <w:gridSpan w:val="2"/>
            <w:tcBorders>
              <w:bottom w:val="single" w:sz="12" w:space="0" w:color="000000"/>
            </w:tcBorders>
            <w:shd w:fill="auto" w:val="clear"/>
            <w:vAlign w:val="center"/>
          </w:tcPr>
          <w:p>
            <w:pPr>
              <w:pStyle w:val="TableContents"/>
              <w:spacing w:before="0" w:after="283"/>
              <w:jc w:val="center"/>
              <w:rPr>
                <w:b/>
              </w:rPr>
            </w:pPr>
            <w:r>
              <w:rPr>
                <w:b/>
              </w:rPr>
              <w:t>Apr. 2022</w:t>
            </w:r>
          </w:p>
        </w:tc>
        <w:tc>
          <w:tcPr>
            <w:tcW w:w="75" w:type="dxa"/>
            <w:tcBorders/>
            <w:shd w:fill="auto" w:val="clear"/>
            <w:tcMar>
              <w:bottom w:w="0" w:type="dxa"/>
            </w:tcMar>
            <w:vAlign w:val="center"/>
          </w:tcPr>
          <w:p>
            <w:pPr>
              <w:pStyle w:val="TableContents"/>
              <w:spacing w:before="0" w:after="283"/>
              <w:jc w:val="center"/>
              <w:rPr/>
            </w:pPr>
            <w:r>
              <w:rPr/>
              <w:t> </w:t>
            </w:r>
          </w:p>
        </w:tc>
      </w:tr>
      <w:tr>
        <w:trPr/>
        <w:tc>
          <w:tcPr>
            <w:tcW w:w="3320" w:type="dxa"/>
            <w:tcBorders/>
            <w:shd w:fill="CCEEFF" w:val="clear"/>
            <w:tcMar>
              <w:bottom w:w="0" w:type="dxa"/>
            </w:tcMar>
            <w:vAlign w:val="center"/>
          </w:tcPr>
          <w:p>
            <w:pPr>
              <w:pStyle w:val="TableContents"/>
              <w:spacing w:before="0" w:after="283"/>
              <w:jc w:val="left"/>
              <w:rPr/>
            </w:pPr>
            <w:r>
              <w:rPr/>
              <w:t>Total BTC Mined</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379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left"/>
              <w:rPr/>
            </w:pPr>
            <w:r>
              <w:rPr/>
              <w:t> </w:t>
            </w:r>
          </w:p>
        </w:tc>
        <w:tc>
          <w:tcPr>
            <w:tcW w:w="924" w:type="dxa"/>
            <w:tcBorders/>
            <w:shd w:fill="CCEEFF" w:val="clear"/>
            <w:tcMar>
              <w:bottom w:w="0" w:type="dxa"/>
            </w:tcMar>
            <w:vAlign w:val="center"/>
          </w:tcPr>
          <w:p>
            <w:pPr>
              <w:pStyle w:val="TableContents"/>
              <w:spacing w:before="0" w:after="283"/>
              <w:jc w:val="right"/>
              <w:rPr/>
            </w:pPr>
            <w:r>
              <w:rPr/>
              <w:t>424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405</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320" w:type="dxa"/>
            <w:tcBorders/>
            <w:shd w:fill="FFFFFF" w:val="clear"/>
            <w:tcMar>
              <w:bottom w:w="0" w:type="dxa"/>
            </w:tcMar>
            <w:vAlign w:val="center"/>
          </w:tcPr>
          <w:p>
            <w:pPr>
              <w:pStyle w:val="TableContents"/>
              <w:spacing w:before="0" w:after="283"/>
              <w:jc w:val="left"/>
              <w:rPr/>
            </w:pPr>
            <w:r>
              <w:rPr/>
              <w:t>Month End Operating EH/s</w:t>
            </w:r>
          </w:p>
        </w:tc>
        <w:tc>
          <w:tcPr>
            <w:tcW w:w="60"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center"/>
          </w:tcPr>
          <w:p>
            <w:pPr>
              <w:pStyle w:val="TableContents"/>
              <w:spacing w:before="0" w:after="283"/>
              <w:jc w:val="left"/>
              <w:rPr/>
            </w:pPr>
            <w:r>
              <w:rPr/>
              <w:t> </w:t>
            </w:r>
          </w:p>
        </w:tc>
        <w:tc>
          <w:tcPr>
            <w:tcW w:w="898" w:type="dxa"/>
            <w:tcBorders/>
            <w:shd w:fill="FFFFFF" w:val="clear"/>
            <w:tcMar>
              <w:bottom w:w="0" w:type="dxa"/>
            </w:tcMar>
            <w:vAlign w:val="center"/>
          </w:tcPr>
          <w:p>
            <w:pPr>
              <w:pStyle w:val="TableContents"/>
              <w:spacing w:before="0" w:after="283"/>
              <w:jc w:val="right"/>
              <w:rPr/>
            </w:pPr>
            <w:r>
              <w:rPr/>
              <w:t>5.0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center"/>
          </w:tcPr>
          <w:p>
            <w:pPr>
              <w:pStyle w:val="TableContents"/>
              <w:spacing w:before="0" w:after="283"/>
              <w:jc w:val="left"/>
              <w:rPr/>
            </w:pPr>
            <w:r>
              <w:rPr/>
              <w:t> </w:t>
            </w:r>
          </w:p>
        </w:tc>
        <w:tc>
          <w:tcPr>
            <w:tcW w:w="924" w:type="dxa"/>
            <w:tcBorders/>
            <w:shd w:fill="FFFFFF" w:val="clear"/>
            <w:tcMar>
              <w:bottom w:w="0" w:type="dxa"/>
            </w:tcMar>
            <w:vAlign w:val="center"/>
          </w:tcPr>
          <w:p>
            <w:pPr>
              <w:pStyle w:val="TableContents"/>
              <w:spacing w:before="0" w:after="283"/>
              <w:jc w:val="right"/>
              <w:rPr/>
            </w:pPr>
            <w:r>
              <w:rPr/>
              <w:t>4.8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center"/>
          </w:tcPr>
          <w:p>
            <w:pPr>
              <w:pStyle w:val="TableContents"/>
              <w:spacing w:before="0" w:after="283"/>
              <w:jc w:val="left"/>
              <w:rPr/>
            </w:pPr>
            <w:r>
              <w:rPr/>
              <w:t> </w:t>
            </w:r>
          </w:p>
        </w:tc>
        <w:tc>
          <w:tcPr>
            <w:tcW w:w="898" w:type="dxa"/>
            <w:tcBorders/>
            <w:shd w:fill="FFFFFF" w:val="clear"/>
            <w:tcMar>
              <w:bottom w:w="0" w:type="dxa"/>
            </w:tcMar>
            <w:vAlign w:val="center"/>
          </w:tcPr>
          <w:p>
            <w:pPr>
              <w:pStyle w:val="TableContents"/>
              <w:spacing w:before="0" w:after="283"/>
              <w:jc w:val="right"/>
              <w:rPr/>
            </w:pPr>
            <w:r>
              <w:rPr/>
              <w:t>3.3</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320" w:type="dxa"/>
            <w:tcBorders/>
            <w:shd w:fill="CCEEFF" w:val="clear"/>
            <w:tcMar>
              <w:bottom w:w="0" w:type="dxa"/>
            </w:tcMar>
            <w:vAlign w:val="center"/>
          </w:tcPr>
          <w:p>
            <w:pPr>
              <w:pStyle w:val="TableContents"/>
              <w:spacing w:before="0" w:after="283"/>
              <w:jc w:val="left"/>
              <w:rPr/>
            </w:pPr>
            <w:r>
              <w:rPr/>
              <w:t>BTC/ Avg. EH/s</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81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left"/>
              <w:rPr/>
            </w:pPr>
            <w:r>
              <w:rPr/>
              <w:t> </w:t>
            </w:r>
          </w:p>
        </w:tc>
        <w:tc>
          <w:tcPr>
            <w:tcW w:w="924" w:type="dxa"/>
            <w:tcBorders/>
            <w:shd w:fill="CCEEFF" w:val="clear"/>
            <w:tcMar>
              <w:bottom w:w="0" w:type="dxa"/>
            </w:tcMar>
            <w:vAlign w:val="center"/>
          </w:tcPr>
          <w:p>
            <w:pPr>
              <w:pStyle w:val="TableContents"/>
              <w:spacing w:before="0" w:after="283"/>
              <w:jc w:val="right"/>
              <w:rPr/>
            </w:pPr>
            <w:r>
              <w:rPr/>
              <w:t>91</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134</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320" w:type="dxa"/>
            <w:tcBorders/>
            <w:shd w:fill="FFFFFF" w:val="clear"/>
            <w:tcMar>
              <w:bottom w:w="0" w:type="dxa"/>
            </w:tcMar>
            <w:vAlign w:val="center"/>
          </w:tcPr>
          <w:p>
            <w:pPr>
              <w:pStyle w:val="TableContents"/>
              <w:spacing w:before="0" w:after="283"/>
              <w:jc w:val="left"/>
              <w:rPr/>
            </w:pPr>
            <w:r>
              <w:rPr/>
              <w:t>Operating Capacity (MW)</w:t>
            </w:r>
          </w:p>
        </w:tc>
        <w:tc>
          <w:tcPr>
            <w:tcW w:w="60"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center"/>
          </w:tcPr>
          <w:p>
            <w:pPr>
              <w:pStyle w:val="TableContents"/>
              <w:spacing w:before="0" w:after="283"/>
              <w:jc w:val="left"/>
              <w:rPr/>
            </w:pPr>
            <w:r>
              <w:rPr/>
              <w:t> </w:t>
            </w:r>
          </w:p>
        </w:tc>
        <w:tc>
          <w:tcPr>
            <w:tcW w:w="898" w:type="dxa"/>
            <w:tcBorders/>
            <w:shd w:fill="FFFFFF" w:val="clear"/>
            <w:tcMar>
              <w:bottom w:w="0" w:type="dxa"/>
            </w:tcMar>
            <w:vAlign w:val="center"/>
          </w:tcPr>
          <w:p>
            <w:pPr>
              <w:pStyle w:val="TableContents"/>
              <w:spacing w:before="0" w:after="283"/>
              <w:jc w:val="right"/>
              <w:rPr/>
            </w:pPr>
            <w:r>
              <w:rPr/>
              <w:t>196</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center"/>
          </w:tcPr>
          <w:p>
            <w:pPr>
              <w:pStyle w:val="TableContents"/>
              <w:spacing w:before="0" w:after="283"/>
              <w:jc w:val="left"/>
              <w:rPr/>
            </w:pPr>
            <w:r>
              <w:rPr/>
              <w:t> </w:t>
            </w:r>
          </w:p>
        </w:tc>
        <w:tc>
          <w:tcPr>
            <w:tcW w:w="924" w:type="dxa"/>
            <w:tcBorders/>
            <w:shd w:fill="FFFFFF" w:val="clear"/>
            <w:tcMar>
              <w:bottom w:w="0" w:type="dxa"/>
            </w:tcMar>
            <w:vAlign w:val="center"/>
          </w:tcPr>
          <w:p>
            <w:pPr>
              <w:pStyle w:val="TableContents"/>
              <w:spacing w:before="0" w:after="283"/>
              <w:jc w:val="right"/>
              <w:rPr/>
            </w:pPr>
            <w:r>
              <w:rPr/>
              <w:t>188</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center"/>
          </w:tcPr>
          <w:p>
            <w:pPr>
              <w:pStyle w:val="TableContents"/>
              <w:spacing w:before="0" w:after="283"/>
              <w:jc w:val="left"/>
              <w:rPr/>
            </w:pPr>
            <w:r>
              <w:rPr/>
              <w:t> </w:t>
            </w:r>
          </w:p>
        </w:tc>
        <w:tc>
          <w:tcPr>
            <w:tcW w:w="898" w:type="dxa"/>
            <w:tcBorders/>
            <w:shd w:fill="FFFFFF" w:val="clear"/>
            <w:tcMar>
              <w:bottom w:w="0" w:type="dxa"/>
            </w:tcMar>
            <w:vAlign w:val="center"/>
          </w:tcPr>
          <w:p>
            <w:pPr>
              <w:pStyle w:val="TableContents"/>
              <w:spacing w:before="0" w:after="283"/>
              <w:jc w:val="right"/>
              <w:rPr/>
            </w:pPr>
            <w:r>
              <w:rPr/>
              <w:t>137</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320" w:type="dxa"/>
            <w:tcBorders/>
            <w:shd w:fill="CCEEFF" w:val="clear"/>
            <w:tcMar>
              <w:bottom w:w="0" w:type="dxa"/>
            </w:tcMar>
            <w:vAlign w:val="center"/>
          </w:tcPr>
          <w:p>
            <w:pPr>
              <w:pStyle w:val="TableContents"/>
              <w:spacing w:before="0" w:after="283"/>
              <w:jc w:val="left"/>
              <w:rPr/>
            </w:pPr>
            <w:r>
              <w:rPr/>
              <w:t>Hydropower MW</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178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left"/>
              <w:rPr/>
            </w:pPr>
            <w:r>
              <w:rPr/>
              <w:t> </w:t>
            </w:r>
          </w:p>
        </w:tc>
        <w:tc>
          <w:tcPr>
            <w:tcW w:w="924" w:type="dxa"/>
            <w:tcBorders/>
            <w:shd w:fill="CCEEFF" w:val="clear"/>
            <w:tcMar>
              <w:bottom w:w="0" w:type="dxa"/>
            </w:tcMar>
            <w:vAlign w:val="center"/>
          </w:tcPr>
          <w:p>
            <w:pPr>
              <w:pStyle w:val="TableContents"/>
              <w:spacing w:before="0" w:after="283"/>
              <w:jc w:val="right"/>
              <w:rPr/>
            </w:pPr>
            <w:r>
              <w:rPr/>
              <w:t>178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137</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3320" w:type="dxa"/>
            <w:tcBorders/>
            <w:shd w:fill="FFFFFF" w:val="clear"/>
            <w:tcMar>
              <w:bottom w:w="0" w:type="dxa"/>
            </w:tcMar>
            <w:vAlign w:val="center"/>
          </w:tcPr>
          <w:p>
            <w:pPr>
              <w:pStyle w:val="TableContents"/>
              <w:spacing w:before="0" w:after="283"/>
              <w:jc w:val="left"/>
              <w:rPr/>
            </w:pPr>
            <w:r>
              <w:rPr/>
              <w:t>Watts/Terahash Efficiency (w/TH)</w:t>
            </w:r>
          </w:p>
        </w:tc>
        <w:tc>
          <w:tcPr>
            <w:tcW w:w="60"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center"/>
          </w:tcPr>
          <w:p>
            <w:pPr>
              <w:pStyle w:val="TableContents"/>
              <w:spacing w:before="0" w:after="283"/>
              <w:jc w:val="left"/>
              <w:rPr/>
            </w:pPr>
            <w:r>
              <w:rPr/>
              <w:t> </w:t>
            </w:r>
          </w:p>
        </w:tc>
        <w:tc>
          <w:tcPr>
            <w:tcW w:w="898" w:type="dxa"/>
            <w:tcBorders/>
            <w:shd w:fill="FFFFFF" w:val="clear"/>
            <w:tcMar>
              <w:bottom w:w="0" w:type="dxa"/>
            </w:tcMar>
            <w:vAlign w:val="center"/>
          </w:tcPr>
          <w:p>
            <w:pPr>
              <w:pStyle w:val="TableContents"/>
              <w:spacing w:before="0" w:after="283"/>
              <w:jc w:val="right"/>
              <w:rPr/>
            </w:pPr>
            <w:r>
              <w:rPr/>
              <w:t>39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5" w:type="dxa"/>
            <w:tcBorders/>
            <w:shd w:fill="FFFFFF" w:val="clear"/>
            <w:tcMar>
              <w:bottom w:w="0" w:type="dxa"/>
            </w:tcMar>
            <w:vAlign w:val="center"/>
          </w:tcPr>
          <w:p>
            <w:pPr>
              <w:pStyle w:val="TableContents"/>
              <w:spacing w:before="0" w:after="283"/>
              <w:jc w:val="left"/>
              <w:rPr/>
            </w:pPr>
            <w:r>
              <w:rPr/>
              <w:t> </w:t>
            </w:r>
          </w:p>
        </w:tc>
        <w:tc>
          <w:tcPr>
            <w:tcW w:w="924" w:type="dxa"/>
            <w:tcBorders/>
            <w:shd w:fill="FFFFFF" w:val="clear"/>
            <w:tcMar>
              <w:bottom w:w="0" w:type="dxa"/>
            </w:tcMar>
            <w:vAlign w:val="center"/>
          </w:tcPr>
          <w:p>
            <w:pPr>
              <w:pStyle w:val="TableContents"/>
              <w:spacing w:before="0" w:after="283"/>
              <w:jc w:val="right"/>
              <w:rPr/>
            </w:pPr>
            <w:r>
              <w:rPr/>
              <w:t>39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1" w:type="dxa"/>
            <w:tcBorders/>
            <w:shd w:fill="FFFFFF" w:val="clear"/>
            <w:tcMar>
              <w:bottom w:w="0" w:type="dxa"/>
            </w:tcMar>
            <w:vAlign w:val="center"/>
          </w:tcPr>
          <w:p>
            <w:pPr>
              <w:pStyle w:val="TableContents"/>
              <w:spacing w:before="0" w:after="283"/>
              <w:jc w:val="left"/>
              <w:rPr/>
            </w:pPr>
            <w:r>
              <w:rPr/>
              <w:t> </w:t>
            </w:r>
          </w:p>
        </w:tc>
        <w:tc>
          <w:tcPr>
            <w:tcW w:w="898" w:type="dxa"/>
            <w:tcBorders/>
            <w:shd w:fill="FFFFFF" w:val="clear"/>
            <w:tcMar>
              <w:bottom w:w="0" w:type="dxa"/>
            </w:tcMar>
            <w:vAlign w:val="center"/>
          </w:tcPr>
          <w:p>
            <w:pPr>
              <w:pStyle w:val="TableContents"/>
              <w:spacing w:before="0" w:after="283"/>
              <w:jc w:val="right"/>
              <w:rPr/>
            </w:pPr>
            <w:r>
              <w:rPr/>
              <w:t>42</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3320" w:type="dxa"/>
            <w:tcBorders/>
            <w:shd w:fill="CCEEFF" w:val="clear"/>
            <w:tcMar>
              <w:bottom w:w="0" w:type="dxa"/>
            </w:tcMar>
            <w:vAlign w:val="center"/>
          </w:tcPr>
          <w:p>
            <w:pPr>
              <w:pStyle w:val="TableContents"/>
              <w:spacing w:before="0" w:after="283"/>
              <w:jc w:val="left"/>
              <w:rPr/>
            </w:pPr>
            <w:r>
              <w:rPr/>
              <w:t>BTC Sold</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349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5" w:type="dxa"/>
            <w:tcBorders/>
            <w:shd w:fill="CCEEFF" w:val="clear"/>
            <w:tcMar>
              <w:bottom w:w="0" w:type="dxa"/>
            </w:tcMar>
            <w:vAlign w:val="center"/>
          </w:tcPr>
          <w:p>
            <w:pPr>
              <w:pStyle w:val="TableContents"/>
              <w:spacing w:before="0" w:after="283"/>
              <w:jc w:val="left"/>
              <w:rPr/>
            </w:pPr>
            <w:r>
              <w:rPr/>
              <w:t> </w:t>
            </w:r>
          </w:p>
        </w:tc>
        <w:tc>
          <w:tcPr>
            <w:tcW w:w="924" w:type="dxa"/>
            <w:tcBorders/>
            <w:shd w:fill="CCEEFF" w:val="clear"/>
            <w:tcMar>
              <w:bottom w:w="0" w:type="dxa"/>
            </w:tcMar>
            <w:vAlign w:val="center"/>
          </w:tcPr>
          <w:p>
            <w:pPr>
              <w:pStyle w:val="TableContents"/>
              <w:spacing w:before="0" w:after="283"/>
              <w:jc w:val="right"/>
              <w:rPr/>
            </w:pPr>
            <w:r>
              <w:rPr/>
              <w:t>394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1" w:type="dxa"/>
            <w:tcBorders/>
            <w:shd w:fill="CCEEFF" w:val="clear"/>
            <w:tcMar>
              <w:bottom w:w="0" w:type="dxa"/>
            </w:tcMar>
            <w:vAlign w:val="center"/>
          </w:tcPr>
          <w:p>
            <w:pPr>
              <w:pStyle w:val="TableContents"/>
              <w:spacing w:before="0" w:after="283"/>
              <w:jc w:val="left"/>
              <w:rPr/>
            </w:pPr>
            <w:r>
              <w:rPr/>
              <w:t> </w:t>
            </w:r>
          </w:p>
        </w:tc>
        <w:tc>
          <w:tcPr>
            <w:tcW w:w="898" w:type="dxa"/>
            <w:tcBorders/>
            <w:shd w:fill="CCEEFF" w:val="clear"/>
            <w:tcMar>
              <w:bottom w:w="0" w:type="dxa"/>
            </w:tcMar>
            <w:vAlign w:val="center"/>
          </w:tcPr>
          <w:p>
            <w:pPr>
              <w:pStyle w:val="TableContents"/>
              <w:spacing w:before="0" w:after="283"/>
              <w:jc w:val="right"/>
              <w:rPr/>
            </w:pPr>
            <w:r>
              <w:rPr/>
              <w:t>2</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April 2023 Select Operating Highlights</w:t>
      </w:r>
    </w:p>
    <w:p>
      <w:pPr>
        <w:pStyle w:val="TextBody"/>
        <w:spacing w:before="0" w:after="0"/>
        <w:ind w:left="705" w:right="0" w:hanging="360"/>
        <w:jc w:val="both"/>
        <w:rPr>
          <w:caps w:val="false"/>
          <w:smallCaps w:val="false"/>
        </w:rPr>
      </w:pPr>
      <w:r>
        <w:rPr>
          <w:caps w:val="false"/>
          <w:smallCaps w:val="false"/>
        </w:rPr>
        <w:t> </w:t>
      </w:r>
    </w:p>
    <w:tbl>
      <w:tblPr>
        <w:tblW w:w="8913" w:type="dxa"/>
        <w:jc w:val="left"/>
        <w:tblInd w:w="0" w:type="dxa"/>
        <w:tblCellMar>
          <w:top w:w="0" w:type="dxa"/>
          <w:left w:w="0" w:type="dxa"/>
          <w:bottom w:w="0" w:type="dxa"/>
          <w:right w:w="0" w:type="dxa"/>
        </w:tblCellMar>
      </w:tblPr>
      <w:tblGrid>
        <w:gridCol w:w="38"/>
        <w:gridCol w:w="170"/>
        <w:gridCol w:w="87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7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EH/s online as of April 27, 2023, up 52% from April 30, 2022, and up 4% compared to March 31, 2023.</w:t>
            </w:r>
          </w:p>
        </w:tc>
      </w:tr>
    </w:tbl>
    <w:p>
      <w:pPr>
        <w:pStyle w:val="TextBody"/>
        <w:spacing w:before="0" w:after="0"/>
        <w:ind w:left="705" w:right="0" w:hanging="360"/>
        <w:jc w:val="both"/>
        <w:rPr>
          <w:caps w:val="false"/>
          <w:smallCaps w:val="false"/>
        </w:rPr>
      </w:pPr>
      <w:r>
        <w:rPr>
          <w:caps w:val="false"/>
          <w:smallCaps w:val="false"/>
        </w:rPr>
        <w:t> </w:t>
      </w:r>
    </w:p>
    <w:tbl>
      <w:tblPr>
        <w:tblW w:w="5298" w:type="dxa"/>
        <w:jc w:val="left"/>
        <w:tblInd w:w="0" w:type="dxa"/>
        <w:tblCellMar>
          <w:top w:w="0" w:type="dxa"/>
          <w:left w:w="0" w:type="dxa"/>
          <w:bottom w:w="0" w:type="dxa"/>
          <w:right w:w="0" w:type="dxa"/>
        </w:tblCellMar>
      </w:tblPr>
      <w:tblGrid>
        <w:gridCol w:w="38"/>
        <w:gridCol w:w="170"/>
        <w:gridCol w:w="50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0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EH/s average online, compared to 4.6 EH/s in March 2023.</w:t>
            </w:r>
          </w:p>
        </w:tc>
      </w:tr>
    </w:tbl>
    <w:p>
      <w:pPr>
        <w:pStyle w:val="TextBody"/>
        <w:spacing w:before="0" w:after="0"/>
        <w:ind w:left="705" w:right="0" w:hanging="360"/>
        <w:jc w:val="both"/>
        <w:rPr>
          <w:caps w:val="false"/>
          <w:smallCaps w:val="false"/>
        </w:rPr>
      </w:pPr>
      <w:r>
        <w:rPr>
          <w:caps w:val="false"/>
          <w:smallCaps w:val="false"/>
        </w:rPr>
        <w:t> </w:t>
      </w:r>
    </w:p>
    <w:tbl>
      <w:tblPr>
        <w:tblW w:w="4818" w:type="dxa"/>
        <w:jc w:val="left"/>
        <w:tblInd w:w="0" w:type="dxa"/>
        <w:tblCellMar>
          <w:top w:w="0" w:type="dxa"/>
          <w:left w:w="0" w:type="dxa"/>
          <w:bottom w:w="0" w:type="dxa"/>
          <w:right w:w="0" w:type="dxa"/>
        </w:tblCellMar>
      </w:tblPr>
      <w:tblGrid>
        <w:gridCol w:w="38"/>
        <w:gridCol w:w="170"/>
        <w:gridCol w:w="46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461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 BTC/average EH/s, down from 91.4 in March 2023.</w:t>
            </w:r>
          </w:p>
        </w:tc>
      </w:tr>
    </w:tbl>
    <w:p>
      <w:pPr>
        <w:pStyle w:val="TextBody"/>
        <w:spacing w:before="0" w:after="0"/>
        <w:ind w:left="705" w:right="0" w:hanging="360"/>
        <w:jc w:val="both"/>
        <w:rPr>
          <w:caps w:val="false"/>
          <w:smallCaps w:val="false"/>
        </w:rPr>
      </w:pPr>
      <w:r>
        <w:rPr>
          <w:caps w:val="false"/>
          <w:smallCaps w:val="false"/>
        </w:rPr>
        <w:t> </w:t>
      </w:r>
    </w:p>
    <w:tbl>
      <w:tblPr>
        <w:tblW w:w="7188" w:type="dxa"/>
        <w:jc w:val="left"/>
        <w:tblInd w:w="0" w:type="dxa"/>
        <w:tblCellMar>
          <w:top w:w="0" w:type="dxa"/>
          <w:left w:w="0" w:type="dxa"/>
          <w:bottom w:w="0" w:type="dxa"/>
          <w:right w:w="0" w:type="dxa"/>
        </w:tblCellMar>
      </w:tblPr>
      <w:tblGrid>
        <w:gridCol w:w="38"/>
        <w:gridCol w:w="170"/>
        <w:gridCol w:w="69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9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 new BTC mined, down 6.4% from April 2022 and down 10.6% from March 2023.</w:t>
            </w:r>
          </w:p>
        </w:tc>
      </w:tr>
    </w:tbl>
    <w:p>
      <w:pPr>
        <w:pStyle w:val="TextBody"/>
        <w:spacing w:before="0" w:after="0"/>
        <w:ind w:left="705"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BTC mined daily on average, equivalent to about $369,180 per day and approximately $11.1 million for the month, based on a BTC price of $29,300 on April 30, 2023.</w:t>
            </w:r>
          </w:p>
        </w:tc>
      </w:tr>
    </w:tbl>
    <w:p>
      <w:pPr>
        <w:pStyle w:val="TextBody"/>
        <w:spacing w:before="0" w:after="0"/>
        <w:ind w:left="705" w:right="0" w:hanging="360"/>
        <w:jc w:val="both"/>
        <w:rPr>
          <w:caps w:val="false"/>
          <w:smallCaps w:val="false"/>
        </w:rPr>
      </w:pPr>
      <w:r>
        <w:rPr>
          <w:caps w:val="false"/>
          <w:smallCaps w:val="false"/>
        </w:rPr>
        <w:t> </w:t>
      </w:r>
    </w:p>
    <w:tbl>
      <w:tblPr>
        <w:tblW w:w="2313" w:type="dxa"/>
        <w:jc w:val="left"/>
        <w:tblInd w:w="0" w:type="dxa"/>
        <w:tblCellMar>
          <w:top w:w="0" w:type="dxa"/>
          <w:left w:w="0" w:type="dxa"/>
          <w:bottom w:w="0" w:type="dxa"/>
          <w:right w:w="0" w:type="dxa"/>
        </w:tblCellMar>
      </w:tblPr>
      <w:tblGrid>
        <w:gridCol w:w="38"/>
        <w:gridCol w:w="170"/>
        <w:gridCol w:w="21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1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Rio Cuarto, Argentina:</w:t>
            </w:r>
          </w:p>
        </w:tc>
      </w:tr>
    </w:tbl>
    <w:p>
      <w:pPr>
        <w:pStyle w:val="TextBody"/>
        <w:spacing w:before="0" w:after="0"/>
        <w:ind w:left="1425"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power producer became fully permitted to provide up to 100 MW, enabling Bitfarms to commence purchasing low-cost power under Bitfarms’ purchase agreement,</w:t>
            </w:r>
          </w:p>
        </w:tc>
      </w:tr>
    </w:tbl>
    <w:p>
      <w:pPr>
        <w:pStyle w:val="TextBody"/>
        <w:spacing w:before="0" w:after="0"/>
        <w:ind w:left="1425" w:right="0" w:hanging="360"/>
        <w:jc w:val="both"/>
        <w:rPr>
          <w:caps w:val="false"/>
          <w:smallCaps w:val="false"/>
        </w:rPr>
      </w:pPr>
      <w:r>
        <w:rPr>
          <w:caps w:val="false"/>
          <w:smallCaps w:val="false"/>
        </w:rPr>
        <w:t> </w:t>
      </w:r>
    </w:p>
    <w:tbl>
      <w:tblPr>
        <w:tblW w:w="7368" w:type="dxa"/>
        <w:jc w:val="left"/>
        <w:tblInd w:w="0" w:type="dxa"/>
        <w:tblCellMar>
          <w:top w:w="0" w:type="dxa"/>
          <w:left w:w="0" w:type="dxa"/>
          <w:bottom w:w="0" w:type="dxa"/>
          <w:right w:w="0" w:type="dxa"/>
        </w:tblCellMar>
      </w:tblPr>
      <w:tblGrid>
        <w:gridCol w:w="38"/>
        <w:gridCol w:w="170"/>
        <w:gridCol w:w="71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1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testing of the substation that is now online and capable of delivering 120 MW,</w:t>
            </w:r>
          </w:p>
        </w:tc>
      </w:tr>
    </w:tbl>
    <w:p>
      <w:pPr>
        <w:pStyle w:val="TextBody"/>
        <w:spacing w:before="0" w:after="0"/>
        <w:ind w:left="1425" w:right="0" w:hanging="360"/>
        <w:jc w:val="both"/>
        <w:rPr>
          <w:caps w:val="false"/>
          <w:smallCaps w:val="false"/>
        </w:rPr>
      </w:pPr>
      <w:r>
        <w:rPr>
          <w:caps w:val="false"/>
          <w:smallCaps w:val="false"/>
        </w:rPr>
        <w:t> </w:t>
      </w:r>
    </w:p>
    <w:tbl>
      <w:tblPr>
        <w:tblW w:w="7278" w:type="dxa"/>
        <w:jc w:val="left"/>
        <w:tblInd w:w="0" w:type="dxa"/>
        <w:tblCellMar>
          <w:top w:w="0" w:type="dxa"/>
          <w:left w:w="0" w:type="dxa"/>
          <w:bottom w:w="0" w:type="dxa"/>
          <w:right w:w="0" w:type="dxa"/>
        </w:tblCellMar>
      </w:tblPr>
      <w:tblGrid>
        <w:gridCol w:w="38"/>
        <w:gridCol w:w="170"/>
        <w:gridCol w:w="70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0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active capacity over 100% to 18 MW by energizing 2,100 additional miners,</w:t>
            </w:r>
          </w:p>
        </w:tc>
      </w:tr>
    </w:tbl>
    <w:p>
      <w:pPr>
        <w:pStyle w:val="TextBody"/>
        <w:spacing w:before="0" w:after="0"/>
        <w:ind w:left="1425" w:right="0" w:hanging="360"/>
        <w:jc w:val="both"/>
        <w:rPr>
          <w:caps w:val="false"/>
          <w:smallCaps w:val="false"/>
        </w:rPr>
      </w:pPr>
      <w:r>
        <w:rPr>
          <w:caps w:val="false"/>
          <w:smallCaps w:val="false"/>
        </w:rPr>
        <w:t> </w:t>
      </w:r>
    </w:p>
    <w:tbl>
      <w:tblPr>
        <w:tblW w:w="6603" w:type="dxa"/>
        <w:jc w:val="left"/>
        <w:tblInd w:w="0" w:type="dxa"/>
        <w:tblCellMar>
          <w:top w:w="0" w:type="dxa"/>
          <w:left w:w="0" w:type="dxa"/>
          <w:bottom w:w="0" w:type="dxa"/>
          <w:right w:w="0" w:type="dxa"/>
        </w:tblCellMar>
      </w:tblPr>
      <w:tblGrid>
        <w:gridCol w:w="38"/>
        <w:gridCol w:w="170"/>
        <w:gridCol w:w="63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3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Ended underclocking of existing miners in line with improved economics, and</w:t>
            </w:r>
          </w:p>
        </w:tc>
      </w:tr>
    </w:tbl>
    <w:p>
      <w:pPr>
        <w:pStyle w:val="TextBody"/>
        <w:spacing w:before="0" w:after="0"/>
        <w:ind w:left="1425" w:right="0" w:hanging="360"/>
        <w:jc w:val="both"/>
        <w:rPr>
          <w:caps w:val="false"/>
          <w:smallCaps w:val="false"/>
        </w:rPr>
      </w:pPr>
      <w:r>
        <w:rPr>
          <w:caps w:val="false"/>
          <w:smallCaps w:val="false"/>
        </w:rPr>
        <w:t> </w:t>
      </w:r>
    </w:p>
    <w:tbl>
      <w:tblPr>
        <w:tblW w:w="9198" w:type="dxa"/>
        <w:jc w:val="left"/>
        <w:tblInd w:w="0" w:type="dxa"/>
        <w:tblCellMar>
          <w:top w:w="0" w:type="dxa"/>
          <w:left w:w="0" w:type="dxa"/>
          <w:bottom w:w="0" w:type="dxa"/>
          <w:right w:w="0" w:type="dxa"/>
        </w:tblCellMar>
      </w:tblPr>
      <w:tblGrid>
        <w:gridCol w:w="38"/>
        <w:gridCol w:w="170"/>
        <w:gridCol w:w="89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over 6,200 new Bitmain and MicroBT miners to fill out an additional 22 MW in the first warehouse.</w:t>
            </w:r>
          </w:p>
        </w:tc>
      </w:tr>
    </w:tbl>
    <w:p>
      <w:pPr>
        <w:pStyle w:val="TextBody"/>
        <w:spacing w:before="0" w:after="0"/>
        <w:ind w:left="705" w:right="0" w:hanging="360"/>
        <w:jc w:val="both"/>
        <w:rPr>
          <w:caps w:val="false"/>
          <w:smallCaps w:val="false"/>
        </w:rPr>
      </w:pPr>
      <w:r>
        <w:rPr>
          <w:caps w:val="false"/>
          <w:smallCaps w:val="false"/>
        </w:rPr>
        <w:t> </w:t>
      </w:r>
    </w:p>
    <w:tbl>
      <w:tblPr>
        <w:tblW w:w="9228" w:type="dxa"/>
        <w:jc w:val="left"/>
        <w:tblInd w:w="0" w:type="dxa"/>
        <w:tblCellMar>
          <w:top w:w="0" w:type="dxa"/>
          <w:left w:w="0" w:type="dxa"/>
          <w:bottom w:w="0" w:type="dxa"/>
          <w:right w:w="0" w:type="dxa"/>
        </w:tblCellMar>
      </w:tblPr>
      <w:tblGrid>
        <w:gridCol w:w="38"/>
        <w:gridCol w:w="170"/>
        <w:gridCol w:w="90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Added new hardware diagnostics tool that automates hardware diagnostics and improves hardware repair times.</w:t>
            </w:r>
          </w:p>
        </w:tc>
      </w:tr>
    </w:tbl>
    <w:p>
      <w:pPr>
        <w:pStyle w:val="TextBody"/>
        <w:spacing w:before="0" w:after="0"/>
        <w:ind w:left="705" w:right="0" w:hanging="360"/>
        <w:jc w:val="both"/>
        <w:rPr>
          <w:caps w:val="false"/>
          <w:smallCaps w:val="false"/>
        </w:rPr>
      </w:pPr>
      <w:r>
        <w:rPr>
          <w:caps w:val="false"/>
          <w:smallCaps w:val="false"/>
        </w:rPr>
        <w:t> </w:t>
      </w:r>
    </w:p>
    <w:tbl>
      <w:tblPr>
        <w:tblW w:w="8178" w:type="dxa"/>
        <w:jc w:val="left"/>
        <w:tblInd w:w="0" w:type="dxa"/>
        <w:tblCellMar>
          <w:top w:w="0" w:type="dxa"/>
          <w:left w:w="0" w:type="dxa"/>
          <w:bottom w:w="0" w:type="dxa"/>
          <w:right w:w="0" w:type="dxa"/>
        </w:tblCellMar>
      </w:tblPr>
      <w:tblGrid>
        <w:gridCol w:w="38"/>
        <w:gridCol w:w="170"/>
        <w:gridCol w:w="79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9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Deployed real-time energy tracking across all sites, allowing for individual machine optimization.</w:t>
            </w:r>
          </w:p>
        </w:tc>
      </w:tr>
    </w:tbl>
    <w:p>
      <w:pPr>
        <w:pStyle w:val="TextBody"/>
        <w:spacing w:before="0" w:after="0"/>
        <w:ind w:left="705"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agreements to acquire 22 MW of hydro power capacity and to lease a site in Baie-Comeau, Quebec, subject to customary closing conditions.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Bitfarms’ BTC Monthly Production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an overview of BTC mined per month in each of the first four months of 2023 and 2022, respectively.</w:t>
      </w:r>
    </w:p>
    <w:p>
      <w:pPr>
        <w:pStyle w:val="TextBody"/>
        <w:spacing w:before="0" w:after="0"/>
        <w:ind w:left="0" w:right="0" w:hanging="0"/>
        <w:jc w:val="both"/>
        <w:rPr>
          <w:caps w:val="false"/>
          <w:smallCaps w:val="false"/>
        </w:rPr>
      </w:pPr>
      <w:r>
        <w:rPr>
          <w:caps w:val="false"/>
          <w:smallCaps w:val="false"/>
        </w:rPr>
        <w:t> </w:t>
      </w:r>
    </w:p>
    <w:tbl>
      <w:tblPr>
        <w:tblW w:w="3914" w:type="dxa"/>
        <w:jc w:val="left"/>
        <w:tblInd w:w="0" w:type="dxa"/>
        <w:tblCellMar>
          <w:top w:w="0" w:type="dxa"/>
          <w:left w:w="0" w:type="dxa"/>
          <w:bottom w:w="28" w:type="dxa"/>
          <w:right w:w="0" w:type="dxa"/>
        </w:tblCellMar>
      </w:tblPr>
      <w:tblGrid>
        <w:gridCol w:w="1160"/>
        <w:gridCol w:w="60"/>
        <w:gridCol w:w="120"/>
        <w:gridCol w:w="1130"/>
        <w:gridCol w:w="60"/>
        <w:gridCol w:w="60"/>
        <w:gridCol w:w="119"/>
        <w:gridCol w:w="1130"/>
        <w:gridCol w:w="75"/>
      </w:tblGrid>
      <w:tr>
        <w:trPr/>
        <w:tc>
          <w:tcPr>
            <w:tcW w:w="1160" w:type="dxa"/>
            <w:tcBorders>
              <w:bottom w:val="single" w:sz="12" w:space="0" w:color="000000"/>
            </w:tcBorders>
            <w:shd w:fill="auto" w:val="clear"/>
            <w:vAlign w:val="center"/>
          </w:tcPr>
          <w:p>
            <w:pPr>
              <w:pStyle w:val="TableContents"/>
              <w:spacing w:before="0" w:after="283"/>
              <w:jc w:val="both"/>
              <w:rPr>
                <w:b/>
              </w:rPr>
            </w:pPr>
            <w:r>
              <w:rPr>
                <w:b/>
              </w:rPr>
              <w:t>Month</w:t>
            </w:r>
          </w:p>
        </w:tc>
        <w:tc>
          <w:tcPr>
            <w:tcW w:w="60" w:type="dxa"/>
            <w:tcBorders/>
            <w:shd w:fill="auto" w:val="clear"/>
            <w:tcMar>
              <w:bottom w:w="0" w:type="dxa"/>
            </w:tcMar>
            <w:vAlign w:val="center"/>
          </w:tcPr>
          <w:p>
            <w:pPr>
              <w:pStyle w:val="TableContents"/>
              <w:spacing w:before="0" w:after="283"/>
              <w:rPr/>
            </w:pPr>
            <w:r>
              <w:rPr/>
              <w:t> </w:t>
            </w:r>
          </w:p>
        </w:tc>
        <w:tc>
          <w:tcPr>
            <w:tcW w:w="1250" w:type="dxa"/>
            <w:gridSpan w:val="2"/>
            <w:tcBorders>
              <w:bottom w:val="single" w:sz="12" w:space="0" w:color="000000"/>
            </w:tcBorders>
            <w:shd w:fill="auto" w:val="clear"/>
            <w:vAlign w:val="center"/>
          </w:tcPr>
          <w:p>
            <w:pPr>
              <w:pStyle w:val="TableContents"/>
              <w:spacing w:before="0" w:after="283"/>
              <w:jc w:val="center"/>
              <w:rPr>
                <w:b/>
              </w:rPr>
            </w:pPr>
            <w:r>
              <w:rPr>
                <w:b/>
              </w:rPr>
              <w:t>BTC Mined</w:t>
              <w:br/>
              <w:t>2023</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9" w:type="dxa"/>
            <w:gridSpan w:val="2"/>
            <w:tcBorders>
              <w:bottom w:val="single" w:sz="12" w:space="0" w:color="000000"/>
            </w:tcBorders>
            <w:shd w:fill="auto" w:val="clear"/>
            <w:vAlign w:val="center"/>
          </w:tcPr>
          <w:p>
            <w:pPr>
              <w:pStyle w:val="TableContents"/>
              <w:spacing w:before="0" w:after="283"/>
              <w:jc w:val="center"/>
              <w:rPr>
                <w:b/>
              </w:rPr>
            </w:pPr>
            <w:r>
              <w:rPr>
                <w:b/>
              </w:rPr>
              <w:t>BTC Mined</w:t>
              <w:br/>
              <w:t>2022</w:t>
            </w:r>
          </w:p>
        </w:tc>
        <w:tc>
          <w:tcPr>
            <w:tcW w:w="75" w:type="dxa"/>
            <w:tcBorders/>
            <w:shd w:fill="auto" w:val="clear"/>
            <w:tcMar>
              <w:bottom w:w="0" w:type="dxa"/>
            </w:tcMar>
            <w:vAlign w:val="center"/>
          </w:tcPr>
          <w:p>
            <w:pPr>
              <w:pStyle w:val="TableContents"/>
              <w:spacing w:before="0" w:after="283"/>
              <w:rPr/>
            </w:pPr>
            <w:r>
              <w:rPr/>
              <w:t> </w:t>
            </w:r>
          </w:p>
        </w:tc>
      </w:tr>
      <w:tr>
        <w:trPr/>
        <w:tc>
          <w:tcPr>
            <w:tcW w:w="1160" w:type="dxa"/>
            <w:tcBorders/>
            <w:shd w:fill="CCEEFF" w:val="clear"/>
            <w:tcMar>
              <w:bottom w:w="0" w:type="dxa"/>
            </w:tcMar>
            <w:vAlign w:val="center"/>
          </w:tcPr>
          <w:p>
            <w:pPr>
              <w:pStyle w:val="TableContents"/>
              <w:spacing w:before="0" w:after="283"/>
              <w:rPr/>
            </w:pPr>
            <w:r>
              <w:rPr/>
              <w:t>January</w:t>
            </w:r>
          </w:p>
        </w:tc>
        <w:tc>
          <w:tcPr>
            <w:tcW w:w="60" w:type="dxa"/>
            <w:tcBorders/>
            <w:shd w:fill="CCEEFF" w:val="clear"/>
            <w:tcMar>
              <w:bottom w:w="0" w:type="dxa"/>
            </w:tcMar>
            <w:vAlign w:val="center"/>
          </w:tcPr>
          <w:p>
            <w:pPr>
              <w:pStyle w:val="TableContents"/>
              <w:spacing w:before="0" w:after="283"/>
              <w:rPr/>
            </w:pPr>
            <w:r>
              <w:rPr/>
              <w:t> </w:t>
            </w:r>
          </w:p>
        </w:tc>
        <w:tc>
          <w:tcPr>
            <w:tcW w:w="120" w:type="dxa"/>
            <w:tcBorders/>
            <w:shd w:fill="CCEEFF" w:val="clear"/>
            <w:tcMar>
              <w:bottom w:w="0" w:type="dxa"/>
            </w:tcMar>
            <w:vAlign w:val="center"/>
          </w:tcPr>
          <w:p>
            <w:pPr>
              <w:pStyle w:val="TableContents"/>
              <w:spacing w:before="0" w:after="283"/>
              <w:jc w:val="left"/>
              <w:rPr/>
            </w:pPr>
            <w:r>
              <w:rPr/>
              <w:t> </w:t>
            </w:r>
          </w:p>
        </w:tc>
        <w:tc>
          <w:tcPr>
            <w:tcW w:w="1130" w:type="dxa"/>
            <w:tcBorders/>
            <w:shd w:fill="CCEEFF" w:val="clear"/>
            <w:tcMar>
              <w:bottom w:w="0" w:type="dxa"/>
            </w:tcMar>
            <w:vAlign w:val="center"/>
          </w:tcPr>
          <w:p>
            <w:pPr>
              <w:pStyle w:val="TableContents"/>
              <w:spacing w:before="0" w:after="283"/>
              <w:jc w:val="right"/>
              <w:rPr/>
            </w:pPr>
            <w:r>
              <w:rPr/>
              <w:t>486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1130" w:type="dxa"/>
            <w:tcBorders/>
            <w:shd w:fill="CCEEFF" w:val="clear"/>
            <w:tcMar>
              <w:bottom w:w="0" w:type="dxa"/>
            </w:tcMar>
            <w:vAlign w:val="center"/>
          </w:tcPr>
          <w:p>
            <w:pPr>
              <w:pStyle w:val="TableContents"/>
              <w:spacing w:before="0" w:after="283"/>
              <w:jc w:val="right"/>
              <w:rPr/>
            </w:pPr>
            <w:r>
              <w:rPr/>
              <w:t>301</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160" w:type="dxa"/>
            <w:tcBorders/>
            <w:shd w:fill="FFFFFF" w:val="clear"/>
            <w:tcMar>
              <w:bottom w:w="0" w:type="dxa"/>
            </w:tcMar>
            <w:vAlign w:val="center"/>
          </w:tcPr>
          <w:p>
            <w:pPr>
              <w:pStyle w:val="TableContents"/>
              <w:spacing w:before="0" w:after="283"/>
              <w:rPr/>
            </w:pPr>
            <w:r>
              <w:rPr/>
              <w:t>February</w:t>
            </w:r>
          </w:p>
        </w:tc>
        <w:tc>
          <w:tcPr>
            <w:tcW w:w="60" w:type="dxa"/>
            <w:tcBorders/>
            <w:shd w:fill="FFFFFF" w:val="clear"/>
            <w:tcMar>
              <w:bottom w:w="0" w:type="dxa"/>
            </w:tcMar>
            <w:vAlign w:val="center"/>
          </w:tcPr>
          <w:p>
            <w:pPr>
              <w:pStyle w:val="TableContents"/>
              <w:spacing w:before="0" w:after="283"/>
              <w:rPr/>
            </w:pPr>
            <w:r>
              <w:rPr/>
              <w:t> </w:t>
            </w:r>
          </w:p>
        </w:tc>
        <w:tc>
          <w:tcPr>
            <w:tcW w:w="120" w:type="dxa"/>
            <w:tcBorders/>
            <w:shd w:fill="FFFFFF" w:val="clear"/>
            <w:tcMar>
              <w:bottom w:w="0" w:type="dxa"/>
            </w:tcMar>
            <w:vAlign w:val="center"/>
          </w:tcPr>
          <w:p>
            <w:pPr>
              <w:pStyle w:val="TableContents"/>
              <w:spacing w:before="0" w:after="283"/>
              <w:jc w:val="left"/>
              <w:rPr/>
            </w:pPr>
            <w:r>
              <w:rPr/>
              <w:t> </w:t>
            </w:r>
          </w:p>
        </w:tc>
        <w:tc>
          <w:tcPr>
            <w:tcW w:w="1130" w:type="dxa"/>
            <w:tcBorders/>
            <w:shd w:fill="FFFFFF" w:val="clear"/>
            <w:tcMar>
              <w:bottom w:w="0" w:type="dxa"/>
            </w:tcMar>
            <w:vAlign w:val="center"/>
          </w:tcPr>
          <w:p>
            <w:pPr>
              <w:pStyle w:val="TableContents"/>
              <w:spacing w:before="0" w:after="283"/>
              <w:jc w:val="right"/>
              <w:rPr/>
            </w:pPr>
            <w:r>
              <w:rPr/>
              <w:t>387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1130" w:type="dxa"/>
            <w:tcBorders/>
            <w:shd w:fill="FFFFFF" w:val="clear"/>
            <w:tcMar>
              <w:bottom w:w="0" w:type="dxa"/>
            </w:tcMar>
            <w:vAlign w:val="center"/>
          </w:tcPr>
          <w:p>
            <w:pPr>
              <w:pStyle w:val="TableContents"/>
              <w:spacing w:before="0" w:after="283"/>
              <w:jc w:val="right"/>
              <w:rPr/>
            </w:pPr>
            <w:r>
              <w:rPr/>
              <w:t>298</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160" w:type="dxa"/>
            <w:tcBorders/>
            <w:shd w:fill="CCEEFF" w:val="clear"/>
            <w:tcMar>
              <w:bottom w:w="0" w:type="dxa"/>
            </w:tcMar>
            <w:vAlign w:val="center"/>
          </w:tcPr>
          <w:p>
            <w:pPr>
              <w:pStyle w:val="TableContents"/>
              <w:spacing w:before="0" w:after="283"/>
              <w:rPr/>
            </w:pPr>
            <w:r>
              <w:rPr/>
              <w:t>March</w:t>
            </w:r>
          </w:p>
        </w:tc>
        <w:tc>
          <w:tcPr>
            <w:tcW w:w="60" w:type="dxa"/>
            <w:tcBorders/>
            <w:shd w:fill="CCEEFF" w:val="clear"/>
            <w:tcMar>
              <w:bottom w:w="0" w:type="dxa"/>
            </w:tcMar>
            <w:vAlign w:val="center"/>
          </w:tcPr>
          <w:p>
            <w:pPr>
              <w:pStyle w:val="TableContents"/>
              <w:spacing w:before="0" w:after="283"/>
              <w:rPr/>
            </w:pPr>
            <w:r>
              <w:rPr/>
              <w:t> </w:t>
            </w:r>
          </w:p>
        </w:tc>
        <w:tc>
          <w:tcPr>
            <w:tcW w:w="120" w:type="dxa"/>
            <w:tcBorders/>
            <w:shd w:fill="CCEEFF" w:val="clear"/>
            <w:tcMar>
              <w:bottom w:w="0" w:type="dxa"/>
            </w:tcMar>
            <w:vAlign w:val="center"/>
          </w:tcPr>
          <w:p>
            <w:pPr>
              <w:pStyle w:val="TableContents"/>
              <w:spacing w:before="0" w:after="283"/>
              <w:jc w:val="left"/>
              <w:rPr/>
            </w:pPr>
            <w:r>
              <w:rPr/>
              <w:t> </w:t>
            </w:r>
          </w:p>
        </w:tc>
        <w:tc>
          <w:tcPr>
            <w:tcW w:w="1130" w:type="dxa"/>
            <w:tcBorders/>
            <w:shd w:fill="CCEEFF" w:val="clear"/>
            <w:tcMar>
              <w:bottom w:w="0" w:type="dxa"/>
            </w:tcMar>
            <w:vAlign w:val="center"/>
          </w:tcPr>
          <w:p>
            <w:pPr>
              <w:pStyle w:val="TableContents"/>
              <w:spacing w:before="0" w:after="283"/>
              <w:jc w:val="right"/>
              <w:rPr/>
            </w:pPr>
            <w:r>
              <w:rPr/>
              <w:t>424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1130" w:type="dxa"/>
            <w:tcBorders/>
            <w:shd w:fill="CCEEFF" w:val="clear"/>
            <w:tcMar>
              <w:bottom w:w="0" w:type="dxa"/>
            </w:tcMar>
            <w:vAlign w:val="center"/>
          </w:tcPr>
          <w:p>
            <w:pPr>
              <w:pStyle w:val="TableContents"/>
              <w:spacing w:before="0" w:after="283"/>
              <w:jc w:val="right"/>
              <w:rPr/>
            </w:pPr>
            <w:r>
              <w:rPr/>
              <w:t>363</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160" w:type="dxa"/>
            <w:tcBorders/>
            <w:shd w:fill="FFFFFF" w:val="clear"/>
            <w:tcMar>
              <w:bottom w:w="0" w:type="dxa"/>
            </w:tcMar>
            <w:vAlign w:val="center"/>
          </w:tcPr>
          <w:p>
            <w:pPr>
              <w:pStyle w:val="TableContents"/>
              <w:spacing w:before="0" w:after="283"/>
              <w:rPr/>
            </w:pPr>
            <w:r>
              <w:rPr/>
              <w:t>April</w:t>
            </w:r>
          </w:p>
        </w:tc>
        <w:tc>
          <w:tcPr>
            <w:tcW w:w="60" w:type="dxa"/>
            <w:tcBorders/>
            <w:shd w:fill="FFFFFF" w:val="clear"/>
            <w:tcMar>
              <w:bottom w:w="0" w:type="dxa"/>
            </w:tcMar>
            <w:vAlign w:val="center"/>
          </w:tcPr>
          <w:p>
            <w:pPr>
              <w:pStyle w:val="TableContents"/>
              <w:spacing w:before="0" w:after="283"/>
              <w:rPr/>
            </w:pPr>
            <w:r>
              <w:rPr/>
              <w:t> </w:t>
            </w:r>
          </w:p>
        </w:tc>
        <w:tc>
          <w:tcPr>
            <w:tcW w:w="120" w:type="dxa"/>
            <w:tcBorders/>
            <w:shd w:fill="FFFFFF" w:val="clear"/>
            <w:tcMar>
              <w:bottom w:w="0" w:type="dxa"/>
            </w:tcMar>
            <w:vAlign w:val="center"/>
          </w:tcPr>
          <w:p>
            <w:pPr>
              <w:pStyle w:val="TableContents"/>
              <w:spacing w:before="0" w:after="283"/>
              <w:jc w:val="left"/>
              <w:rPr/>
            </w:pPr>
            <w:r>
              <w:rPr/>
              <w:t> </w:t>
            </w:r>
          </w:p>
        </w:tc>
        <w:tc>
          <w:tcPr>
            <w:tcW w:w="1130" w:type="dxa"/>
            <w:tcBorders/>
            <w:shd w:fill="FFFFFF" w:val="clear"/>
            <w:tcMar>
              <w:bottom w:w="0" w:type="dxa"/>
            </w:tcMar>
            <w:vAlign w:val="center"/>
          </w:tcPr>
          <w:p>
            <w:pPr>
              <w:pStyle w:val="TableContents"/>
              <w:spacing w:before="0" w:after="283"/>
              <w:jc w:val="right"/>
              <w:rPr/>
            </w:pPr>
            <w:r>
              <w:rPr/>
              <w:t>379</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19" w:type="dxa"/>
            <w:tcBorders/>
            <w:shd w:fill="FFFFFF" w:val="clear"/>
            <w:tcMar>
              <w:bottom w:w="0" w:type="dxa"/>
            </w:tcMar>
            <w:vAlign w:val="center"/>
          </w:tcPr>
          <w:p>
            <w:pPr>
              <w:pStyle w:val="TableContents"/>
              <w:spacing w:before="0" w:after="283"/>
              <w:jc w:val="left"/>
              <w:rPr/>
            </w:pPr>
            <w:r>
              <w:rPr/>
              <w:t> </w:t>
            </w:r>
          </w:p>
        </w:tc>
        <w:tc>
          <w:tcPr>
            <w:tcW w:w="1130" w:type="dxa"/>
            <w:tcBorders/>
            <w:shd w:fill="FFFFFF" w:val="clear"/>
            <w:tcMar>
              <w:bottom w:w="0" w:type="dxa"/>
            </w:tcMar>
            <w:vAlign w:val="center"/>
          </w:tcPr>
          <w:p>
            <w:pPr>
              <w:pStyle w:val="TableContents"/>
              <w:spacing w:before="0" w:after="283"/>
              <w:jc w:val="right"/>
              <w:rPr/>
            </w:pPr>
            <w:r>
              <w:rPr/>
              <w:t>405</w:t>
            </w:r>
          </w:p>
        </w:tc>
        <w:tc>
          <w:tcPr>
            <w:tcW w:w="75" w:type="dxa"/>
            <w:tcBorders/>
            <w:shd w:fill="FFFFFF" w:val="clear"/>
            <w:tcMar>
              <w:bottom w:w="0" w:type="dxa"/>
            </w:tcMar>
            <w:vAlign w:val="center"/>
          </w:tcPr>
          <w:p>
            <w:pPr>
              <w:pStyle w:val="TableContents"/>
              <w:spacing w:before="0" w:after="283"/>
              <w:jc w:val="left"/>
              <w:rPr/>
            </w:pPr>
            <w:r>
              <w:rPr/>
              <w:t> </w:t>
            </w:r>
          </w:p>
        </w:tc>
      </w:tr>
      <w:tr>
        <w:trPr/>
        <w:tc>
          <w:tcPr>
            <w:tcW w:w="1160" w:type="dxa"/>
            <w:tcBorders/>
            <w:shd w:fill="CCEEFF" w:val="clear"/>
            <w:tcMar>
              <w:bottom w:w="0" w:type="dxa"/>
            </w:tcMar>
            <w:vAlign w:val="center"/>
          </w:tcPr>
          <w:p>
            <w:pPr>
              <w:pStyle w:val="TableContents"/>
              <w:spacing w:before="0" w:after="283"/>
              <w:jc w:val="left"/>
              <w:rPr>
                <w:b/>
              </w:rPr>
            </w:pPr>
            <w:r>
              <w:rPr>
                <w:b/>
              </w:rPr>
              <w:t>Total YTD</w:t>
            </w:r>
          </w:p>
        </w:tc>
        <w:tc>
          <w:tcPr>
            <w:tcW w:w="60" w:type="dxa"/>
            <w:tcBorders/>
            <w:shd w:fill="CCEEFF" w:val="clear"/>
            <w:tcMar>
              <w:bottom w:w="0" w:type="dxa"/>
            </w:tcMar>
            <w:vAlign w:val="center"/>
          </w:tcPr>
          <w:p>
            <w:pPr>
              <w:pStyle w:val="TableContents"/>
              <w:spacing w:before="0" w:after="283"/>
              <w:rPr/>
            </w:pPr>
            <w:r>
              <w:rPr/>
              <w:t> </w:t>
            </w:r>
          </w:p>
        </w:tc>
        <w:tc>
          <w:tcPr>
            <w:tcW w:w="120" w:type="dxa"/>
            <w:tcBorders/>
            <w:shd w:fill="CCEEFF" w:val="clear"/>
            <w:tcMar>
              <w:bottom w:w="0" w:type="dxa"/>
            </w:tcMar>
            <w:vAlign w:val="center"/>
          </w:tcPr>
          <w:p>
            <w:pPr>
              <w:pStyle w:val="TableContents"/>
              <w:spacing w:before="0" w:after="283"/>
              <w:jc w:val="left"/>
              <w:rPr/>
            </w:pPr>
            <w:r>
              <w:rPr/>
              <w:t> </w:t>
            </w:r>
          </w:p>
        </w:tc>
        <w:tc>
          <w:tcPr>
            <w:tcW w:w="1130" w:type="dxa"/>
            <w:tcBorders/>
            <w:shd w:fill="CCEEFF" w:val="clear"/>
            <w:tcMar>
              <w:bottom w:w="0" w:type="dxa"/>
            </w:tcMar>
            <w:vAlign w:val="center"/>
          </w:tcPr>
          <w:p>
            <w:pPr>
              <w:pStyle w:val="TableContents"/>
              <w:spacing w:before="0" w:after="283"/>
              <w:jc w:val="right"/>
              <w:rPr>
                <w:b/>
              </w:rPr>
            </w:pPr>
            <w:r>
              <w:rPr>
                <w:b/>
              </w:rPr>
              <w:t>1,676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19" w:type="dxa"/>
            <w:tcBorders/>
            <w:shd w:fill="CCEEFF" w:val="clear"/>
            <w:tcMar>
              <w:bottom w:w="0" w:type="dxa"/>
            </w:tcMar>
            <w:vAlign w:val="center"/>
          </w:tcPr>
          <w:p>
            <w:pPr>
              <w:pStyle w:val="TableContents"/>
              <w:spacing w:before="0" w:after="283"/>
              <w:jc w:val="left"/>
              <w:rPr/>
            </w:pPr>
            <w:r>
              <w:rPr/>
              <w:t> </w:t>
            </w:r>
          </w:p>
        </w:tc>
        <w:tc>
          <w:tcPr>
            <w:tcW w:w="1130" w:type="dxa"/>
            <w:tcBorders/>
            <w:shd w:fill="CCEEFF" w:val="clear"/>
            <w:tcMar>
              <w:bottom w:w="0" w:type="dxa"/>
            </w:tcMar>
            <w:vAlign w:val="center"/>
          </w:tcPr>
          <w:p>
            <w:pPr>
              <w:pStyle w:val="TableContents"/>
              <w:spacing w:before="0" w:after="283"/>
              <w:jc w:val="right"/>
              <w:rPr>
                <w:b/>
              </w:rPr>
            </w:pPr>
            <w:r>
              <w:rPr>
                <w:b/>
              </w:rPr>
              <w:t>1,367</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April 2023 Financial Update</w:t>
      </w:r>
    </w:p>
    <w:p>
      <w:pPr>
        <w:pStyle w:val="TextBody"/>
        <w:spacing w:before="0" w:after="0"/>
        <w:ind w:left="720" w:right="0" w:hanging="360"/>
        <w:jc w:val="both"/>
        <w:rPr>
          <w:caps w:val="false"/>
          <w:smallCaps w:val="false"/>
        </w:rPr>
      </w:pPr>
      <w:r>
        <w:rPr>
          <w:caps w:val="false"/>
          <w:smallCaps w:val="false"/>
        </w:rPr>
        <w:t> </w:t>
      </w:r>
    </w:p>
    <w:tbl>
      <w:tblPr>
        <w:tblW w:w="6828" w:type="dxa"/>
        <w:jc w:val="left"/>
        <w:tblInd w:w="0" w:type="dxa"/>
        <w:tblCellMar>
          <w:top w:w="0" w:type="dxa"/>
          <w:left w:w="0" w:type="dxa"/>
          <w:bottom w:w="0" w:type="dxa"/>
          <w:right w:w="0" w:type="dxa"/>
        </w:tblCellMar>
      </w:tblPr>
      <w:tblGrid>
        <w:gridCol w:w="38"/>
        <w:gridCol w:w="170"/>
        <w:gridCol w:w="66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6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Sold 349 BTC of the 379 BTC mined, generating total proceeds of $10.1 million.</w:t>
            </w:r>
          </w:p>
        </w:tc>
      </w:tr>
    </w:tbl>
    <w:p>
      <w:pPr>
        <w:pStyle w:val="TextBody"/>
        <w:spacing w:before="0" w:after="0"/>
        <w:ind w:left="720" w:right="0" w:hanging="360"/>
        <w:jc w:val="both"/>
        <w:rPr>
          <w:caps w:val="false"/>
          <w:smallCaps w:val="false"/>
        </w:rPr>
      </w:pPr>
      <w:r>
        <w:rPr>
          <w:caps w:val="false"/>
          <w:smallCaps w:val="false"/>
        </w:rPr>
        <w:t> </w:t>
      </w:r>
    </w:p>
    <w:tbl>
      <w:tblPr>
        <w:tblW w:w="8868" w:type="dxa"/>
        <w:jc w:val="left"/>
        <w:tblInd w:w="0" w:type="dxa"/>
        <w:tblCellMar>
          <w:top w:w="0" w:type="dxa"/>
          <w:left w:w="0" w:type="dxa"/>
          <w:bottom w:w="0" w:type="dxa"/>
          <w:right w:w="0" w:type="dxa"/>
        </w:tblCellMar>
      </w:tblPr>
      <w:tblGrid>
        <w:gridCol w:w="38"/>
        <w:gridCol w:w="170"/>
        <w:gridCol w:w="86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6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total outstanding indebtedness by $2 million, leaving a balance of $19 million at April 30, 2023.</w:t>
            </w:r>
          </w:p>
        </w:tc>
      </w:tr>
    </w:tbl>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Added 30 BTC to treasury, as a result of solid cash flow from operations, increasing BTC in custody to 465, representing a total value of approximately $13.6 million based on a BTC price of $29,300, on April 30, 2023.</w:t>
            </w:r>
          </w:p>
        </w:tc>
      </w:tr>
    </w:tbl>
    <w:p>
      <w:pPr>
        <w:pStyle w:val="TextBody"/>
        <w:spacing w:before="0" w:after="0"/>
        <w:ind w:left="720" w:right="0" w:hanging="36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Conferences and Events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plans to attend the following upcoming events:</w:t>
      </w:r>
    </w:p>
    <w:p>
      <w:pPr>
        <w:pStyle w:val="TextBody"/>
        <w:spacing w:before="0" w:after="0"/>
        <w:ind w:left="720" w:right="0" w:hanging="360"/>
        <w:jc w:val="both"/>
        <w:rPr>
          <w:caps w:val="false"/>
          <w:smallCaps w:val="false"/>
        </w:rPr>
      </w:pPr>
      <w:r>
        <w:rPr>
          <w:caps w:val="false"/>
          <w:smallCaps w:val="false"/>
        </w:rPr>
        <w:t> </w:t>
      </w:r>
    </w:p>
    <w:tbl>
      <w:tblPr>
        <w:tblW w:w="3228" w:type="dxa"/>
        <w:jc w:val="left"/>
        <w:tblInd w:w="0" w:type="dxa"/>
        <w:tblCellMar>
          <w:top w:w="0" w:type="dxa"/>
          <w:left w:w="0" w:type="dxa"/>
          <w:bottom w:w="0" w:type="dxa"/>
          <w:right w:w="0" w:type="dxa"/>
        </w:tblCellMar>
      </w:tblPr>
      <w:tblGrid>
        <w:gridCol w:w="38"/>
        <w:gridCol w:w="170"/>
        <w:gridCol w:w="30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18-20: Bitcoin 2023, Miami FL</w:t>
            </w:r>
          </w:p>
        </w:tc>
      </w:tr>
    </w:tbl>
    <w:p>
      <w:pPr>
        <w:pStyle w:val="TextBody"/>
        <w:spacing w:before="0" w:after="0"/>
        <w:ind w:left="720" w:right="0" w:hanging="360"/>
        <w:jc w:val="both"/>
        <w:rPr>
          <w:caps w:val="false"/>
          <w:smallCaps w:val="false"/>
        </w:rPr>
      </w:pPr>
      <w:r>
        <w:rPr>
          <w:caps w:val="false"/>
          <w:smallCaps w:val="false"/>
        </w:rPr>
        <w:t> </w:t>
      </w:r>
    </w:p>
    <w:tbl>
      <w:tblPr>
        <w:tblW w:w="6213" w:type="dxa"/>
        <w:jc w:val="left"/>
        <w:tblInd w:w="0" w:type="dxa"/>
        <w:tblCellMar>
          <w:top w:w="0" w:type="dxa"/>
          <w:left w:w="0" w:type="dxa"/>
          <w:bottom w:w="0" w:type="dxa"/>
          <w:right w:w="0" w:type="dxa"/>
        </w:tblCellMar>
      </w:tblPr>
      <w:tblGrid>
        <w:gridCol w:w="38"/>
        <w:gridCol w:w="170"/>
        <w:gridCol w:w="60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6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Needham Technology &amp; Media Conference, Virtual</w:t>
            </w:r>
          </w:p>
        </w:tc>
      </w:tr>
    </w:tbl>
    <w:p>
      <w:pPr>
        <w:pStyle w:val="TextBody"/>
        <w:shd w:fill="FEFEFE" w:val="clear"/>
        <w:spacing w:before="0" w:after="0"/>
        <w:ind w:left="11" w:right="0" w:hanging="11"/>
        <w:jc w:val="both"/>
        <w:rPr>
          <w:caps w:val="false"/>
          <w:smallCaps w:val="false"/>
        </w:rPr>
      </w:pPr>
      <w:r>
        <w:rPr>
          <w:caps w:val="false"/>
          <w:smallCaps w:val="false"/>
        </w:rPr>
        <w:t> </w:t>
      </w:r>
    </w:p>
    <w:p>
      <w:pPr>
        <w:pStyle w:val="TextBody"/>
        <w:shd w:fill="FEFEFE" w:val="clear"/>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shd w:fill="FEFEFE" w:val="clear"/>
        <w:spacing w:before="0" w:after="0"/>
        <w:ind w:left="11" w:right="0" w:hanging="11"/>
        <w:jc w:val="both"/>
        <w:rPr>
          <w:caps w:val="false"/>
          <w:smallCaps w:val="false"/>
        </w:rPr>
      </w:pPr>
      <w:r>
        <w:rPr>
          <w:caps w:val="false"/>
          <w:smallCaps w:val="false"/>
        </w:rPr>
        <w:t> </w:t>
      </w:r>
    </w:p>
    <w:p>
      <w:pPr>
        <w:pStyle w:val="TextBody"/>
        <w:shd w:fill="FEFEFE" w:val="clear"/>
        <w:spacing w:before="0" w:after="0"/>
        <w:ind w:left="11"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spacing w:before="0" w:after="0"/>
        <w:ind w:left="11" w:right="0" w:hanging="11"/>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www.bitfarms.com</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https://twitter.com/Bitfarms_io</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https://www.instagram.com/bitfarms/</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https://www.linkedin.com/company/bitfarms/</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Glossary of Terms</w:t>
      </w:r>
    </w:p>
    <w:p>
      <w:pPr>
        <w:pStyle w:val="TextBody"/>
        <w:shd w:fill="FEFEFE" w:val="clear"/>
        <w:spacing w:before="0" w:after="0"/>
        <w:ind w:left="720" w:right="0" w:hanging="360"/>
        <w:jc w:val="both"/>
        <w:rPr>
          <w:caps w:val="false"/>
          <w:smallCaps w:val="false"/>
        </w:rPr>
      </w:pPr>
      <w:r>
        <w:rPr>
          <w:caps w:val="false"/>
          <w:smallCaps w:val="false"/>
        </w:rPr>
        <w:t> </w:t>
      </w:r>
    </w:p>
    <w:tbl>
      <w:tblPr>
        <w:tblW w:w="3723" w:type="dxa"/>
        <w:jc w:val="left"/>
        <w:tblInd w:w="0" w:type="dxa"/>
        <w:shd w:fill="FEFEFE" w:val="clear"/>
        <w:tblCellMar>
          <w:top w:w="0" w:type="dxa"/>
          <w:left w:w="0" w:type="dxa"/>
          <w:bottom w:w="0" w:type="dxa"/>
          <w:right w:w="0" w:type="dxa"/>
        </w:tblCellMar>
      </w:tblPr>
      <w:tblGrid>
        <w:gridCol w:w="38"/>
        <w:gridCol w:w="170"/>
        <w:gridCol w:w="3515"/>
      </w:tblGrid>
      <w:tr>
        <w:trPr/>
        <w:tc>
          <w:tcPr>
            <w:tcW w:w="38" w:type="dxa"/>
            <w:tcBorders/>
            <w:shd w:fill="FEFEFE" w:val="clear"/>
            <w:vAlign w:val="center"/>
          </w:tcPr>
          <w:p>
            <w:pPr>
              <w:pStyle w:val="TableContents"/>
              <w:spacing w:before="0" w:after="283"/>
              <w:rPr>
                <w:sz w:val="4"/>
                <w:szCs w:val="4"/>
              </w:rPr>
            </w:pPr>
            <w:r>
              <w:rPr>
                <w:sz w:val="4"/>
                <w:szCs w:val="4"/>
              </w:rPr>
            </w:r>
          </w:p>
        </w:tc>
        <w:tc>
          <w:tcPr>
            <w:tcW w:w="170" w:type="dxa"/>
            <w:tcBorders/>
            <w:shd w:fill="FEFEFE" w:val="clear"/>
            <w:vAlign w:val="center"/>
          </w:tcPr>
          <w:p>
            <w:pPr>
              <w:pStyle w:val="TableContents"/>
              <w:spacing w:before="0" w:after="283"/>
              <w:rPr>
                <w:caps w:val="false"/>
                <w:smallCaps w:val="false"/>
              </w:rPr>
            </w:pPr>
            <w:r>
              <w:rPr>
                <w:caps w:val="false"/>
                <w:smallCaps w:val="false"/>
              </w:rPr>
              <w:t>●</w:t>
            </w:r>
          </w:p>
        </w:tc>
        <w:tc>
          <w:tcPr>
            <w:tcW w:w="3515" w:type="dxa"/>
            <w:tcBorders/>
            <w:shd w:fill="FEFEFE"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BTC BTC/day = Bitcoin or Bitcoin per day</w:t>
            </w:r>
          </w:p>
        </w:tc>
      </w:tr>
    </w:tbl>
    <w:p>
      <w:pPr>
        <w:pStyle w:val="TextBody"/>
        <w:shd w:fill="FEFEFE" w:val="clear"/>
        <w:spacing w:before="0" w:after="0"/>
        <w:ind w:left="720" w:right="0" w:hanging="360"/>
        <w:jc w:val="both"/>
        <w:rPr>
          <w:caps w:val="false"/>
          <w:smallCaps w:val="false"/>
        </w:rPr>
      </w:pPr>
      <w:r>
        <w:rPr>
          <w:caps w:val="false"/>
          <w:smallCaps w:val="false"/>
        </w:rPr>
        <w:t> </w:t>
      </w:r>
    </w:p>
    <w:tbl>
      <w:tblPr>
        <w:tblW w:w="3963" w:type="dxa"/>
        <w:jc w:val="left"/>
        <w:tblInd w:w="0" w:type="dxa"/>
        <w:shd w:fill="FEFEFE" w:val="clear"/>
        <w:tblCellMar>
          <w:top w:w="0" w:type="dxa"/>
          <w:left w:w="0" w:type="dxa"/>
          <w:bottom w:w="0" w:type="dxa"/>
          <w:right w:w="0" w:type="dxa"/>
        </w:tblCellMar>
      </w:tblPr>
      <w:tblGrid>
        <w:gridCol w:w="38"/>
        <w:gridCol w:w="170"/>
        <w:gridCol w:w="3755"/>
      </w:tblGrid>
      <w:tr>
        <w:trPr/>
        <w:tc>
          <w:tcPr>
            <w:tcW w:w="38" w:type="dxa"/>
            <w:tcBorders/>
            <w:shd w:fill="FEFEFE" w:val="clear"/>
            <w:vAlign w:val="center"/>
          </w:tcPr>
          <w:p>
            <w:pPr>
              <w:pStyle w:val="TableContents"/>
              <w:spacing w:before="0" w:after="283"/>
              <w:rPr>
                <w:sz w:val="4"/>
                <w:szCs w:val="4"/>
              </w:rPr>
            </w:pPr>
            <w:r>
              <w:rPr>
                <w:sz w:val="4"/>
                <w:szCs w:val="4"/>
              </w:rPr>
            </w:r>
          </w:p>
        </w:tc>
        <w:tc>
          <w:tcPr>
            <w:tcW w:w="170" w:type="dxa"/>
            <w:tcBorders/>
            <w:shd w:fill="FEFEFE" w:val="clear"/>
            <w:vAlign w:val="center"/>
          </w:tcPr>
          <w:p>
            <w:pPr>
              <w:pStyle w:val="TableContents"/>
              <w:spacing w:before="0" w:after="283"/>
              <w:rPr>
                <w:caps w:val="false"/>
                <w:smallCaps w:val="false"/>
              </w:rPr>
            </w:pPr>
            <w:r>
              <w:rPr>
                <w:caps w:val="false"/>
                <w:smallCaps w:val="false"/>
              </w:rPr>
              <w:t>●</w:t>
            </w:r>
          </w:p>
        </w:tc>
        <w:tc>
          <w:tcPr>
            <w:tcW w:w="3755" w:type="dxa"/>
            <w:tcBorders/>
            <w:shd w:fill="FEFEFE"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EH or EH/s = Exahash or exahash per second</w:t>
            </w:r>
          </w:p>
        </w:tc>
      </w:tr>
    </w:tbl>
    <w:p>
      <w:pPr>
        <w:pStyle w:val="TextBody"/>
        <w:shd w:fill="FEFEFE" w:val="clear"/>
        <w:spacing w:before="0" w:after="0"/>
        <w:ind w:left="720" w:right="0" w:hanging="360"/>
        <w:jc w:val="both"/>
        <w:rPr>
          <w:caps w:val="false"/>
          <w:smallCaps w:val="false"/>
        </w:rPr>
      </w:pPr>
      <w:r>
        <w:rPr>
          <w:caps w:val="false"/>
          <w:smallCaps w:val="false"/>
        </w:rPr>
        <w:t> </w:t>
      </w:r>
    </w:p>
    <w:tbl>
      <w:tblPr>
        <w:tblW w:w="3903" w:type="dxa"/>
        <w:jc w:val="left"/>
        <w:tblInd w:w="0" w:type="dxa"/>
        <w:shd w:fill="FEFEFE" w:val="clear"/>
        <w:tblCellMar>
          <w:top w:w="0" w:type="dxa"/>
          <w:left w:w="0" w:type="dxa"/>
          <w:bottom w:w="0" w:type="dxa"/>
          <w:right w:w="0" w:type="dxa"/>
        </w:tblCellMar>
      </w:tblPr>
      <w:tblGrid>
        <w:gridCol w:w="38"/>
        <w:gridCol w:w="170"/>
        <w:gridCol w:w="3695"/>
      </w:tblGrid>
      <w:tr>
        <w:trPr/>
        <w:tc>
          <w:tcPr>
            <w:tcW w:w="38" w:type="dxa"/>
            <w:tcBorders/>
            <w:shd w:fill="FEFEFE" w:val="clear"/>
            <w:vAlign w:val="center"/>
          </w:tcPr>
          <w:p>
            <w:pPr>
              <w:pStyle w:val="TableContents"/>
              <w:spacing w:before="0" w:after="283"/>
              <w:rPr>
                <w:sz w:val="4"/>
                <w:szCs w:val="4"/>
              </w:rPr>
            </w:pPr>
            <w:r>
              <w:rPr>
                <w:sz w:val="4"/>
                <w:szCs w:val="4"/>
              </w:rPr>
            </w:r>
          </w:p>
        </w:tc>
        <w:tc>
          <w:tcPr>
            <w:tcW w:w="170" w:type="dxa"/>
            <w:tcBorders/>
            <w:shd w:fill="FEFEFE" w:val="clear"/>
            <w:vAlign w:val="center"/>
          </w:tcPr>
          <w:p>
            <w:pPr>
              <w:pStyle w:val="TableContents"/>
              <w:spacing w:before="0" w:after="283"/>
              <w:rPr>
                <w:caps w:val="false"/>
                <w:smallCaps w:val="false"/>
              </w:rPr>
            </w:pPr>
            <w:r>
              <w:rPr>
                <w:caps w:val="false"/>
                <w:smallCaps w:val="false"/>
              </w:rPr>
              <w:t>●</w:t>
            </w:r>
          </w:p>
        </w:tc>
        <w:tc>
          <w:tcPr>
            <w:tcW w:w="3695" w:type="dxa"/>
            <w:tcBorders/>
            <w:shd w:fill="FEFEFE"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MW or MWh = Megawatts or megawatt hour</w:t>
            </w:r>
          </w:p>
        </w:tc>
      </w:tr>
    </w:tbl>
    <w:p>
      <w:pPr>
        <w:pStyle w:val="TextBody"/>
        <w:shd w:fill="FEFEFE" w:val="clear"/>
        <w:spacing w:before="0" w:after="0"/>
        <w:ind w:left="720" w:right="0" w:hanging="360"/>
        <w:jc w:val="both"/>
        <w:rPr>
          <w:caps w:val="false"/>
          <w:smallCaps w:val="false"/>
        </w:rPr>
      </w:pPr>
      <w:r>
        <w:rPr>
          <w:caps w:val="false"/>
          <w:smallCaps w:val="false"/>
        </w:rPr>
        <w:t> </w:t>
      </w:r>
    </w:p>
    <w:tbl>
      <w:tblPr>
        <w:tblW w:w="4098" w:type="dxa"/>
        <w:jc w:val="left"/>
        <w:tblInd w:w="0" w:type="dxa"/>
        <w:shd w:fill="FEFEFE" w:val="clear"/>
        <w:tblCellMar>
          <w:top w:w="0" w:type="dxa"/>
          <w:left w:w="0" w:type="dxa"/>
          <w:bottom w:w="0" w:type="dxa"/>
          <w:right w:w="0" w:type="dxa"/>
        </w:tblCellMar>
      </w:tblPr>
      <w:tblGrid>
        <w:gridCol w:w="38"/>
        <w:gridCol w:w="170"/>
        <w:gridCol w:w="3890"/>
      </w:tblGrid>
      <w:tr>
        <w:trPr/>
        <w:tc>
          <w:tcPr>
            <w:tcW w:w="38" w:type="dxa"/>
            <w:tcBorders/>
            <w:shd w:fill="FEFEFE" w:val="clear"/>
            <w:vAlign w:val="center"/>
          </w:tcPr>
          <w:p>
            <w:pPr>
              <w:pStyle w:val="TableContents"/>
              <w:spacing w:before="0" w:after="283"/>
              <w:rPr>
                <w:sz w:val="4"/>
                <w:szCs w:val="4"/>
              </w:rPr>
            </w:pPr>
            <w:r>
              <w:rPr>
                <w:sz w:val="4"/>
                <w:szCs w:val="4"/>
              </w:rPr>
            </w:r>
          </w:p>
        </w:tc>
        <w:tc>
          <w:tcPr>
            <w:tcW w:w="170" w:type="dxa"/>
            <w:tcBorders/>
            <w:shd w:fill="FEFEFE" w:val="clear"/>
            <w:vAlign w:val="center"/>
          </w:tcPr>
          <w:p>
            <w:pPr>
              <w:pStyle w:val="TableContents"/>
              <w:spacing w:before="0" w:after="283"/>
              <w:rPr>
                <w:caps w:val="false"/>
                <w:smallCaps w:val="false"/>
              </w:rPr>
            </w:pPr>
            <w:r>
              <w:rPr>
                <w:caps w:val="false"/>
                <w:smallCaps w:val="false"/>
              </w:rPr>
              <w:t>●</w:t>
            </w:r>
          </w:p>
        </w:tc>
        <w:tc>
          <w:tcPr>
            <w:tcW w:w="3890" w:type="dxa"/>
            <w:tcBorders/>
            <w:shd w:fill="FEFEFE"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 or PH/s = Petahash or petahash per second</w:t>
            </w:r>
          </w:p>
        </w:tc>
      </w:tr>
    </w:tbl>
    <w:p>
      <w:pPr>
        <w:pStyle w:val="TextBody"/>
        <w:shd w:fill="FEFEFE" w:val="clear"/>
        <w:spacing w:before="0" w:after="0"/>
        <w:ind w:left="720" w:right="0" w:hanging="360"/>
        <w:jc w:val="both"/>
        <w:rPr>
          <w:caps w:val="false"/>
          <w:smallCaps w:val="false"/>
        </w:rPr>
      </w:pPr>
      <w:r>
        <w:rPr>
          <w:caps w:val="false"/>
          <w:smallCaps w:val="false"/>
        </w:rPr>
        <w:t> </w:t>
      </w:r>
    </w:p>
    <w:tbl>
      <w:tblPr>
        <w:tblW w:w="4038" w:type="dxa"/>
        <w:jc w:val="left"/>
        <w:tblInd w:w="0" w:type="dxa"/>
        <w:shd w:fill="FEFEFE" w:val="clear"/>
        <w:tblCellMar>
          <w:top w:w="0" w:type="dxa"/>
          <w:left w:w="0" w:type="dxa"/>
          <w:bottom w:w="0" w:type="dxa"/>
          <w:right w:w="0" w:type="dxa"/>
        </w:tblCellMar>
      </w:tblPr>
      <w:tblGrid>
        <w:gridCol w:w="38"/>
        <w:gridCol w:w="170"/>
        <w:gridCol w:w="3830"/>
      </w:tblGrid>
      <w:tr>
        <w:trPr/>
        <w:tc>
          <w:tcPr>
            <w:tcW w:w="38" w:type="dxa"/>
            <w:tcBorders/>
            <w:shd w:fill="FEFEFE" w:val="clear"/>
            <w:vAlign w:val="center"/>
          </w:tcPr>
          <w:p>
            <w:pPr>
              <w:pStyle w:val="TableContents"/>
              <w:spacing w:before="0" w:after="283"/>
              <w:rPr>
                <w:sz w:val="4"/>
                <w:szCs w:val="4"/>
              </w:rPr>
            </w:pPr>
            <w:r>
              <w:rPr>
                <w:sz w:val="4"/>
                <w:szCs w:val="4"/>
              </w:rPr>
            </w:r>
          </w:p>
        </w:tc>
        <w:tc>
          <w:tcPr>
            <w:tcW w:w="170" w:type="dxa"/>
            <w:tcBorders/>
            <w:shd w:fill="FEFEFE" w:val="clear"/>
            <w:vAlign w:val="center"/>
          </w:tcPr>
          <w:p>
            <w:pPr>
              <w:pStyle w:val="TableContents"/>
              <w:spacing w:before="0" w:after="283"/>
              <w:rPr>
                <w:caps w:val="false"/>
                <w:smallCaps w:val="false"/>
              </w:rPr>
            </w:pPr>
            <w:r>
              <w:rPr>
                <w:caps w:val="false"/>
                <w:smallCaps w:val="false"/>
              </w:rPr>
              <w:t>●</w:t>
            </w:r>
          </w:p>
        </w:tc>
        <w:tc>
          <w:tcPr>
            <w:tcW w:w="3830" w:type="dxa"/>
            <w:tcBorders/>
            <w:shd w:fill="FEFEFE"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 or TH/s = Terahash or terahash per second</w:t>
            </w:r>
          </w:p>
        </w:tc>
      </w:tr>
    </w:tbl>
    <w:p>
      <w:pPr>
        <w:pStyle w:val="TextBody"/>
        <w:shd w:fill="FEFEFE" w:val="clear"/>
        <w:spacing w:before="0" w:after="0"/>
        <w:ind w:left="720" w:right="0" w:hanging="360"/>
        <w:jc w:val="both"/>
        <w:rPr>
          <w:caps w:val="false"/>
          <w:smallCaps w:val="false"/>
        </w:rPr>
      </w:pPr>
      <w:r>
        <w:rPr>
          <w:caps w:val="false"/>
          <w:smallCaps w:val="false"/>
        </w:rPr>
        <w:t> </w:t>
      </w:r>
    </w:p>
    <w:tbl>
      <w:tblPr>
        <w:tblW w:w="2538" w:type="dxa"/>
        <w:jc w:val="left"/>
        <w:tblInd w:w="0" w:type="dxa"/>
        <w:shd w:fill="FEFEFE" w:val="clear"/>
        <w:tblCellMar>
          <w:top w:w="0" w:type="dxa"/>
          <w:left w:w="0" w:type="dxa"/>
          <w:bottom w:w="0" w:type="dxa"/>
          <w:right w:w="0" w:type="dxa"/>
        </w:tblCellMar>
      </w:tblPr>
      <w:tblGrid>
        <w:gridCol w:w="38"/>
        <w:gridCol w:w="170"/>
        <w:gridCol w:w="2330"/>
      </w:tblGrid>
      <w:tr>
        <w:trPr/>
        <w:tc>
          <w:tcPr>
            <w:tcW w:w="38" w:type="dxa"/>
            <w:tcBorders/>
            <w:shd w:fill="FEFEFE" w:val="clear"/>
            <w:vAlign w:val="center"/>
          </w:tcPr>
          <w:p>
            <w:pPr>
              <w:pStyle w:val="TableContents"/>
              <w:spacing w:before="0" w:after="283"/>
              <w:rPr>
                <w:sz w:val="4"/>
                <w:szCs w:val="4"/>
              </w:rPr>
            </w:pPr>
            <w:r>
              <w:rPr>
                <w:sz w:val="4"/>
                <w:szCs w:val="4"/>
              </w:rPr>
            </w:r>
          </w:p>
        </w:tc>
        <w:tc>
          <w:tcPr>
            <w:tcW w:w="170" w:type="dxa"/>
            <w:tcBorders/>
            <w:shd w:fill="FEFEFE" w:val="clear"/>
            <w:vAlign w:val="center"/>
          </w:tcPr>
          <w:p>
            <w:pPr>
              <w:pStyle w:val="TableContents"/>
              <w:spacing w:before="0" w:after="283"/>
              <w:rPr>
                <w:caps w:val="false"/>
                <w:smallCaps w:val="false"/>
              </w:rPr>
            </w:pPr>
            <w:r>
              <w:rPr>
                <w:caps w:val="false"/>
                <w:smallCaps w:val="false"/>
              </w:rPr>
              <w:t>●</w:t>
            </w:r>
          </w:p>
        </w:tc>
        <w:tc>
          <w:tcPr>
            <w:tcW w:w="2330" w:type="dxa"/>
            <w:tcBorders/>
            <w:shd w:fill="FEFEFE"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w/TH = Watts per Terahash </w:t>
            </w:r>
          </w:p>
        </w:tc>
      </w:tr>
    </w:tbl>
    <w:p>
      <w:pPr>
        <w:pStyle w:val="TextBody"/>
        <w:shd w:fill="FEFEFE" w:val="clear"/>
        <w:spacing w:before="0" w:after="0"/>
        <w:ind w:left="720" w:right="0" w:hanging="360"/>
        <w:jc w:val="both"/>
        <w:rPr>
          <w:caps w:val="false"/>
          <w:smallCaps w:val="false"/>
        </w:rPr>
      </w:pPr>
      <w:r>
        <w:rPr>
          <w:caps w:val="false"/>
          <w:smallCaps w:val="false"/>
        </w:rPr>
        <w:t> </w:t>
      </w:r>
    </w:p>
    <w:tbl>
      <w:tblPr>
        <w:tblW w:w="2388" w:type="dxa"/>
        <w:jc w:val="left"/>
        <w:tblInd w:w="0" w:type="dxa"/>
        <w:shd w:fill="FEFEFE" w:val="clear"/>
        <w:tblCellMar>
          <w:top w:w="0" w:type="dxa"/>
          <w:left w:w="0" w:type="dxa"/>
          <w:bottom w:w="0" w:type="dxa"/>
          <w:right w:w="0" w:type="dxa"/>
        </w:tblCellMar>
      </w:tblPr>
      <w:tblGrid>
        <w:gridCol w:w="38"/>
        <w:gridCol w:w="170"/>
        <w:gridCol w:w="2180"/>
      </w:tblGrid>
      <w:tr>
        <w:trPr/>
        <w:tc>
          <w:tcPr>
            <w:tcW w:w="38" w:type="dxa"/>
            <w:tcBorders/>
            <w:shd w:fill="FEFEFE" w:val="clear"/>
            <w:vAlign w:val="center"/>
          </w:tcPr>
          <w:p>
            <w:pPr>
              <w:pStyle w:val="TableContents"/>
              <w:spacing w:before="0" w:after="283"/>
              <w:rPr>
                <w:sz w:val="4"/>
                <w:szCs w:val="4"/>
              </w:rPr>
            </w:pPr>
            <w:r>
              <w:rPr>
                <w:sz w:val="4"/>
                <w:szCs w:val="4"/>
              </w:rPr>
            </w:r>
          </w:p>
        </w:tc>
        <w:tc>
          <w:tcPr>
            <w:tcW w:w="170" w:type="dxa"/>
            <w:tcBorders/>
            <w:shd w:fill="FEFEFE" w:val="clear"/>
            <w:vAlign w:val="center"/>
          </w:tcPr>
          <w:p>
            <w:pPr>
              <w:pStyle w:val="TableContents"/>
              <w:spacing w:before="0" w:after="283"/>
              <w:rPr>
                <w:caps w:val="false"/>
                <w:smallCaps w:val="false"/>
              </w:rPr>
            </w:pPr>
            <w:r>
              <w:rPr>
                <w:caps w:val="false"/>
                <w:smallCaps w:val="false"/>
              </w:rPr>
              <w:t>●</w:t>
            </w:r>
          </w:p>
        </w:tc>
        <w:tc>
          <w:tcPr>
            <w:tcW w:w="2180" w:type="dxa"/>
            <w:tcBorders/>
            <w:shd w:fill="FEFEFE" w:val="clear"/>
            <w:vAlign w:val="center"/>
          </w:tcPr>
          <w:p>
            <w:pPr>
              <w:pStyle w:val="TableContents"/>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KWh = Kilowatt per hour </w:t>
            </w:r>
          </w:p>
        </w:tc>
      </w:tr>
    </w:tbl>
    <w:p>
      <w:pPr>
        <w:pStyle w:val="TextBody"/>
        <w:shd w:fill="FEFEFE" w:val="clear"/>
        <w:spacing w:before="0" w:after="0"/>
        <w:jc w:val="left"/>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forward-looking information includes, but is not limited to, information concerning the Company’s growth expectations (and the drivers thereof), expectations regarding reductions in the cost of power and other improvements in corporate energy efficiencies, reductions in the Company’s overall operating costs/TH and reductions in repair times, as well as other statements regarding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pStyle w:val="TextBody"/>
        <w:shd w:fill="FEFEFE" w:val="clear"/>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p>
      <w:pPr>
        <w:pStyle w:val="TextBody"/>
        <w:spacing w:before="0" w:after="0"/>
        <w:ind w:left="0" w:right="0" w:hanging="0"/>
        <w:rPr/>
      </w:pPr>
      <w:r>
        <w:rPr/>
        <w:t> </w:t>
      </w:r>
    </w:p>
    <w:p>
      <w:pPr>
        <w:pStyle w:val="TextBody"/>
        <w:shd w:fill="FEFEFE"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Times New Roman;Times;Serif" w:hAnsi="Times New Roman;Times;Serif"/>
          <w:b w:val="false"/>
          <w:i w:val="false"/>
          <w:caps w:val="false"/>
          <w:smallCaps w:val="false"/>
          <w:sz w:val="20"/>
        </w:rPr>
        <w:t xml:space="preserve">-ended December 31, 2022, filed on March 21, 2023. The </w:t>
      </w:r>
      <w:r>
        <w:rPr>
          <w:rFonts w:ascii="Times New Roman;Times;Serif" w:hAnsi="Times New Roman;Times;Serif"/>
          <w:b w:val="false"/>
          <w:i/>
          <w:caps w:val="false"/>
          <w:smallCaps w:val="false"/>
          <w:sz w:val="20"/>
        </w:rPr>
        <w:t>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LHA Investor Relations</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Barnard</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+1 415-433-3777</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Investors@bitfarms.com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Actual Agency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Helfer</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+1 646-373-9946</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mediarelations@bitfarms.com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Québec Media: Tact</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lmleclerc@tactconseil.ca</w:t>
      </w:r>
    </w:p>
    <w:p>
      <w:pPr>
        <w:pStyle w:val="TextBody"/>
        <w:shd w:fill="FEFEFE" w:val="clear"/>
        <w:spacing w:before="0" w:after="0"/>
        <w:jc w:val="center"/>
        <w:rPr>
          <w:caps w:val="false"/>
          <w:smallCaps w:val="false"/>
        </w:rPr>
      </w:pPr>
      <w:r>
        <w:rPr>
          <w:caps w:val="false"/>
          <w:smallCaps w:val="false"/>
        </w:rPr>
        <w:t> </w:t>
      </w:r>
    </w:p>
    <w:p>
      <w:pPr>
        <w:pStyle w:val="TextBody"/>
        <w:shd w:fill="FEFEFE" w:val="clear"/>
        <w:spacing w:before="0" w:after="0"/>
        <w:jc w:val="center"/>
        <w:rPr>
          <w:caps w:val="false"/>
          <w:smallCaps w:val="false"/>
        </w:rPr>
      </w:pPr>
      <w:r>
        <w:rPr>
          <w:caps w:val="false"/>
          <w:smallCaps w:val="false"/>
        </w:rPr>
        <w:t> </w:t>
      </w:r>
    </w:p>
    <w:p>
      <w:pPr>
        <w:pStyle w:val="TextBody"/>
        <w:shd w:fill="FEFEFE" w:val="clear"/>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rPr>
          <w:bdr w:val="single" w:sz="12" w:space="1" w:color="000000"/>
        </w:rPr>
      </w:pPr>
      <w:r>
        <w:rPr>
          <w:bdr w:val="single" w:sz="12" w:space="1" w:color="000000"/>
        </w:rPr>
        <w:t> </w:t>
      </w:r>
      <w:r>
        <w:br w:type="page"/>
      </w:r>
    </w:p>
    <w:p>
      <w:pPr>
        <w:pStyle w:val="TextBody"/>
        <w:spacing w:before="0" w:after="0"/>
        <w:jc w:val="right"/>
        <w:rPr>
          <w:rFonts w:ascii="Times New Roman;Times;Serif" w:hAnsi="Times New Roman;Times;Serif"/>
          <w:b/>
          <w:i w:val="false"/>
          <w:caps w:val="false"/>
          <w:smallCaps w:val="false"/>
          <w:sz w:val="20"/>
        </w:rPr>
      </w:pPr>
      <w:bookmarkStart w:id="4" w:name="ea177812ex99-2_bitfarmsltd.htm"/>
      <w:bookmarkStart w:id="5" w:name="ksea177812ex992_bitfarmsltd"/>
      <w:bookmarkEnd w:id="4"/>
      <w:bookmarkEnd w:id="5"/>
      <w:r>
        <w:rPr>
          <w:rFonts w:ascii="Times New Roman;Times;Serif" w:hAnsi="Times New Roman;Times;Serif"/>
          <w:b/>
          <w:i w:val="false"/>
          <w:caps w:val="false"/>
          <w:smallCaps w:val="false"/>
          <w:sz w:val="20"/>
        </w:rPr>
        <w:t>Exhibit 99.2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spacing w:before="0" w:after="0"/>
        <w:jc w:val="center"/>
        <w:rPr>
          <w:caps w:val="false"/>
          <w:smallCaps w:val="false"/>
        </w:rPr>
      </w:pPr>
      <w:r>
        <w:rPr>
          <w:caps w:val="false"/>
          <w:smallCaps w:val="false"/>
        </w:rPr>
        <w:t> </w:t>
      </w:r>
    </w:p>
    <w:tbl>
      <w:tblPr>
        <w:tblW w:w="3310" w:type="dxa"/>
        <w:jc w:val="left"/>
        <w:tblInd w:w="0" w:type="dxa"/>
        <w:tblCellMar>
          <w:top w:w="0" w:type="dxa"/>
          <w:left w:w="0" w:type="dxa"/>
          <w:bottom w:w="0" w:type="dxa"/>
          <w:right w:w="0" w:type="dxa"/>
        </w:tblCellMar>
      </w:tblPr>
      <w:tblGrid>
        <w:gridCol w:w="575"/>
        <w:gridCol w:w="273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w:t>
            </w:r>
          </w:p>
        </w:tc>
        <w:tc>
          <w:tcPr>
            <w:tcW w:w="273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Company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King Street East, Suite 902</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1C4</w:t>
      </w:r>
    </w:p>
    <w:p>
      <w:pPr>
        <w:pStyle w:val="TextBody"/>
        <w:spacing w:before="0" w:after="0"/>
        <w:ind w:left="0" w:right="0" w:hanging="0"/>
        <w:jc w:val="both"/>
        <w:rPr>
          <w:caps w:val="false"/>
          <w:smallCaps w:val="false"/>
        </w:rPr>
      </w:pPr>
      <w:r>
        <w:rPr>
          <w:caps w:val="false"/>
          <w:smallCaps w:val="false"/>
        </w:rPr>
        <w:t> </w:t>
      </w:r>
    </w:p>
    <w:tbl>
      <w:tblPr>
        <w:tblW w:w="2740" w:type="dxa"/>
        <w:jc w:val="left"/>
        <w:tblInd w:w="0" w:type="dxa"/>
        <w:tblCellMar>
          <w:top w:w="0" w:type="dxa"/>
          <w:left w:w="0" w:type="dxa"/>
          <w:bottom w:w="0" w:type="dxa"/>
          <w:right w:w="0" w:type="dxa"/>
        </w:tblCellMar>
      </w:tblPr>
      <w:tblGrid>
        <w:gridCol w:w="575"/>
        <w:gridCol w:w="216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w:t>
            </w:r>
          </w:p>
        </w:tc>
        <w:tc>
          <w:tcPr>
            <w:tcW w:w="216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Material Change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extBody"/>
        <w:spacing w:before="0" w:after="0"/>
        <w:ind w:left="0" w:right="0" w:hanging="0"/>
        <w:jc w:val="both"/>
        <w:rPr>
          <w:caps w:val="false"/>
          <w:smallCaps w:val="false"/>
        </w:rPr>
      </w:pPr>
      <w:r>
        <w:rPr>
          <w:caps w:val="false"/>
          <w:smallCaps w:val="false"/>
        </w:rPr>
        <w:t> </w:t>
      </w:r>
    </w:p>
    <w:tbl>
      <w:tblPr>
        <w:tblW w:w="1780" w:type="dxa"/>
        <w:jc w:val="left"/>
        <w:tblInd w:w="0" w:type="dxa"/>
        <w:tblCellMar>
          <w:top w:w="0" w:type="dxa"/>
          <w:left w:w="0" w:type="dxa"/>
          <w:bottom w:w="0" w:type="dxa"/>
          <w:right w:w="0" w:type="dxa"/>
        </w:tblCellMar>
      </w:tblPr>
      <w:tblGrid>
        <w:gridCol w:w="575"/>
        <w:gridCol w:w="120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w:t>
            </w:r>
          </w:p>
        </w:tc>
        <w:tc>
          <w:tcPr>
            <w:tcW w:w="120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News Release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May 1, 2023, by a newswire company in Canada.</w:t>
      </w:r>
    </w:p>
    <w:p>
      <w:pPr>
        <w:pStyle w:val="TextBody"/>
        <w:spacing w:before="0" w:after="0"/>
        <w:ind w:left="0" w:right="0" w:hanging="0"/>
        <w:jc w:val="both"/>
        <w:rPr>
          <w:caps w:val="false"/>
          <w:smallCaps w:val="false"/>
        </w:rPr>
      </w:pPr>
      <w:r>
        <w:rPr>
          <w:caps w:val="false"/>
          <w:smallCaps w:val="false"/>
        </w:rPr>
        <w:t> </w:t>
      </w:r>
    </w:p>
    <w:tbl>
      <w:tblPr>
        <w:tblW w:w="3190" w:type="dxa"/>
        <w:jc w:val="left"/>
        <w:tblInd w:w="0" w:type="dxa"/>
        <w:tblCellMar>
          <w:top w:w="0" w:type="dxa"/>
          <w:left w:w="0" w:type="dxa"/>
          <w:bottom w:w="0" w:type="dxa"/>
          <w:right w:w="0" w:type="dxa"/>
        </w:tblCellMar>
      </w:tblPr>
      <w:tblGrid>
        <w:gridCol w:w="575"/>
        <w:gridCol w:w="261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r>
          </w:p>
        </w:tc>
        <w:tc>
          <w:tcPr>
            <w:tcW w:w="261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Material Change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spacing w:before="0" w:after="0"/>
        <w:ind w:left="0" w:right="0" w:hanging="0"/>
        <w:jc w:val="both"/>
        <w:rPr>
          <w:caps w:val="false"/>
          <w:smallCaps w:val="false"/>
        </w:rPr>
      </w:pPr>
      <w:r>
        <w:rPr>
          <w:caps w:val="false"/>
          <w:smallCaps w:val="false"/>
        </w:rPr>
        <w:t> </w:t>
      </w:r>
    </w:p>
    <w:tbl>
      <w:tblPr>
        <w:tblW w:w="3715" w:type="dxa"/>
        <w:jc w:val="left"/>
        <w:tblInd w:w="0" w:type="dxa"/>
        <w:tblCellMar>
          <w:top w:w="0" w:type="dxa"/>
          <w:left w:w="0" w:type="dxa"/>
          <w:bottom w:w="0" w:type="dxa"/>
          <w:right w:w="0" w:type="dxa"/>
        </w:tblCellMar>
      </w:tblPr>
      <w:tblGrid>
        <w:gridCol w:w="575"/>
        <w:gridCol w:w="314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w:t>
            </w:r>
          </w:p>
        </w:tc>
        <w:tc>
          <w:tcPr>
            <w:tcW w:w="314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Description of Material Change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spacing w:before="0" w:after="0"/>
        <w:ind w:left="0" w:right="0" w:hanging="0"/>
        <w:jc w:val="both"/>
        <w:rPr>
          <w:caps w:val="false"/>
          <w:smallCaps w:val="false"/>
        </w:rPr>
      </w:pPr>
      <w:r>
        <w:rPr>
          <w:caps w:val="false"/>
          <w:smallCaps w:val="false"/>
        </w:rPr>
        <w:t> </w:t>
      </w:r>
    </w:p>
    <w:tbl>
      <w:tblPr>
        <w:tblW w:w="5635" w:type="dxa"/>
        <w:jc w:val="left"/>
        <w:tblInd w:w="0" w:type="dxa"/>
        <w:tblCellMar>
          <w:top w:w="0" w:type="dxa"/>
          <w:left w:w="0" w:type="dxa"/>
          <w:bottom w:w="0" w:type="dxa"/>
          <w:right w:w="0" w:type="dxa"/>
        </w:tblCellMar>
      </w:tblPr>
      <w:tblGrid>
        <w:gridCol w:w="575"/>
        <w:gridCol w:w="506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w:t>
            </w:r>
          </w:p>
        </w:tc>
        <w:tc>
          <w:tcPr>
            <w:tcW w:w="506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Reliance of subsection 7.1(2) of National Instrument 51-102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2425" w:type="dxa"/>
        <w:jc w:val="left"/>
        <w:tblInd w:w="0" w:type="dxa"/>
        <w:tblCellMar>
          <w:top w:w="0" w:type="dxa"/>
          <w:left w:w="0" w:type="dxa"/>
          <w:bottom w:w="0" w:type="dxa"/>
          <w:right w:w="0" w:type="dxa"/>
        </w:tblCellMar>
      </w:tblPr>
      <w:tblGrid>
        <w:gridCol w:w="575"/>
        <w:gridCol w:w="185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w:t>
            </w:r>
          </w:p>
        </w:tc>
        <w:tc>
          <w:tcPr>
            <w:tcW w:w="185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Omitted Information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tbl>
      <w:tblPr>
        <w:tblW w:w="2140" w:type="dxa"/>
        <w:jc w:val="left"/>
        <w:tblInd w:w="0" w:type="dxa"/>
        <w:tblCellMar>
          <w:top w:w="0" w:type="dxa"/>
          <w:left w:w="0" w:type="dxa"/>
          <w:bottom w:w="0" w:type="dxa"/>
          <w:right w:w="0" w:type="dxa"/>
        </w:tblCellMar>
      </w:tblPr>
      <w:tblGrid>
        <w:gridCol w:w="575"/>
        <w:gridCol w:w="1565"/>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1565"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Bonta</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&amp; Director</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nbonta@bitfarms.com</w:t>
      </w:r>
    </w:p>
    <w:p>
      <w:pPr>
        <w:pStyle w:val="TextBody"/>
        <w:spacing w:before="0" w:after="0"/>
        <w:ind w:left="0" w:right="0" w:hanging="0"/>
        <w:jc w:val="both"/>
        <w:rPr>
          <w:caps w:val="false"/>
          <w:smallCaps w:val="false"/>
        </w:rPr>
      </w:pPr>
      <w:r>
        <w:rPr>
          <w:caps w:val="false"/>
          <w:smallCaps w:val="false"/>
        </w:rPr>
        <w:t> </w:t>
      </w:r>
    </w:p>
    <w:tbl>
      <w:tblPr>
        <w:tblW w:w="1885" w:type="dxa"/>
        <w:jc w:val="left"/>
        <w:tblInd w:w="0" w:type="dxa"/>
        <w:tblCellMar>
          <w:top w:w="0" w:type="dxa"/>
          <w:left w:w="0" w:type="dxa"/>
          <w:bottom w:w="0" w:type="dxa"/>
          <w:right w:w="0" w:type="dxa"/>
        </w:tblCellMar>
      </w:tblPr>
      <w:tblGrid>
        <w:gridCol w:w="575"/>
        <w:gridCol w:w="1310"/>
      </w:tblGrid>
      <w:tr>
        <w:trPr/>
        <w:tc>
          <w:tcPr>
            <w:tcW w:w="5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w:t>
            </w:r>
          </w:p>
        </w:tc>
        <w:tc>
          <w:tcPr>
            <w:tcW w:w="131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w:t>
      </w:r>
    </w:p>
    <w:p>
      <w:pPr>
        <w:pStyle w:val="TextBody"/>
        <w:spacing w:before="0" w:after="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jc w:val="center"/>
        <w:rPr>
          <w:caps w:val="false"/>
          <w:smallCaps w:val="false"/>
        </w:rPr>
      </w:pPr>
      <w:r>
        <w:rPr>
          <w:caps w:val="false"/>
          <w:smallCaps w:val="false"/>
        </w:rPr>
        <w:drawing>
          <wp:inline distT="0" distB="0" distL="0" distR="0">
            <wp:extent cx="2257425"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2257425" cy="590550"/>
                    </a:xfrm>
                    <a:prstGeom prst="rect">
                      <a:avLst/>
                    </a:prstGeom>
                  </pic:spPr>
                </pic:pic>
              </a:graphicData>
            </a:graphic>
          </wp:inline>
        </w:drawing>
      </w:r>
    </w:p>
    <w:p>
      <w:pPr>
        <w:pStyle w:val="TextBody"/>
        <w:shd w:fill="FFFFFF" w:val="clear"/>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Bitfarms Regains Compliance with Nasdaq Continued Listing Requirements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purposes of the Company’s prospectus supplement dated August 16, 2021, to its short form base shelf prospectus dated August 12,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(May 1, 2023)</w:t>
      </w:r>
      <w:r>
        <w:rPr>
          <w:rFonts w:ascii="Times New Roman;Times;Serif" w:hAnsi="Times New Roman;Times;Serif"/>
          <w:b w:val="false"/>
          <w:i w:val="false"/>
          <w:caps w:val="false"/>
          <w:smallCaps w:val="false"/>
          <w:sz w:val="20"/>
        </w:rPr>
        <w:t xml:space="preserve"> - Bitfarms Ltd. (</w:t>
      </w:r>
      <w:r>
        <w:rPr>
          <w:rFonts w:ascii="Times New Roman;Times;Serif" w:hAnsi="Times New Roman;Times;Serif"/>
          <w:b w:val="false"/>
          <w:i w:val="false"/>
          <w:caps w:val="false"/>
          <w:smallCaps w:val="false"/>
          <w:sz w:val="20"/>
          <w:u w:val="single"/>
        </w:rPr>
        <w:t>NASDAQ: BITF // TSX: BITF</w:t>
      </w:r>
      <w:r>
        <w:rPr>
          <w:rFonts w:ascii="Times New Roman;Times;Serif" w:hAnsi="Times New Roman;Times;Serif"/>
          <w:b w:val="false"/>
          <w:i w:val="false"/>
          <w:caps w:val="false"/>
          <w:smallCaps w:val="false"/>
          <w:sz w:val="20"/>
        </w:rPr>
        <w:t>), a global vertically integrated Bitcoin mining company, has received confirmation from The Nasdaq Stock Market LLC (“Nasdaq”) that it has regained compliance with the minimum bid price requirement of $1.00 per share under Nasdaq Listing Rule 5550(a)(2).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2022, Nasdaq notified Bitfarms that its common stock no longer complied with the minimum bid price requirement of $1.00 over the previous 30 consecutive trading days as required by the Listing Rules of Nasdaq. Subsequently, by letter dated April 28, 2023, Nasdaq determined that for the preceding 13 consecutive trading days, from April 11, 2023, through April 27, 2023, the closing bid price of Bitfarms’ common stock was $1.00 per share or greater, and the Company has therefore regained compliance with Listing Rule 5550(a)(2).</w:t>
      </w:r>
    </w:p>
    <w:p>
      <w:pPr>
        <w:pStyle w:val="TextBody"/>
        <w:shd w:fill="FEFEFE" w:val="clear"/>
        <w:spacing w:before="0" w:after="0"/>
        <w:ind w:left="11" w:right="0" w:hanging="11"/>
        <w:jc w:val="both"/>
        <w:rPr>
          <w:caps w:val="false"/>
          <w:smallCaps w:val="false"/>
        </w:rPr>
      </w:pPr>
      <w:r>
        <w:rPr>
          <w:caps w:val="false"/>
          <w:smallCaps w:val="false"/>
        </w:rPr>
        <w:t> </w:t>
      </w:r>
    </w:p>
    <w:p>
      <w:pPr>
        <w:pStyle w:val="TextBody"/>
        <w:shd w:fill="FEFEFE" w:val="clear"/>
        <w:spacing w:before="0" w:after="0"/>
        <w:ind w:left="11"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shd w:fill="FEFEFE" w:val="clear"/>
        <w:spacing w:before="0" w:after="0"/>
        <w:ind w:left="11" w:right="0" w:hanging="11"/>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www.bitfarms.com</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https://twitter.com/Bitfarms_io</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https://www.instagram.com/bitfarms/</w:t>
      </w:r>
    </w:p>
    <w:p>
      <w:pPr>
        <w:pStyle w:val="TextBody"/>
        <w:shd w:fill="FEFEFE"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https://www.linkedin.com/company/bitfarms/</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shd w:fill="FEFEFE" w:val="clear"/>
        <w:spacing w:before="0" w:after="0"/>
        <w:ind w:left="0" w:right="0" w:hanging="0"/>
        <w:jc w:val="both"/>
        <w:rPr>
          <w:caps w:val="false"/>
          <w:smallCaps w:val="false"/>
        </w:rPr>
      </w:pPr>
      <w:r>
        <w:rPr>
          <w:caps w:val="false"/>
          <w:smallCaps w:val="false"/>
        </w:rPr>
        <w:t> </w:t>
      </w:r>
    </w:p>
    <w:p>
      <w:pPr>
        <w:pStyle w:val="TextBody"/>
        <w:shd w:fill="FEFEFE"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or otherwise suggesting the ability to continue to comply with Nasdaq Listing Rule 5550(a)(2) at the present time or in the future cannot be assured and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ended December 31, 2022, filed on March 21, 2023.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LHA Investor Relations</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Barnard</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+1 415-433-3777</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Investors@bitfarms.com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Actual Agency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Helfer</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+1 646-373-9946</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mediarelations@bitfarms.com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Québec Media: Tact</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lmleclerc@tactconseil.ca</w:t>
      </w:r>
    </w:p>
    <w:p>
      <w:pPr>
        <w:pStyle w:val="TextBody"/>
        <w:shd w:fill="FFFFFF" w:val="clear"/>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12477/000121390021042378/ea145070-f10_bitfarmsltd.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4371</Words>
  <CharactersWithSpaces>29472</CharactersWithSpaces>
  <Paragraphs>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