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 PURSUANT TO RULE 13a-16</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OR 15d-16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For the month of November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BITFARMS LTD.</w:t>
      </w:r>
    </w:p>
    <w:p>
      <w:pPr>
        <w:spacing w:after="0" w:line="39"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110 Yonge Street, Suite 1601, Toronto, Ontario, Canada M5C 1T4</w:t>
      </w:r>
    </w:p>
    <w:p>
      <w:pPr>
        <w:spacing w:after="0" w:line="108"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192" w:lineRule="exact"/>
        <w:rPr>
          <w:sz w:val="24"/>
          <w:szCs w:val="24"/>
          <w:color w:val="auto"/>
        </w:rPr>
      </w:pPr>
    </w:p>
    <w:p>
      <w:pPr>
        <w:ind w:left="462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377825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532130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63"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DOCUMENTS INCLUDED AS PART OF THIS FORM 6-K</w:t>
      </w:r>
    </w:p>
    <w:p>
      <w:pPr>
        <w:spacing w:after="0" w:line="22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On November 1, 2023, the Registrant filed with the Canadian Securities Regulatory Authorities on the System for Electronic Data Analysis and Retrieval (SEDAR) a material change report that includes a copy of a press release, a copy of which is attached hereto as Exhibit 99.1.</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Exhibits listed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3560" w:type="dxa"/>
            <w:vAlign w:val="bottom"/>
          </w:tcPr>
          <w:p>
            <w:pPr>
              <w:spacing w:after="0"/>
              <w:rPr>
                <w:sz w:val="20"/>
                <w:szCs w:val="20"/>
                <w:color w:val="auto"/>
              </w:rPr>
            </w:pPr>
          </w:p>
        </w:tc>
        <w:tc>
          <w:tcPr>
            <w:tcW w:w="6320" w:type="dxa"/>
            <w:vAlign w:val="bottom"/>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Exhibit No.</w:t>
            </w:r>
          </w:p>
        </w:tc>
        <w:tc>
          <w:tcPr>
            <w:tcW w:w="988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16"/>
        </w:trPr>
        <w:tc>
          <w:tcPr>
            <w:tcW w:w="13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6320" w:type="dxa"/>
            <w:vAlign w:val="bottom"/>
          </w:tcPr>
          <w:p>
            <w:pPr>
              <w:spacing w:after="0"/>
              <w:rPr>
                <w:sz w:val="18"/>
                <w:szCs w:val="18"/>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98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Material Change Report dated November 1, 2023</w:t>
            </w:r>
          </w:p>
        </w:tc>
      </w:tr>
      <w:tr>
        <w:trPr>
          <w:trHeight w:val="358"/>
        </w:trPr>
        <w:tc>
          <w:tcPr>
            <w:tcW w:w="1360" w:type="dxa"/>
            <w:vAlign w:val="bottom"/>
            <w:tcBorders>
              <w:top w:val="single" w:sz="8" w:color="CCEEFF"/>
              <w:bottom w:val="single" w:sz="8" w:color="auto"/>
            </w:tcBorders>
          </w:tcPr>
          <w:p>
            <w:pPr>
              <w:spacing w:after="0"/>
              <w:rPr>
                <w:sz w:val="24"/>
                <w:szCs w:val="24"/>
                <w:color w:val="auto"/>
              </w:rPr>
            </w:pPr>
          </w:p>
        </w:tc>
        <w:tc>
          <w:tcPr>
            <w:tcW w:w="3560" w:type="dxa"/>
            <w:vAlign w:val="bottom"/>
            <w:tcBorders>
              <w:top w:val="single" w:sz="8" w:color="0000EE"/>
              <w:bottom w:val="single" w:sz="8" w:color="auto"/>
            </w:tcBorders>
          </w:tcPr>
          <w:p>
            <w:pPr>
              <w:spacing w:after="0"/>
              <w:rPr>
                <w:sz w:val="24"/>
                <w:szCs w:val="24"/>
                <w:color w:val="auto"/>
              </w:rPr>
            </w:pPr>
          </w:p>
        </w:tc>
        <w:tc>
          <w:tcPr>
            <w:tcW w:w="63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 w:name="page3"/>
    <w:bookmarkEnd w:id="2"/>
    <w:p>
      <w:pPr>
        <w:ind w:left="51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160"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7"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L. Geoffrey Morphy</w:t>
      </w:r>
    </w:p>
    <w:p>
      <w:pPr>
        <w:spacing w:after="0" w:line="23" w:lineRule="exact"/>
        <w:rPr>
          <w:sz w:val="20"/>
          <w:szCs w:val="20"/>
          <w:color w:val="auto"/>
        </w:rPr>
      </w:pPr>
    </w:p>
    <w:p>
      <w:pPr>
        <w:jc w:val="both"/>
        <w:ind w:left="7100"/>
        <w:spacing w:after="0"/>
        <w:tabs>
          <w:tab w:leader="none" w:pos="7680" w:val="left"/>
        </w:tabs>
        <w:rPr>
          <w:sz w:val="20"/>
          <w:szCs w:val="20"/>
          <w:color w:val="auto"/>
        </w:rPr>
      </w:pPr>
      <w:r>
        <w:rPr>
          <w:rFonts w:ascii="Arial" w:cs="Arial" w:eastAsia="Arial" w:hAnsi="Arial"/>
          <w:sz w:val="18"/>
          <w:szCs w:val="18"/>
          <w:color w:val="auto"/>
        </w:rPr>
        <w:t>Title:</w:t>
        <w:tab/>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320" w:top="584" w:right="11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1T4</w:t>
      </w:r>
    </w:p>
    <w:p>
      <w:pPr>
        <w:sectPr>
          <w:pgSz w:w="11900" w:h="16838" w:orient="portrait"/>
          <w:cols w:equalWidth="0" w:num="1">
            <w:col w:w="11240"/>
          </w:cols>
          <w:pgMar w:left="320" w:top="337" w:right="3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 of Material Change</w:t>
      </w:r>
    </w:p>
    <w:p>
      <w:pPr>
        <w:spacing w:after="0" w:line="211" w:lineRule="exact"/>
        <w:rPr>
          <w:sz w:val="20"/>
          <w:szCs w:val="20"/>
          <w:color w:val="auto"/>
        </w:rPr>
      </w:pPr>
    </w:p>
    <w:p>
      <w:pPr>
        <w:sectPr>
          <w:pgSz w:w="11900" w:h="16838" w:orient="portrait"/>
          <w:cols w:equalWidth="0" w:num="2">
            <w:col w:w="580" w:space="720"/>
            <w:col w:w="9940"/>
          </w:cols>
          <w:pgMar w:left="320" w:top="337"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November 1, 2023.</w:t>
      </w:r>
    </w:p>
    <w:p>
      <w:pPr>
        <w:sectPr>
          <w:pgSz w:w="11900" w:h="16838" w:orient="portrait"/>
          <w:cols w:equalWidth="0" w:num="1">
            <w:col w:w="11240"/>
          </w:cols>
          <w:pgMar w:left="320" w:top="337"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News Release</w:t>
      </w:r>
    </w:p>
    <w:p>
      <w:pPr>
        <w:spacing w:after="0" w:line="222" w:lineRule="exact"/>
        <w:rPr>
          <w:sz w:val="20"/>
          <w:szCs w:val="20"/>
          <w:color w:val="auto"/>
        </w:rPr>
      </w:pPr>
    </w:p>
    <w:p>
      <w:pPr>
        <w:sectPr>
          <w:pgSz w:w="11900" w:h="16838" w:orient="portrait"/>
          <w:cols w:equalWidth="0" w:num="2">
            <w:col w:w="580" w:space="720"/>
            <w:col w:w="9940"/>
          </w:cols>
          <w:pgMar w:left="320" w:top="337"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The press release attached as Schedule “A” was released on November 1, 2023 by a newswire company in Canada.</w:t>
      </w:r>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ectPr>
          <w:pgSz w:w="11900" w:h="16838" w:orient="portrait"/>
          <w:cols w:equalWidth="0" w:num="1">
            <w:col w:w="11240"/>
          </w:cols>
          <w:pgMar w:left="320" w:top="337"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Reliance of subsection 7.1(2) of National Instrument 51-102</w:t>
      </w:r>
    </w:p>
    <w:p>
      <w:pPr>
        <w:spacing w:after="0" w:line="211" w:lineRule="exact"/>
        <w:rPr>
          <w:sz w:val="20"/>
          <w:szCs w:val="20"/>
          <w:color w:val="auto"/>
        </w:rPr>
      </w:pPr>
    </w:p>
    <w:p>
      <w:pPr>
        <w:sectPr>
          <w:pgSz w:w="11900" w:h="16838" w:orient="portrait"/>
          <w:cols w:equalWidth="0" w:num="2">
            <w:col w:w="580" w:space="720"/>
            <w:col w:w="9940"/>
          </w:cols>
          <w:pgMar w:left="320" w:top="337"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337"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Omitted Information</w:t>
      </w:r>
    </w:p>
    <w:p>
      <w:pPr>
        <w:spacing w:after="0" w:line="211" w:lineRule="exact"/>
        <w:rPr>
          <w:sz w:val="20"/>
          <w:szCs w:val="20"/>
          <w:color w:val="auto"/>
        </w:rPr>
      </w:pPr>
    </w:p>
    <w:p>
      <w:pPr>
        <w:sectPr>
          <w:pgSz w:w="11900" w:h="16838" w:orient="portrait"/>
          <w:cols w:equalWidth="0" w:num="2">
            <w:col w:w="580" w:space="720"/>
            <w:col w:w="9940"/>
          </w:cols>
          <w:pgMar w:left="320" w:top="337"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337"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w:t>
      </w:r>
    </w:p>
    <w:p>
      <w:pPr>
        <w:spacing w:after="0" w:line="211" w:lineRule="exact"/>
        <w:rPr>
          <w:sz w:val="20"/>
          <w:szCs w:val="20"/>
          <w:color w:val="auto"/>
        </w:rPr>
      </w:pPr>
    </w:p>
    <w:p>
      <w:pPr>
        <w:sectPr>
          <w:pgSz w:w="11900" w:h="16838" w:orient="portrait"/>
          <w:cols w:equalWidth="0" w:num="2">
            <w:col w:w="580" w:space="720"/>
            <w:col w:w="9940"/>
          </w:cols>
          <w:pgMar w:left="320" w:top="337"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Geoffrey Morphy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President &amp; Chief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gmorphy@bitfarms.com</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Date of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November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143510</wp:posOffset>
            </wp:positionV>
            <wp:extent cx="2031365"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Bitfarms Earns 398 BTC in October 2023</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Reached 54 MW at Rio Cuarto facility and 240 MW total operating capacity -</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Increases hashrate 3% to 6.3 EH/s -</w:t>
      </w:r>
    </w:p>
    <w:p>
      <w:pPr>
        <w:spacing w:after="0" w:line="315" w:lineRule="exact"/>
        <w:rPr>
          <w:sz w:val="20"/>
          <w:szCs w:val="20"/>
          <w:color w:val="auto"/>
        </w:rPr>
      </w:pPr>
    </w:p>
    <w:p>
      <w:pPr>
        <w:jc w:val="both"/>
        <w:ind w:hanging="8"/>
        <w:spacing w:after="0" w:line="282" w:lineRule="auto"/>
        <w:rPr>
          <w:sz w:val="20"/>
          <w:szCs w:val="20"/>
          <w:color w:val="auto"/>
        </w:rPr>
      </w:pPr>
      <w:r>
        <w:rPr>
          <w:rFonts w:ascii="Arial" w:cs="Arial" w:eastAsia="Arial" w:hAnsi="Arial"/>
          <w:sz w:val="18"/>
          <w:szCs w:val="18"/>
          <w:b w:val="1"/>
          <w:bCs w:val="1"/>
          <w:color w:val="auto"/>
        </w:rPr>
        <w:t xml:space="preserve">Toronto, Ontario and Brossard, Québec (November 1, 2023) </w:t>
      </w:r>
      <w:r>
        <w:rPr>
          <w:rFonts w:ascii="Arial" w:cs="Arial" w:eastAsia="Arial" w:hAnsi="Arial"/>
          <w:sz w:val="18"/>
          <w:szCs w:val="18"/>
          <w:color w:val="auto"/>
        </w:rPr>
        <w:t>- Bitfarms Ltd. (</w:t>
      </w:r>
      <w:r>
        <w:rPr>
          <w:rFonts w:ascii="Arial" w:cs="Arial" w:eastAsia="Arial" w:hAnsi="Arial"/>
          <w:sz w:val="18"/>
          <w:szCs w:val="18"/>
          <w:u w:val="single" w:color="auto"/>
          <w:color w:val="auto"/>
        </w:rPr>
        <w:t>NASDAQ: BITF//TSX: BITF</w:t>
      </w:r>
      <w:r>
        <w:rPr>
          <w:rFonts w:ascii="Arial" w:cs="Arial" w:eastAsia="Arial" w:hAnsi="Arial"/>
          <w:sz w:val="18"/>
          <w:szCs w:val="18"/>
          <w:color w:val="auto"/>
        </w:rPr>
        <w:t>), a global vertically integrated Bitcoin</w:t>
      </w:r>
      <w:r>
        <w:rPr>
          <w:rFonts w:ascii="Arial" w:cs="Arial" w:eastAsia="Arial" w:hAnsi="Arial"/>
          <w:sz w:val="18"/>
          <w:szCs w:val="18"/>
          <w:b w:val="1"/>
          <w:bCs w:val="1"/>
          <w:color w:val="auto"/>
        </w:rPr>
        <w:t xml:space="preserve"> </w:t>
      </w:r>
      <w:r>
        <w:rPr>
          <w:rFonts w:ascii="Arial" w:cs="Arial" w:eastAsia="Arial" w:hAnsi="Arial"/>
          <w:sz w:val="18"/>
          <w:szCs w:val="18"/>
          <w:color w:val="auto"/>
        </w:rPr>
        <w:t>mining company, provides a monthly update for October 2023.</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we increased our hashrate to 6.3 EH/s as we completed energization of our Baie-Comeau, Québec facility at 11 MW and boosted Rio Cuarto from 51 MW to 54 MW. We ended October with 240 MW of operating capacity, up 31% from a year ago,” said Geoff Morphy, CEO of Bitfarms. “With long-term and low-cost energy contracts totaling 574 MW, we still have significant room to expand our portfolio and build new farm infrastructure that would more than double our current 240 MW in production.”</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“We’ve been steadfast this year in increasing our financial flexibility and strengthening our balance sheet while executing our 2023 growth plan. We have cost-effectively grown our hashrate and farm infrastructure while prudently paying down debt. Our disciplined strategy of carefully timing fleet upgrades has embedded optionality as next generation miners coming to market now could generate dramatic production increases at our existing state of the art facilities. In short, we are well-positioned to invest for the remainder of 2023 and into 2024 and take advantage of disruptive opportunities around the April halving,” added Morphy.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Ben Gagnon, Chief Mining Officer of Bitfarms, said, “With Argentina and Baie Comeau now fully operational, we have executed on our 2023 growth plan. As we look to 2024 and the halving, we are paying close attention to the rapid growth of network hashrate which historically has preceded many bull runs. On cue, network difficulty is up 9.4% during the month, outpacing hashrate growth of 3.2%. Anticipating that these macro conditions were likely to occur, we remained disciplined in our approach to growth and capital expenditures which has made us well positioned to take full advantage of the acquisition of new gen miners announced on October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Mining Review</w:t>
      </w:r>
    </w:p>
    <w:p>
      <w:pPr>
        <w:spacing w:after="0" w:line="216"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October production of 398 BTC declined 3.2% from the 411 BTC earned in September as network difficulty increased 9.4% in October compared to 2.7% in September, reflecting the continuing strong demand for miners going into the 2024 halving. For the ten months ended October 31</w:t>
      </w:r>
      <w:r>
        <w:rPr>
          <w:rFonts w:ascii="Arial" w:cs="Arial" w:eastAsia="Arial" w:hAnsi="Arial"/>
          <w:sz w:val="29"/>
          <w:szCs w:val="29"/>
          <w:color w:val="auto"/>
          <w:vertAlign w:val="superscript"/>
        </w:rPr>
        <w:t>st</w:t>
      </w:r>
      <w:r>
        <w:rPr>
          <w:rFonts w:ascii="Arial" w:cs="Arial" w:eastAsia="Arial" w:hAnsi="Arial"/>
          <w:sz w:val="18"/>
          <w:szCs w:val="18"/>
          <w:color w:val="auto"/>
        </w:rPr>
        <w:t>, network difficulty increased 76.6% while the BTC price was up approximately 107.8%, resulting in a 23.3% improvement in production economics as measured by USD/TH/day.</w:t>
      </w:r>
    </w:p>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1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Key Performance Indicators</w:t>
            </w:r>
          </w:p>
        </w:tc>
        <w:tc>
          <w:tcPr>
            <w:tcW w:w="2360" w:type="dxa"/>
            <w:vAlign w:val="bottom"/>
            <w:tcBorders>
              <w:top w:val="single" w:sz="8" w:color="auto"/>
              <w:bottom w:val="single" w:sz="8" w:color="auto"/>
              <w:right w:val="single" w:sz="8" w:color="auto"/>
            </w:tcBorders>
          </w:tcPr>
          <w:p>
            <w:pPr>
              <w:ind w:left="660"/>
              <w:spacing w:after="0"/>
              <w:rPr>
                <w:sz w:val="20"/>
                <w:szCs w:val="20"/>
                <w:color w:val="auto"/>
              </w:rPr>
            </w:pPr>
            <w:r>
              <w:rPr>
                <w:rFonts w:ascii="Arial" w:cs="Arial" w:eastAsia="Arial" w:hAnsi="Arial"/>
                <w:sz w:val="18"/>
                <w:szCs w:val="18"/>
                <w:b w:val="1"/>
                <w:bCs w:val="1"/>
                <w:color w:val="auto"/>
              </w:rPr>
              <w:t>October 2023</w:t>
            </w:r>
          </w:p>
        </w:tc>
        <w:tc>
          <w:tcPr>
            <w:tcW w:w="2360" w:type="dxa"/>
            <w:vAlign w:val="bottom"/>
            <w:tcBorders>
              <w:top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b w:val="1"/>
                <w:bCs w:val="1"/>
                <w:color w:val="auto"/>
              </w:rPr>
              <w:t>September 2023</w:t>
            </w:r>
          </w:p>
        </w:tc>
        <w:tc>
          <w:tcPr>
            <w:tcW w:w="2340" w:type="dxa"/>
            <w:vAlign w:val="bottom"/>
            <w:tcBorders>
              <w:top w:val="single" w:sz="8" w:color="auto"/>
              <w:bottom w:val="single" w:sz="8" w:color="auto"/>
              <w:right w:val="single" w:sz="8" w:color="auto"/>
            </w:tcBorders>
          </w:tcPr>
          <w:p>
            <w:pPr>
              <w:ind w:left="640"/>
              <w:spacing w:after="0"/>
              <w:rPr>
                <w:sz w:val="20"/>
                <w:szCs w:val="20"/>
                <w:color w:val="auto"/>
              </w:rPr>
            </w:pPr>
            <w:r>
              <w:rPr>
                <w:rFonts w:ascii="Arial" w:cs="Arial" w:eastAsia="Arial" w:hAnsi="Arial"/>
                <w:sz w:val="18"/>
                <w:szCs w:val="18"/>
                <w:b w:val="1"/>
                <w:bCs w:val="1"/>
                <w:color w:val="auto"/>
              </w:rPr>
              <w:t>October 2022</w:t>
            </w:r>
          </w:p>
        </w:tc>
      </w:tr>
      <w:tr>
        <w:trPr>
          <w:trHeight w:val="209"/>
        </w:trPr>
        <w:tc>
          <w:tcPr>
            <w:tcW w:w="41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BTC earned</w:t>
            </w:r>
          </w:p>
        </w:tc>
        <w:tc>
          <w:tcPr>
            <w:tcW w:w="23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398</w:t>
            </w:r>
          </w:p>
        </w:tc>
        <w:tc>
          <w:tcPr>
            <w:tcW w:w="23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411</w:t>
            </w:r>
          </w:p>
        </w:tc>
        <w:tc>
          <w:tcPr>
            <w:tcW w:w="2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486</w:t>
            </w:r>
          </w:p>
        </w:tc>
      </w:tr>
      <w:tr>
        <w:trPr>
          <w:trHeight w:val="210"/>
        </w:trPr>
        <w:tc>
          <w:tcPr>
            <w:tcW w:w="4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Month End Operating EH/s</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6.3</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6.1</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4.2</w:t>
            </w:r>
          </w:p>
        </w:tc>
      </w:tr>
      <w:tr>
        <w:trPr>
          <w:trHeight w:val="209"/>
        </w:trPr>
        <w:tc>
          <w:tcPr>
            <w:tcW w:w="41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BTC/Avg. EH/s</w:t>
            </w:r>
          </w:p>
        </w:tc>
        <w:tc>
          <w:tcPr>
            <w:tcW w:w="23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67</w:t>
            </w:r>
          </w:p>
        </w:tc>
        <w:tc>
          <w:tcPr>
            <w:tcW w:w="23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70</w:t>
            </w:r>
          </w:p>
        </w:tc>
        <w:tc>
          <w:tcPr>
            <w:tcW w:w="2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115</w:t>
            </w:r>
          </w:p>
        </w:tc>
      </w:tr>
      <w:tr>
        <w:trPr>
          <w:trHeight w:val="209"/>
        </w:trPr>
        <w:tc>
          <w:tcPr>
            <w:tcW w:w="4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Operating Capacity (MW)</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240</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233</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182</w:t>
            </w:r>
          </w:p>
        </w:tc>
      </w:tr>
      <w:tr>
        <w:trPr>
          <w:trHeight w:val="210"/>
        </w:trPr>
        <w:tc>
          <w:tcPr>
            <w:tcW w:w="41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Hydropower MW</w:t>
            </w:r>
          </w:p>
        </w:tc>
        <w:tc>
          <w:tcPr>
            <w:tcW w:w="23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186</w:t>
            </w:r>
          </w:p>
        </w:tc>
        <w:tc>
          <w:tcPr>
            <w:tcW w:w="23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183</w:t>
            </w:r>
          </w:p>
        </w:tc>
        <w:tc>
          <w:tcPr>
            <w:tcW w:w="2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172</w:t>
            </w:r>
          </w:p>
        </w:tc>
      </w:tr>
      <w:tr>
        <w:trPr>
          <w:trHeight w:val="209"/>
        </w:trPr>
        <w:tc>
          <w:tcPr>
            <w:tcW w:w="4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Watts/Terahash Efficiency (w/TH)</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35</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36</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40</w:t>
            </w:r>
          </w:p>
        </w:tc>
      </w:tr>
      <w:tr>
        <w:trPr>
          <w:trHeight w:val="209"/>
        </w:trPr>
        <w:tc>
          <w:tcPr>
            <w:tcW w:w="41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BTC Sold</w:t>
            </w:r>
          </w:p>
        </w:tc>
        <w:tc>
          <w:tcPr>
            <w:tcW w:w="23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341</w:t>
            </w:r>
          </w:p>
        </w:tc>
        <w:tc>
          <w:tcPr>
            <w:tcW w:w="23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362</w:t>
            </w:r>
          </w:p>
        </w:tc>
        <w:tc>
          <w:tcPr>
            <w:tcW w:w="2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486</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October 2023 Select Operating Highlights</w:t>
      </w:r>
    </w:p>
    <w:p>
      <w:pPr>
        <w:spacing w:after="0" w:line="229" w:lineRule="exact"/>
        <w:rPr>
          <w:sz w:val="20"/>
          <w:szCs w:val="20"/>
          <w:color w:val="auto"/>
        </w:rPr>
      </w:pPr>
    </w:p>
    <w:p>
      <w:pPr>
        <w:ind w:left="640" w:hanging="32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6.3 EH/s online as of October 31, 2023, up 50% from October 31, 2022, and up 3.0% from September 30, 2023.</w:t>
      </w:r>
    </w:p>
    <w:p>
      <w:pPr>
        <w:spacing w:after="0" w:line="225" w:lineRule="exact"/>
        <w:rPr>
          <w:rFonts w:ascii="Arial" w:cs="Arial" w:eastAsia="Arial" w:hAnsi="Arial"/>
          <w:sz w:val="18"/>
          <w:szCs w:val="18"/>
          <w:color w:val="auto"/>
        </w:rPr>
      </w:pPr>
    </w:p>
    <w:p>
      <w:pPr>
        <w:ind w:left="640" w:hanging="32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5.9 EH/s average online, up 1.0% from September 2023.</w:t>
      </w:r>
    </w:p>
    <w:p>
      <w:pPr>
        <w:spacing w:after="0" w:line="211" w:lineRule="exact"/>
        <w:rPr>
          <w:rFonts w:ascii="Arial" w:cs="Arial" w:eastAsia="Arial" w:hAnsi="Arial"/>
          <w:sz w:val="18"/>
          <w:szCs w:val="18"/>
          <w:color w:val="auto"/>
        </w:rPr>
      </w:pPr>
    </w:p>
    <w:p>
      <w:pPr>
        <w:ind w:left="640" w:hanging="32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67.4 BTC/average EH/s, down 4.3% from 70.4 in September 2023.</w:t>
      </w:r>
    </w:p>
    <w:p>
      <w:pPr>
        <w:spacing w:after="0" w:line="225" w:lineRule="exact"/>
        <w:rPr>
          <w:rFonts w:ascii="Arial" w:cs="Arial" w:eastAsia="Arial" w:hAnsi="Arial"/>
          <w:sz w:val="18"/>
          <w:szCs w:val="18"/>
          <w:color w:val="auto"/>
        </w:rPr>
      </w:pPr>
    </w:p>
    <w:p>
      <w:pPr>
        <w:ind w:left="640" w:hanging="32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BTC earned, down 3.2% from September 2023 and down 18.1% from October 2022.</w:t>
      </w:r>
    </w:p>
    <w:p>
      <w:pPr>
        <w:spacing w:after="0" w:line="211" w:lineRule="exact"/>
        <w:rPr>
          <w:rFonts w:ascii="Arial" w:cs="Arial" w:eastAsia="Arial" w:hAnsi="Arial"/>
          <w:sz w:val="18"/>
          <w:szCs w:val="18"/>
          <w:color w:val="auto"/>
        </w:rPr>
      </w:pPr>
    </w:p>
    <w:p>
      <w:pPr>
        <w:ind w:left="640" w:right="20" w:hanging="322"/>
        <w:spacing w:after="0" w:line="277" w:lineRule="auto"/>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12.8 BTC earned daily on average, equivalent to about $437,800 per day and approximately $13.6 million for the month based on a BTC price of $34,200 on October 31, 2023.</w:t>
      </w:r>
    </w:p>
    <w:p>
      <w:pPr>
        <w:spacing w:after="0" w:line="170" w:lineRule="exact"/>
        <w:rPr>
          <w:rFonts w:ascii="Arial" w:cs="Arial" w:eastAsia="Arial" w:hAnsi="Arial"/>
          <w:sz w:val="18"/>
          <w:szCs w:val="18"/>
          <w:color w:val="auto"/>
        </w:rPr>
      </w:pPr>
    </w:p>
    <w:p>
      <w:pPr>
        <w:ind w:left="640" w:hanging="32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Installed 2,100 miners.</w:t>
      </w:r>
    </w:p>
    <w:p>
      <w:pPr>
        <w:spacing w:after="0" w:line="23" w:lineRule="exact"/>
        <w:rPr>
          <w:rFonts w:ascii="Arial" w:cs="Arial" w:eastAsia="Arial" w:hAnsi="Arial"/>
          <w:sz w:val="18"/>
          <w:szCs w:val="18"/>
          <w:color w:val="auto"/>
        </w:rPr>
      </w:pPr>
    </w:p>
    <w:p>
      <w:pPr>
        <w:ind w:left="640" w:hanging="32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At Paso Pe, Paraguay, civil work and construction continued to advance on schedule.</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At Rio Cuarto, Argentina:</w:t>
      </w:r>
    </w:p>
    <w:p>
      <w:pPr>
        <w:spacing w:after="0" w:line="211" w:lineRule="exact"/>
        <w:rPr>
          <w:sz w:val="20"/>
          <w:szCs w:val="20"/>
          <w:color w:val="auto"/>
        </w:rPr>
      </w:pPr>
    </w:p>
    <w:p>
      <w:pPr>
        <w:ind w:left="1300" w:hanging="334"/>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Increased capacity by 3 MW to 54 MW and hashrate to 1.6 EH/s.</w:t>
      </w:r>
    </w:p>
    <w:p>
      <w:pPr>
        <w:spacing w:after="0" w:line="211" w:lineRule="exact"/>
        <w:rPr>
          <w:rFonts w:ascii="Arial" w:cs="Arial" w:eastAsia="Arial" w:hAnsi="Arial"/>
          <w:sz w:val="18"/>
          <w:szCs w:val="18"/>
          <w:color w:val="auto"/>
        </w:rPr>
      </w:pPr>
    </w:p>
    <w:p>
      <w:pPr>
        <w:ind w:left="640" w:hanging="322"/>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 Baie-Comeau, Québec:</w:t>
      </w:r>
    </w:p>
    <w:p>
      <w:pPr>
        <w:spacing w:after="0" w:line="225" w:lineRule="exact"/>
        <w:rPr>
          <w:rFonts w:ascii="Arial" w:cs="Arial" w:eastAsia="Arial" w:hAnsi="Arial"/>
          <w:sz w:val="18"/>
          <w:szCs w:val="18"/>
          <w:color w:val="auto"/>
        </w:rPr>
      </w:pPr>
    </w:p>
    <w:p>
      <w:pPr>
        <w:ind w:left="1300" w:hanging="334"/>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Completed remaining installations and ramped phase 1 operating capacity to its full 11 MW.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Bitfarms’ BTC Monthly Production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an overview of BTC earned in each of the first ten months of 2023 and 2022, respectively.</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5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Month</w:t>
            </w:r>
          </w:p>
        </w:tc>
        <w:tc>
          <w:tcPr>
            <w:tcW w:w="4140" w:type="dxa"/>
            <w:vAlign w:val="bottom"/>
            <w:tcBorders>
              <w:top w:val="single" w:sz="8" w:color="auto"/>
              <w:bottom w:val="single" w:sz="8" w:color="auto"/>
              <w:right w:val="single" w:sz="8" w:color="auto"/>
            </w:tcBorders>
          </w:tcPr>
          <w:p>
            <w:pPr>
              <w:ind w:left="1360"/>
              <w:spacing w:after="0"/>
              <w:rPr>
                <w:sz w:val="20"/>
                <w:szCs w:val="20"/>
                <w:color w:val="auto"/>
              </w:rPr>
            </w:pPr>
            <w:r>
              <w:rPr>
                <w:rFonts w:ascii="Arial" w:cs="Arial" w:eastAsia="Arial" w:hAnsi="Arial"/>
                <w:sz w:val="18"/>
                <w:szCs w:val="18"/>
                <w:b w:val="1"/>
                <w:bCs w:val="1"/>
                <w:color w:val="auto"/>
              </w:rPr>
              <w:t>BTC Earned 2023</w:t>
            </w:r>
          </w:p>
        </w:tc>
        <w:tc>
          <w:tcPr>
            <w:tcW w:w="3580" w:type="dxa"/>
            <w:vAlign w:val="bottom"/>
            <w:tcBorders>
              <w:top w:val="single" w:sz="8" w:color="auto"/>
              <w:bottom w:val="single" w:sz="8" w:color="auto"/>
              <w:right w:val="single" w:sz="8" w:color="auto"/>
            </w:tcBorders>
          </w:tcPr>
          <w:p>
            <w:pPr>
              <w:ind w:left="1080"/>
              <w:spacing w:after="0"/>
              <w:rPr>
                <w:sz w:val="20"/>
                <w:szCs w:val="20"/>
                <w:color w:val="auto"/>
              </w:rPr>
            </w:pPr>
            <w:r>
              <w:rPr>
                <w:rFonts w:ascii="Arial" w:cs="Arial" w:eastAsia="Arial" w:hAnsi="Arial"/>
                <w:sz w:val="18"/>
                <w:szCs w:val="18"/>
                <w:b w:val="1"/>
                <w:bCs w:val="1"/>
                <w:color w:val="auto"/>
              </w:rPr>
              <w:t>BTC Earned 2022</w:t>
            </w:r>
          </w:p>
        </w:tc>
      </w:tr>
      <w:tr>
        <w:trPr>
          <w:trHeight w:val="209"/>
        </w:trPr>
        <w:tc>
          <w:tcPr>
            <w:tcW w:w="35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w:t>
            </w:r>
          </w:p>
        </w:tc>
        <w:tc>
          <w:tcPr>
            <w:tcW w:w="41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486</w:t>
            </w:r>
          </w:p>
        </w:tc>
        <w:tc>
          <w:tcPr>
            <w:tcW w:w="35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301</w:t>
            </w:r>
          </w:p>
        </w:tc>
      </w:tr>
      <w:tr>
        <w:trPr>
          <w:trHeight w:val="209"/>
        </w:trPr>
        <w:tc>
          <w:tcPr>
            <w:tcW w:w="35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February</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387</w:t>
            </w:r>
          </w:p>
        </w:tc>
        <w:tc>
          <w:tcPr>
            <w:tcW w:w="3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298</w:t>
            </w:r>
          </w:p>
        </w:tc>
      </w:tr>
      <w:tr>
        <w:trPr>
          <w:trHeight w:val="210"/>
        </w:trPr>
        <w:tc>
          <w:tcPr>
            <w:tcW w:w="35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March</w:t>
            </w:r>
          </w:p>
        </w:tc>
        <w:tc>
          <w:tcPr>
            <w:tcW w:w="41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424</w:t>
            </w:r>
          </w:p>
        </w:tc>
        <w:tc>
          <w:tcPr>
            <w:tcW w:w="35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363</w:t>
            </w:r>
          </w:p>
        </w:tc>
      </w:tr>
      <w:tr>
        <w:trPr>
          <w:trHeight w:val="209"/>
        </w:trPr>
        <w:tc>
          <w:tcPr>
            <w:tcW w:w="35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April</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379</w:t>
            </w:r>
          </w:p>
        </w:tc>
        <w:tc>
          <w:tcPr>
            <w:tcW w:w="3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405</w:t>
            </w:r>
          </w:p>
        </w:tc>
      </w:tr>
      <w:tr>
        <w:trPr>
          <w:trHeight w:val="210"/>
        </w:trPr>
        <w:tc>
          <w:tcPr>
            <w:tcW w:w="35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May</w:t>
            </w:r>
          </w:p>
        </w:tc>
        <w:tc>
          <w:tcPr>
            <w:tcW w:w="41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459</w:t>
            </w:r>
          </w:p>
        </w:tc>
        <w:tc>
          <w:tcPr>
            <w:tcW w:w="35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431</w:t>
            </w:r>
          </w:p>
        </w:tc>
      </w:tr>
      <w:tr>
        <w:trPr>
          <w:trHeight w:val="209"/>
        </w:trPr>
        <w:tc>
          <w:tcPr>
            <w:tcW w:w="35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June</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385</w:t>
            </w:r>
          </w:p>
        </w:tc>
        <w:tc>
          <w:tcPr>
            <w:tcW w:w="3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420</w:t>
            </w:r>
          </w:p>
        </w:tc>
      </w:tr>
      <w:tr>
        <w:trPr>
          <w:trHeight w:val="209"/>
        </w:trPr>
        <w:tc>
          <w:tcPr>
            <w:tcW w:w="35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July</w:t>
            </w:r>
          </w:p>
        </w:tc>
        <w:tc>
          <w:tcPr>
            <w:tcW w:w="41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378</w:t>
            </w:r>
          </w:p>
        </w:tc>
        <w:tc>
          <w:tcPr>
            <w:tcW w:w="35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500</w:t>
            </w:r>
          </w:p>
        </w:tc>
      </w:tr>
      <w:tr>
        <w:trPr>
          <w:trHeight w:val="210"/>
        </w:trPr>
        <w:tc>
          <w:tcPr>
            <w:tcW w:w="35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August</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383</w:t>
            </w:r>
          </w:p>
        </w:tc>
        <w:tc>
          <w:tcPr>
            <w:tcW w:w="3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534</w:t>
            </w:r>
          </w:p>
        </w:tc>
      </w:tr>
      <w:tr>
        <w:trPr>
          <w:trHeight w:val="209"/>
        </w:trPr>
        <w:tc>
          <w:tcPr>
            <w:tcW w:w="35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September</w:t>
            </w:r>
          </w:p>
        </w:tc>
        <w:tc>
          <w:tcPr>
            <w:tcW w:w="41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411</w:t>
            </w:r>
          </w:p>
        </w:tc>
        <w:tc>
          <w:tcPr>
            <w:tcW w:w="35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481</w:t>
            </w:r>
          </w:p>
        </w:tc>
      </w:tr>
      <w:tr>
        <w:trPr>
          <w:trHeight w:val="210"/>
        </w:trPr>
        <w:tc>
          <w:tcPr>
            <w:tcW w:w="35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October</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398</w:t>
            </w:r>
          </w:p>
        </w:tc>
        <w:tc>
          <w:tcPr>
            <w:tcW w:w="3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486</w:t>
            </w:r>
          </w:p>
        </w:tc>
      </w:tr>
      <w:tr>
        <w:trPr>
          <w:trHeight w:val="209"/>
        </w:trPr>
        <w:tc>
          <w:tcPr>
            <w:tcW w:w="35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YTD</w:t>
            </w:r>
          </w:p>
        </w:tc>
        <w:tc>
          <w:tcPr>
            <w:tcW w:w="41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4,090</w:t>
            </w:r>
          </w:p>
        </w:tc>
        <w:tc>
          <w:tcPr>
            <w:tcW w:w="35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4,219</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October 2023 Financial Update</w:t>
      </w:r>
    </w:p>
    <w:p>
      <w:pPr>
        <w:spacing w:after="0" w:line="22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Sold 341 BTC of the 398 BTC earned, generating total proceeds of $10.0 million.</w:t>
      </w:r>
    </w:p>
    <w:p>
      <w:pPr>
        <w:spacing w:after="0" w:line="23" w:lineRule="exact"/>
        <w:rPr>
          <w:rFonts w:ascii="Arial" w:cs="Arial" w:eastAsia="Arial" w:hAnsi="Arial"/>
          <w:sz w:val="18"/>
          <w:szCs w:val="18"/>
          <w:color w:val="auto"/>
        </w:rPr>
      </w:pPr>
    </w:p>
    <w:p>
      <w:pPr>
        <w:ind w:left="660" w:right="3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Added 57 BTC to treasury, increasing HODL to 760 BTC, representing approximately $26.0 million based on a BTC price of $34,200 at October 31, 2023.</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Initiated our Synthetic HODL™ strategy with the purchase of 35 long-dated BTC call options.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total outstanding indebtedness by $1.9 million, resulting in a remaining balance of $7.9 million at October 31,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Conferences and Events</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Bitfarms plans to attend the following upcoming events:</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November 14: Benzinga Future of Crypto, New York</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November 16: Blockchain Jungle, San Jose, Costa 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380365</wp:posOffset>
            </wp:positionV>
            <wp:extent cx="7123430" cy="16459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3430" cy="1645920"/>
                    </a:xfrm>
                    <a:prstGeom prst="rect">
                      <a:avLst/>
                    </a:prstGeom>
                    <a:noFill/>
                  </pic:spPr>
                </pic:pic>
              </a:graphicData>
            </a:graphic>
          </wp:anchor>
        </w:drawing>
        <w:t>About Bitfarms Ltd.</w:t>
      </w:r>
    </w:p>
    <w:p>
      <w:pPr>
        <w:spacing w:after="0" w:line="229" w:lineRule="exact"/>
        <w:rPr>
          <w:sz w:val="20"/>
          <w:szCs w:val="20"/>
          <w:color w:val="auto"/>
        </w:rPr>
      </w:pPr>
    </w:p>
    <w:p>
      <w:pPr>
        <w:jc w:val="both"/>
        <w:ind w:left="20" w:hanging="9"/>
        <w:spacing w:after="0" w:line="259" w:lineRule="auto"/>
        <w:rPr>
          <w:sz w:val="20"/>
          <w:szCs w:val="20"/>
          <w:color w:val="auto"/>
        </w:rPr>
      </w:pPr>
      <w:r>
        <w:rPr>
          <w:rFonts w:ascii="Arial" w:cs="Arial" w:eastAsia="Arial" w:hAnsi="Arial"/>
          <w:sz w:val="18"/>
          <w:szCs w:val="18"/>
          <w:color w:val="auto"/>
        </w:rPr>
        <w:t>Founded in 2017, Bitfarms is a global, publicly traded (NASDAQ/TSX: BITF) Bitcoin mining company that contributes its computational power to one or more mining pools from which it receives payment in Bitcoin.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spacing w:after="0" w:line="187" w:lineRule="exact"/>
        <w:rPr>
          <w:sz w:val="20"/>
          <w:szCs w:val="20"/>
          <w:color w:val="auto"/>
        </w:rPr>
      </w:pPr>
    </w:p>
    <w:p>
      <w:pPr>
        <w:jc w:val="both"/>
        <w:ind w:left="20" w:hanging="9"/>
        <w:spacing w:after="0" w:line="255" w:lineRule="auto"/>
        <w:rPr>
          <w:sz w:val="20"/>
          <w:szCs w:val="20"/>
          <w:color w:val="auto"/>
        </w:rPr>
      </w:pPr>
      <w:r>
        <w:rPr>
          <w:rFonts w:ascii="Arial" w:cs="Arial" w:eastAsia="Arial" w:hAnsi="Arial"/>
          <w:sz w:val="18"/>
          <w:szCs w:val="18"/>
          <w:color w:val="auto"/>
        </w:rPr>
        <w:t>Bitfarms currently has 11 farms, which are located in four countries: Canada, the United States, Paraguay, and Argentina. Powered by predominantly environmentally friendly hydro-electric and long-term power contracts, Bitfarms is committed to using sustainable, locally based, and often underutilized energy infrastructure.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-121920</wp:posOffset>
            </wp:positionV>
            <wp:extent cx="712343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-121920</wp:posOffset>
            </wp:positionV>
            <wp:extent cx="7123430" cy="548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3430" cy="54864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https://twitter.com/Bitfarms_io</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https://www.instagram.com/bitfarms/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https://www.linkedin.com/company/bitfarms/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Glossary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-121920</wp:posOffset>
            </wp:positionV>
            <wp:extent cx="712343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31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BTC BTC/day = Bitcoin or Bitcoin per day</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EH or EH/s = Exahash or exahash per second</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MW or MWh = Megawatts or megawatt hour</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PH or PH/s = Petahash or petahash per second</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 or TH/s = Terahash or terahash per second</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w/TH = Watts/Terahash efficiency (includes cost of powering supplementary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-1836420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-1493520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-1150620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-807720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-464820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13" w:lineRule="exact"/>
        <w:rPr>
          <w:sz w:val="20"/>
          <w:szCs w:val="20"/>
          <w:color w:val="auto"/>
        </w:rPr>
      </w:pPr>
    </w:p>
    <w:p>
      <w:pPr>
        <w:jc w:val="both"/>
        <w:ind w:left="20" w:hanging="8"/>
        <w:spacing w:after="0" w:line="263" w:lineRule="auto"/>
        <w:rPr>
          <w:sz w:val="20"/>
          <w:szCs w:val="20"/>
          <w:color w:val="auto"/>
        </w:rPr>
      </w:pPr>
      <w:r>
        <w:rPr>
          <w:rFonts w:ascii="Arial" w:cs="Arial" w:eastAsia="Arial" w:hAnsi="Arial"/>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-422275</wp:posOffset>
            </wp:positionV>
            <wp:extent cx="7123430" cy="411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343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-121920</wp:posOffset>
            </wp:positionV>
            <wp:extent cx="712343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313" w:lineRule="exact"/>
        <w:rPr>
          <w:sz w:val="20"/>
          <w:szCs w:val="20"/>
          <w:color w:val="auto"/>
        </w:rPr>
      </w:pPr>
    </w:p>
    <w:p>
      <w:pPr>
        <w:jc w:val="both"/>
        <w:ind w:left="20" w:hanging="8"/>
        <w:spacing w:after="0" w:line="269" w:lineRule="auto"/>
        <w:rPr>
          <w:sz w:val="20"/>
          <w:szCs w:val="20"/>
          <w:color w:val="auto"/>
        </w:rPr>
      </w:pPr>
      <w:r>
        <w:rPr>
          <w:rFonts w:ascii="Arial" w:cs="Arial" w:eastAsia="Arial" w:hAnsi="Arial"/>
          <w:sz w:val="17"/>
          <w:szCs w:val="17"/>
          <w:i w:val="1"/>
          <w:iCs w:val="1"/>
          <w:color w:val="auto"/>
          <w:highlight w:val="white"/>
        </w:rPr>
        <w:t xml:space="preserve">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enhancement of mining facilities, growth opportunities and prospects, including as to the Company’s </w:t>
      </w:r>
      <w:r>
        <w:rPr>
          <w:rFonts w:ascii="Arial" w:cs="Arial" w:eastAsia="Arial" w:hAnsi="Arial"/>
          <w:sz w:val="17"/>
          <w:szCs w:val="17"/>
          <w:i w:val="1"/>
          <w:iCs w:val="1"/>
          <w:color w:val="auto"/>
        </w:rPr>
        <w:t>plans to expand</w:t>
      </w:r>
      <w:r>
        <w:rPr>
          <w:rFonts w:ascii="Arial" w:cs="Arial" w:eastAsia="Arial" w:hAnsi="Arial"/>
          <w:sz w:val="17"/>
          <w:szCs w:val="17"/>
          <w:i w:val="1"/>
          <w:iCs w:val="1"/>
          <w:color w:val="auto"/>
          <w:highlight w:val="white"/>
        </w:rPr>
        <w:t xml:space="preserve"> operating capacity in multiple jurisdictions, upgrading and deployment of miners as well as the timing therefor, improved financial liquidity and performance and other statements regarding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85" w:lineRule="exact"/>
        <w:rPr>
          <w:sz w:val="20"/>
          <w:szCs w:val="20"/>
          <w:color w:val="auto"/>
        </w:rPr>
      </w:pPr>
    </w:p>
    <w:p>
      <w:pPr>
        <w:jc w:val="both"/>
        <w:ind w:left="20" w:hanging="8"/>
        <w:spacing w:after="0" w:line="257" w:lineRule="auto"/>
        <w:rPr>
          <w:sz w:val="20"/>
          <w:szCs w:val="20"/>
          <w:color w:val="auto"/>
        </w:rPr>
      </w:pPr>
      <w:r>
        <w:rPr>
          <w:rFonts w:ascii="Arial" w:cs="Arial" w:eastAsia="Arial" w:hAnsi="Arial"/>
          <w:sz w:val="18"/>
          <w:szCs w:val="18"/>
          <w:i w:val="1"/>
          <w:iCs w:val="1"/>
          <w:color w:val="auto"/>
          <w:highlight w:val="white"/>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9" w:name="page10"/>
    <w:bookmarkEnd w:id="9"/>
    <w:p>
      <w:pPr>
        <w:jc w:val="both"/>
        <w:ind w:left="20" w:hanging="8"/>
        <w:spacing w:after="0" w:line="283" w:lineRule="auto"/>
        <w:rPr>
          <w:sz w:val="20"/>
          <w:szCs w:val="20"/>
          <w:color w:val="auto"/>
        </w:rPr>
      </w:pPr>
      <w:r>
        <w:rPr>
          <w:rFonts w:ascii="Arial" w:cs="Arial" w:eastAsia="Arial" w:hAnsi="Arial"/>
          <w:sz w:val="16"/>
          <w:szCs w:val="16"/>
          <w:i w:val="1"/>
          <w:iCs w:val="1"/>
          <w:color w:val="auto"/>
          <w:highlight w:val="white"/>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availability of financing opportunities, risks associated with economic conditions, dependence on management and conflicts of interest, the ability to service debt obligations and maintain flexibility in respect of debt covenants; economic dependence on regulated terms of service and electricity rates; the speculative and competitive nature of the technology sector; dependency on continued growth in blockchain and cryptocurrency usage; lawsuits and other legal proceedings and challenges; conflict of interests with directors and management; government regulations; the global economic climate; dilution; the Company’s limited operating history; future capital needs and uncertainty of additional financing,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w:t>
      </w:r>
      <w:r>
        <w:rPr>
          <w:rFonts w:ascii="Arial" w:cs="Arial" w:eastAsia="Arial" w:hAnsi="Arial"/>
          <w:sz w:val="16"/>
          <w:szCs w:val="16"/>
          <w:color w:val="auto"/>
          <w:highlight w:val="white"/>
        </w:rPr>
        <w:t>-ended December 31, 2022, filed on March 21, 2023. The</w:t>
      </w:r>
      <w:r>
        <w:rPr>
          <w:rFonts w:ascii="Arial" w:cs="Arial" w:eastAsia="Arial" w:hAnsi="Arial"/>
          <w:sz w:val="16"/>
          <w:szCs w:val="16"/>
          <w:i w:val="1"/>
          <w:iCs w:val="1"/>
          <w:color w:val="auto"/>
          <w:highlight w:val="white"/>
        </w:rPr>
        <w:t xml:space="preserv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6579870</wp:posOffset>
            </wp:positionH>
            <wp:positionV relativeFrom="paragraph">
              <wp:posOffset>83185</wp:posOffset>
            </wp:positionV>
            <wp:extent cx="88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LHA Investor Relations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Barnard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+1 415-433-3777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Investors@bitfarms.com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Actual Agency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Khushboo Chaudhary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+1 646-373-9946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mediarelations@bitfarms.com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 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+1 418-693-2425</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lmleclerc@tactconseil.ca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wp:posOffset>
            </wp:positionV>
            <wp:extent cx="712343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2343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297180</wp:posOffset>
            </wp:positionV>
            <wp:extent cx="712343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sectPr>
      <w:pgSz w:w="11900" w:h="16838" w:orient="portrait"/>
      <w:cols w:equalWidth="0" w:num="1">
        <w:col w:w="11240"/>
      </w:cols>
      <w:pgMar w:left="320" w:top="6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o"/>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2023-11-01T15:15:15Z</dcterms:created>
  <dcterms:modified xsi:type="dcterms:W3CDTF">2023-11-01T15:15:15Z</dcterms:modified>
</cp:coreProperties>
</file>