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199390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September 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191135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177165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38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240030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548640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84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September 7, 2022,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988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Press release dated September 7, 2022</w:t>
            </w:r>
          </w:p>
        </w:tc>
      </w:tr>
      <w:tr>
        <w:trPr>
          <w:trHeight w:val="574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2" w:right="3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President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September 7, 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377190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320" w:top="796" w:right="97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168275</wp:posOffset>
            </wp:positionV>
            <wp:extent cx="2031365" cy="5314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to Participate in Upcoming Investor Conferences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 Needham 2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nd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Annual Crypto Conference, September 8 -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 H.C. Wainwright &amp; Co. 24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Annual Global Investment Conference, September 12-14 -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Toronto, Ontario and Brossard, Québec – September 7, 2022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– Bitfarms Ltd. (NASDAQ: BITF // TSX: BITF), a global Bitcoin self-mining company,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announced that members of management will participate in the following upcoming investor conferences.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Needham 2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nd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Annual Crypto Conference - Virtual</w:t>
      </w: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8, 2022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Presentation time: 3:00 pm ET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Presentation Webcast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H.C. Wainwright &amp; Co. 24th Annual Global Investment Conference – In Person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13-14, 2022, New York City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Presentation time: 9:30 am ET, September 13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Presentation Webcast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Crypto Mining Panel: September 14, 2:00 pm ET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Presentation materials and the associated webcast will be posted on the Investor Relations portion of the company's website at News &amp; Events - Bitfarms. For additional information or to schedule a one-on-one meeting with Bitfarms management, please contact your banking representative or the Bitfarms IR Team at bitfarms@lhai.com.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Founded in 2017, Bitfarms is a global, publicly traded (TSX/NASDAQ: BITF) Bitcoin self-mining company. Bitfarms runs vertically integrated mining operations with in-house management and company-owned electrical engineering, installation service, and onsite technical repair. The company’s proprietary data analytics system delivers best-in-class operational performance and accelerated uptime.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has 10 mining facilities in production and construction around the world, which are housed in Canada, Washington state, Paraguay, and Argentina. Powered by 99% environmentally friendly hydro-electrics and long-term power contracts, Bitfarms is committed to using renewable and locally based energy sources.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https://www.facebook.com/bitfarms/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https://www.linkedin.com/company/bitfarms/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Contact: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Investor Relations: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-116840</wp:posOffset>
            </wp:positionV>
            <wp:extent cx="7132320" cy="2743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Investors@bitfarms.com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365760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588645</wp:posOffset>
            </wp:positionV>
            <wp:extent cx="7132320" cy="1371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2022-09-07T15:03:34Z</dcterms:created>
  <dcterms:modified xsi:type="dcterms:W3CDTF">2022-09-07T15:03:34Z</dcterms:modified>
</cp:coreProperties>
</file>