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May 2,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14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May 2, 2022</w:t>
              </w:r>
            </w:hyperlink>
          </w:p>
        </w:tc>
      </w:tr>
      <w:tr>
        <w:trPr>
          <w:trHeight w:val="790"/>
        </w:trPr>
        <w:tc>
          <w:tcPr>
            <w:tcW w:w="136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67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100"/>
        <w:spacing w:after="0"/>
        <w:tabs>
          <w:tab w:leader="none" w:pos="76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May 2,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151765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Bitfarms Provides April 2022 Production and Mining Operations Update</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Mines 405 Bitcoins for an Average of 13.5 Bitcoins per Day -</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Increases Hashrate 600 Petahash to 3.3 EH/s -</w:t>
      </w:r>
    </w:p>
    <w:p>
      <w:pPr>
        <w:spacing w:after="0" w:line="238"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sz w:val="1"/>
          <w:szCs w:val="1"/>
          <w:color w:val="auto"/>
        </w:rPr>
        <w:drawing>
          <wp:inline distT="0" distB="0" distL="0" distR="0">
            <wp:extent cx="257175" cy="2914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 cy="291465"/>
                    </a:xfrm>
                    <a:prstGeom prst="rect">
                      <a:avLst/>
                    </a:prstGeom>
                    <a:noFill/>
                    <a:ln>
                      <a:noFill/>
                    </a:ln>
                  </pic:spPr>
                </pic:pic>
              </a:graphicData>
            </a:graphic>
          </wp:inline>
        </w:drawing>
      </w:r>
      <w:r>
        <w:rPr>
          <w:rFonts w:ascii="Arial" w:cs="Arial" w:eastAsia="Arial" w:hAnsi="Arial"/>
          <w:sz w:val="18"/>
          <w:szCs w:val="18"/>
          <w:b w:val="1"/>
          <w:bCs w:val="1"/>
          <w:color w:val="auto"/>
        </w:rPr>
        <w:t xml:space="preserve">Toronto, Ontario and Brossard, Québec (May 2,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w:t>
      </w:r>
    </w:p>
    <w:p>
      <w:pPr>
        <w:spacing w:after="0" w:line="42" w:lineRule="exact"/>
        <w:rPr>
          <w:sz w:val="20"/>
          <w:szCs w:val="20"/>
          <w:color w:val="auto"/>
        </w:rPr>
      </w:pPr>
    </w:p>
    <w:p>
      <w:pPr>
        <w:ind w:left="160" w:hanging="149"/>
        <w:spacing w:after="0"/>
        <w:tabs>
          <w:tab w:leader="none" w:pos="16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TSX: BITF</w:t>
      </w:r>
      <w:r>
        <w:rPr>
          <w:rFonts w:ascii="Arial" w:cs="Arial" w:eastAsia="Arial" w:hAnsi="Arial"/>
          <w:sz w:val="18"/>
          <w:szCs w:val="18"/>
          <w:color w:val="auto"/>
        </w:rPr>
        <w:t>), a global Bitcoin self-mining company, provided a Bitcoin (BTC) production and mining operations update for April 2022.</w:t>
      </w:r>
    </w:p>
    <w:p>
      <w:pPr>
        <w:spacing w:after="0" w:line="239" w:lineRule="exact"/>
        <w:rPr>
          <w:sz w:val="20"/>
          <w:szCs w:val="20"/>
          <w:color w:val="auto"/>
        </w:rPr>
      </w:pPr>
    </w:p>
    <w:p>
      <w:pPr>
        <w:ind w:left="20" w:hanging="8"/>
        <w:spacing w:after="0" w:line="279" w:lineRule="auto"/>
        <w:rPr>
          <w:sz w:val="20"/>
          <w:szCs w:val="20"/>
          <w:color w:val="auto"/>
        </w:rPr>
      </w:pPr>
      <w:r>
        <w:rPr>
          <w:rFonts w:ascii="Arial" w:cs="Arial" w:eastAsia="Arial" w:hAnsi="Arial"/>
          <w:sz w:val="17"/>
          <w:szCs w:val="17"/>
          <w:color w:val="auto"/>
        </w:rPr>
        <w:t>“In early April, we surpassed our 3 exahash per second goal (EH/s) with the start of production at our Leger farm, our ninth operating facility. This momentum continued throughout the month, with new miner installations driving our hashrate to over 3.3 EH/s at month-end, up 22% from 2.7 EH/s at the end of March said Emiliano Grodzki, CEO of Bitfarms. “This incremental capacity helped drive our average daily production in April to 13.5 BTC/day, up 15% from 11.7 BTC/day in March, and I’m proud to say we exited April running at over 14 BTC/day.”</w:t>
      </w:r>
    </w:p>
    <w:p>
      <w:pPr>
        <w:spacing w:after="0" w:line="158"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color w:val="auto"/>
        </w:rPr>
        <w:t>“We continue to be on track to complete the build out of Leger in May, as well as the second phase of construction at The Bunker in June. These activities are intended to bring on incremental capacity of 32 MW and, in conjunction with ongoing miner installations, are expected to add approximately 640 petahash per second (PH/s) to our online hashrate,” added Grodzki.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Production</w:t>
      </w:r>
    </w:p>
    <w:p>
      <w:pPr>
        <w:spacing w:after="0" w:line="243" w:lineRule="exact"/>
        <w:rPr>
          <w:sz w:val="20"/>
          <w:szCs w:val="20"/>
          <w:color w:val="auto"/>
        </w:rPr>
      </w:pPr>
    </w:p>
    <w:p>
      <w:pPr>
        <w:ind w:left="660" w:hanging="33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 EH/s online, up from 2.7 EH/s as of March 31, 2022.</w:t>
      </w:r>
    </w:p>
    <w:p>
      <w:pPr>
        <w:spacing w:after="0" w:line="23" w:lineRule="exact"/>
        <w:rPr>
          <w:rFonts w:ascii="Arial" w:cs="Arial" w:eastAsia="Arial" w:hAnsi="Arial"/>
          <w:sz w:val="18"/>
          <w:szCs w:val="18"/>
          <w:color w:val="auto"/>
        </w:rPr>
      </w:pPr>
    </w:p>
    <w:p>
      <w:pPr>
        <w:ind w:left="660" w:hanging="33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405 new BTC mined during April 2022, up 75% from April 2021.</w:t>
      </w:r>
    </w:p>
    <w:p>
      <w:pPr>
        <w:spacing w:after="0" w:line="22" w:lineRule="exact"/>
        <w:rPr>
          <w:rFonts w:ascii="Arial" w:cs="Arial" w:eastAsia="Arial" w:hAnsi="Arial"/>
          <w:sz w:val="18"/>
          <w:szCs w:val="18"/>
          <w:color w:val="auto"/>
        </w:rPr>
      </w:pPr>
    </w:p>
    <w:p>
      <w:pPr>
        <w:ind w:left="660" w:hanging="334"/>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13.5 BTC mined daily on average in April, equivalent to about US$520,000 per day and approximately US$15.6 million for the month based on a BTC price of US$38,500 on April 30, 2022.</w:t>
      </w:r>
    </w:p>
    <w:p>
      <w:pPr>
        <w:ind w:left="660" w:hanging="33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403 BTC from mining operations deposited into custody in April.</w:t>
      </w:r>
    </w:p>
    <w:p>
      <w:pPr>
        <w:spacing w:after="0" w:line="75" w:lineRule="exact"/>
        <w:rPr>
          <w:rFonts w:ascii="Arial" w:cs="Arial" w:eastAsia="Arial" w:hAnsi="Arial"/>
          <w:sz w:val="18"/>
          <w:szCs w:val="18"/>
          <w:color w:val="auto"/>
        </w:rPr>
      </w:pPr>
    </w:p>
    <w:p>
      <w:pPr>
        <w:ind w:left="660" w:hanging="334"/>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5,646 BTC in custody on April 30, 2022, representing a total value of approximately US$217 million based on a BTC price of US$38,500.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382270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868"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Mining Operations</w:t>
      </w:r>
    </w:p>
    <w:p>
      <w:pPr>
        <w:spacing w:after="0" w:line="229" w:lineRule="exact"/>
        <w:rPr>
          <w:sz w:val="20"/>
          <w:szCs w:val="20"/>
          <w:color w:val="auto"/>
        </w:rPr>
      </w:pPr>
    </w:p>
    <w:p>
      <w:pPr>
        <w:ind w:left="640" w:hanging="334"/>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production at the Leger site in City of Sherbrooke, Québec, increasing total farms in production to nine and increasing operational capacity by 16 megawatts (MW) of its planned total of 30 MW of capacity.</w:t>
      </w:r>
    </w:p>
    <w:p>
      <w:pPr>
        <w:spacing w:after="0" w:line="1" w:lineRule="exact"/>
        <w:rPr>
          <w:rFonts w:ascii="Arial" w:cs="Arial" w:eastAsia="Arial" w:hAnsi="Arial"/>
          <w:sz w:val="18"/>
          <w:szCs w:val="18"/>
          <w:color w:val="auto"/>
        </w:rPr>
      </w:pPr>
    </w:p>
    <w:p>
      <w:pPr>
        <w:ind w:left="640" w:hanging="33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5,900 new miners were installed, adding more than 590 PH/s to Bitfarms’ online hashrate.</w:t>
      </w:r>
    </w:p>
    <w:p>
      <w:pPr>
        <w:spacing w:after="0" w:line="9" w:lineRule="exact"/>
        <w:rPr>
          <w:rFonts w:ascii="Arial" w:cs="Arial" w:eastAsia="Arial" w:hAnsi="Arial"/>
          <w:sz w:val="18"/>
          <w:szCs w:val="18"/>
          <w:color w:val="auto"/>
        </w:rPr>
      </w:pPr>
    </w:p>
    <w:p>
      <w:pPr>
        <w:ind w:left="640" w:hanging="33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total electrical capacity by 16 MW to 137 MW.</w:t>
      </w:r>
    </w:p>
    <w:p>
      <w:pPr>
        <w:spacing w:after="0" w:line="22" w:lineRule="exact"/>
        <w:rPr>
          <w:rFonts w:ascii="Arial" w:cs="Arial" w:eastAsia="Arial" w:hAnsi="Arial"/>
          <w:sz w:val="18"/>
          <w:szCs w:val="18"/>
          <w:color w:val="auto"/>
        </w:rPr>
      </w:pPr>
    </w:p>
    <w:p>
      <w:pPr>
        <w:jc w:val="both"/>
        <w:ind w:left="640" w:hanging="334"/>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Officially launched the Company’s revamped proprietary miner management system that has been in beta test for the last 9 months. The new management software features improved controls, tracking, sensors, alarms, visualizations, and performance metrics, giving the Company the capability to manage and track the individual performance of hundreds of thousands of miners across its globally decentralized mining farms with a focus on maximizing uptime.</w:t>
      </w:r>
    </w:p>
    <w:p>
      <w:pPr>
        <w:spacing w:after="0" w:line="38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Bitfarms’ BTC 2022 Monthly Production</w:t>
      </w:r>
    </w:p>
    <w:p>
      <w:pPr>
        <w:spacing w:after="0" w:line="212" w:lineRule="exact"/>
        <w:rPr>
          <w:sz w:val="20"/>
          <w:szCs w:val="20"/>
          <w:color w:val="auto"/>
        </w:rPr>
      </w:pPr>
    </w:p>
    <w:tbl>
      <w:tblPr>
        <w:tblLayout w:type="fixed"/>
        <w:tblInd w:w="430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Month</w:t>
            </w:r>
          </w:p>
        </w:tc>
        <w:tc>
          <w:tcPr>
            <w:tcW w:w="11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BTC</w:t>
            </w:r>
          </w:p>
        </w:tc>
      </w:tr>
      <w:tr>
        <w:trPr>
          <w:trHeight w:val="222"/>
        </w:trPr>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January</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301</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February</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298</w:t>
            </w:r>
          </w:p>
        </w:tc>
      </w:tr>
      <w:tr>
        <w:trPr>
          <w:trHeight w:val="216"/>
        </w:trPr>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March</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363</w:t>
            </w:r>
          </w:p>
        </w:tc>
      </w:tr>
      <w:tr>
        <w:trPr>
          <w:trHeight w:val="230"/>
        </w:trPr>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April</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405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hanging="8"/>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hanging="10"/>
        <w:spacing w:after="0" w:line="301" w:lineRule="auto"/>
        <w:rPr>
          <w:sz w:val="20"/>
          <w:szCs w:val="20"/>
          <w:color w:val="auto"/>
        </w:rPr>
      </w:pPr>
      <w:r>
        <w:rPr>
          <w:rFonts w:ascii="Arial" w:cs="Arial" w:eastAsia="Arial" w:hAnsi="Arial"/>
          <w:sz w:val="16"/>
          <w:szCs w:val="16"/>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157" w:lineRule="exact"/>
        <w:rPr>
          <w:sz w:val="20"/>
          <w:szCs w:val="20"/>
          <w:color w:val="auto"/>
        </w:rPr>
      </w:pPr>
    </w:p>
    <w:p>
      <w:pPr>
        <w:jc w:val="both"/>
        <w:ind w:hanging="10"/>
        <w:spacing w:after="0" w:line="277" w:lineRule="auto"/>
        <w:rPr>
          <w:sz w:val="20"/>
          <w:szCs w:val="20"/>
          <w:color w:val="auto"/>
        </w:rPr>
      </w:pPr>
      <w:r>
        <w:rPr>
          <w:rFonts w:ascii="Arial" w:cs="Arial" w:eastAsia="Arial" w:hAnsi="Arial"/>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term power contracts. Bitfarms is currently the only publicly traded pure-play mining company audited by a Big Four accounting firm.</w:t>
      </w:r>
    </w:p>
    <w:p>
      <w:pPr>
        <w:spacing w:after="0" w:line="239" w:lineRule="exact"/>
        <w:rPr>
          <w:sz w:val="20"/>
          <w:szCs w:val="20"/>
          <w:color w:val="auto"/>
        </w:rPr>
      </w:pPr>
    </w:p>
    <w:p>
      <w:pPr>
        <w:ind w:right="3280"/>
        <w:spacing w:after="0" w:line="263" w:lineRule="auto"/>
        <w:rPr>
          <w:sz w:val="20"/>
          <w:szCs w:val="20"/>
          <w:color w:val="auto"/>
        </w:rPr>
      </w:pPr>
      <w:r>
        <w:rPr>
          <w:rFonts w:ascii="Arial" w:cs="Arial" w:eastAsia="Arial" w:hAnsi="Arial"/>
          <w:sz w:val="18"/>
          <w:szCs w:val="18"/>
          <w:color w:val="auto"/>
        </w:rPr>
        <w:t>To learn more about Bitfarms’ events, developments, and online communities: Website: www.bitfarms.com https://www.facebook.com/bitfarms/ https://twitter.com/Bitfarms_io https://www.instagram.com/bitfarms/ 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211455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79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ind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9" w:lineRule="exact"/>
        <w:rPr>
          <w:sz w:val="20"/>
          <w:szCs w:val="20"/>
          <w:color w:val="auto"/>
        </w:rPr>
      </w:pPr>
    </w:p>
    <w:p>
      <w:pPr>
        <w:jc w:val="both"/>
        <w:ind w:hanging="8"/>
        <w:spacing w:after="0" w:line="289"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regarding the build out of Leger and construction at The Bunker</w:t>
      </w:r>
      <w:r>
        <w:rPr>
          <w:rFonts w:ascii="Arial" w:cs="Arial" w:eastAsia="Arial" w:hAnsi="Arial"/>
          <w:sz w:val="16"/>
          <w:szCs w:val="16"/>
          <w:color w:val="auto"/>
        </w:rPr>
        <w:t>,</w:t>
      </w:r>
      <w:r>
        <w:rPr>
          <w:rFonts w:ascii="Arial" w:cs="Arial" w:eastAsia="Arial" w:hAnsi="Arial"/>
          <w:sz w:val="16"/>
          <w:szCs w:val="16"/>
          <w:i w:val="1"/>
          <w:iCs w:val="1"/>
          <w:color w:val="auto"/>
        </w:rPr>
        <w:t xml:space="preserve"> the benefits of acquiring and holding Bitcoin, its future rate of Bitcoin production, its future accumulation of Bitcoin, its expansion plans in general,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6" w:lineRule="exact"/>
        <w:rPr>
          <w:sz w:val="20"/>
          <w:szCs w:val="20"/>
          <w:color w:val="auto"/>
        </w:rPr>
      </w:pPr>
    </w:p>
    <w:p>
      <w:pPr>
        <w:jc w:val="both"/>
        <w:ind w:hanging="8"/>
        <w:spacing w:after="0" w:line="26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391160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584" w:right="439" w:bottom="1440" w:gutter="0" w:footer="0" w:header="0"/>
        </w:sectPr>
      </w:pPr>
    </w:p>
    <w:bookmarkStart w:id="7" w:name="page8"/>
    <w:bookmarkEnd w:id="7"/>
    <w:p>
      <w:pPr>
        <w:jc w:val="both"/>
        <w:ind w:right="20" w:hanging="8"/>
        <w:spacing w:after="0" w:line="267" w:lineRule="auto"/>
        <w:rPr>
          <w:sz w:val="20"/>
          <w:szCs w:val="20"/>
          <w:color w:val="auto"/>
        </w:rPr>
      </w:pPr>
      <w:r>
        <w:rPr>
          <w:rFonts w:ascii="Arial" w:cs="Arial" w:eastAsia="Arial" w:hAnsi="Arial"/>
          <w:sz w:val="17"/>
          <w:szCs w:val="17"/>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w:t>
      </w:r>
    </w:p>
    <w:p>
      <w:pPr>
        <w:spacing w:after="0" w:line="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 mia@yapglobal.com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426085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40"/>
      </w:cols>
      <w:pgMar w:left="440" w:top="8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2022-05-02T15:36:22Z</dcterms:created>
  <dcterms:modified xsi:type="dcterms:W3CDTF">2022-05-02T15:36:22Z</dcterms:modified>
</cp:coreProperties>
</file>