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09173B107</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(Rule 13d-102)</w:t>
      </w:r>
    </w:p>
    <w:p>
      <w:pPr>
        <w:spacing w:after="0" w:line="225" w:lineRule="exact"/>
        <w:rPr>
          <w:sz w:val="24"/>
          <w:szCs w:val="24"/>
          <w:color w:val="auto"/>
        </w:rPr>
      </w:pPr>
    </w:p>
    <w:p>
      <w:pPr>
        <w:jc w:val="center"/>
        <w:ind w:left="500" w:right="258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color w:val="auto"/>
        </w:rPr>
        <w:t>Bitfarms Ltd.</w:t>
      </w:r>
    </w:p>
    <w:p>
      <w:pPr>
        <w:spacing w:after="0" w:line="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Common Shares, no par value</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09173B107</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500" w:hanging="8"/>
        <w:spacing w:after="0" w:line="226" w:lineRule="exact"/>
        <w:tabs>
          <w:tab w:leader="none" w:pos="5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4"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83"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1140" w:right="7320" w:hanging="670"/>
        <w:spacing w:after="0" w:line="399"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CVI Investments, Inc.</w:t>
      </w:r>
    </w:p>
    <w:p>
      <w:pPr>
        <w:ind w:left="1140" w:hanging="670"/>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ind w:left="1140" w:hanging="670"/>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9" w:lineRule="exact"/>
        <w:rPr>
          <w:rFonts w:ascii="Times New Roman" w:cs="Times New Roman" w:eastAsia="Times New Roman" w:hAnsi="Times New Roman"/>
          <w:sz w:val="18"/>
          <w:szCs w:val="18"/>
          <w:color w:val="auto"/>
        </w:rPr>
      </w:pPr>
    </w:p>
    <w:p>
      <w:pPr>
        <w:ind w:left="1140" w:right="6420" w:hanging="670"/>
        <w:spacing w:after="0" w:line="399"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260" w:hanging="565"/>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52"/>
        </w:trPr>
        <w:tc>
          <w:tcPr>
            <w:tcW w:w="14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(6)SHARED VOTING POWER **</w:t>
            </w:r>
          </w:p>
        </w:tc>
        <w:tc>
          <w:tcPr>
            <w:tcW w:w="0" w:type="dxa"/>
            <w:vAlign w:val="bottom"/>
          </w:tcPr>
          <w:p>
            <w:pPr>
              <w:spacing w:after="0"/>
              <w:rPr>
                <w:sz w:val="1"/>
                <w:szCs w:val="1"/>
                <w:color w:val="auto"/>
              </w:rPr>
            </w:pPr>
          </w:p>
        </w:tc>
      </w:tr>
      <w:tr>
        <w:trPr>
          <w:trHeight w:val="11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20" w:type="dxa"/>
            <w:vAlign w:val="bottom"/>
            <w:vMerge w:val="restart"/>
          </w:tcPr>
          <w:p>
            <w:pPr>
              <w:spacing w:after="0"/>
              <w:rPr>
                <w:sz w:val="18"/>
                <w:szCs w:val="18"/>
                <w:color w:val="auto"/>
              </w:rPr>
            </w:pPr>
          </w:p>
        </w:tc>
        <w:tc>
          <w:tcPr>
            <w:tcW w:w="95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9,259,260</w:t>
            </w:r>
          </w:p>
        </w:tc>
        <w:tc>
          <w:tcPr>
            <w:tcW w:w="0" w:type="dxa"/>
            <w:vAlign w:val="bottom"/>
          </w:tcPr>
          <w:p>
            <w:pPr>
              <w:spacing w:after="0"/>
              <w:rPr>
                <w:sz w:val="1"/>
                <w:szCs w:val="1"/>
                <w:color w:val="auto"/>
              </w:rPr>
            </w:pPr>
          </w:p>
        </w:tc>
      </w:tr>
      <w:tr>
        <w:trPr>
          <w:trHeight w:val="118"/>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vMerge w:val="continue"/>
          </w:tcPr>
          <w:p>
            <w:pPr>
              <w:spacing w:after="0"/>
              <w:rPr>
                <w:sz w:val="9"/>
                <w:szCs w:val="9"/>
                <w:color w:val="auto"/>
              </w:rPr>
            </w:pPr>
          </w:p>
        </w:tc>
        <w:tc>
          <w:tcPr>
            <w:tcW w:w="9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(7)SOLE DISPOSITIVE POWER</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97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PERSON WITH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4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60" w:right="6220" w:hanging="565"/>
        <w:spacing w:after="0" w:line="387"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 9,259,260</w:t>
      </w:r>
    </w:p>
    <w:p>
      <w:pPr>
        <w:ind w:left="1140" w:right="3540" w:hanging="670"/>
        <w:spacing w:after="0" w:line="399"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9,259,260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40" w:hanging="71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sz w:val="20"/>
          <w:szCs w:val="20"/>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p>
      <w:pPr>
        <w:ind w:left="1140" w:hanging="712"/>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1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49" w:lineRule="exact"/>
        <w:rPr>
          <w:rFonts w:ascii="Times New Roman" w:cs="Times New Roman" w:eastAsia="Times New Roman" w:hAnsi="Times New Roman"/>
          <w:sz w:val="18"/>
          <w:szCs w:val="18"/>
          <w:color w:val="auto"/>
        </w:rPr>
      </w:pPr>
    </w:p>
    <w:p>
      <w:pPr>
        <w:ind w:left="1140" w:right="5760" w:hanging="715"/>
        <w:spacing w:after="0" w:line="508"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1140" w:right="7320" w:hanging="670"/>
        <w:spacing w:after="0" w:line="422"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Heights Capital Management, Inc.</w:t>
      </w:r>
    </w:p>
    <w:p>
      <w:pPr>
        <w:spacing w:after="0" w:line="1" w:lineRule="exact"/>
        <w:rPr>
          <w:rFonts w:ascii="Times New Roman" w:cs="Times New Roman" w:eastAsia="Times New Roman" w:hAnsi="Times New Roman"/>
          <w:sz w:val="17"/>
          <w:szCs w:val="17"/>
          <w:color w:val="auto"/>
        </w:rPr>
      </w:pPr>
    </w:p>
    <w:p>
      <w:pPr>
        <w:ind w:left="1140" w:hanging="670"/>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ind w:left="1140" w:hanging="670"/>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9" w:lineRule="exact"/>
        <w:rPr>
          <w:rFonts w:ascii="Times New Roman" w:cs="Times New Roman" w:eastAsia="Times New Roman" w:hAnsi="Times New Roman"/>
          <w:sz w:val="18"/>
          <w:szCs w:val="18"/>
          <w:color w:val="auto"/>
        </w:rPr>
      </w:pPr>
    </w:p>
    <w:p>
      <w:pPr>
        <w:ind w:left="1140" w:right="6420" w:hanging="670"/>
        <w:spacing w:after="0" w:line="399"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2260" w:hanging="565"/>
        <w:spacing w:after="0"/>
        <w:tabs>
          <w:tab w:leader="none" w:pos="2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0</w:t>
      </w:r>
    </w:p>
    <w:tbl>
      <w:tblPr>
        <w:tblLayout w:type="fixed"/>
        <w:tblInd w:w="0" w:type="dxa"/>
        <w:tblCellMar>
          <w:top w:w="0" w:type="dxa"/>
          <w:left w:w="0" w:type="dxa"/>
          <w:bottom w:w="0" w:type="dxa"/>
          <w:right w:w="0" w:type="dxa"/>
        </w:tblCellMar>
      </w:tblPr>
      <w:tr>
        <w:trPr>
          <w:trHeight w:val="52"/>
        </w:trPr>
        <w:tc>
          <w:tcPr>
            <w:tcW w:w="14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(6)SHARED VOTING POWER **</w:t>
            </w:r>
          </w:p>
        </w:tc>
        <w:tc>
          <w:tcPr>
            <w:tcW w:w="0" w:type="dxa"/>
            <w:vAlign w:val="bottom"/>
          </w:tcPr>
          <w:p>
            <w:pPr>
              <w:spacing w:after="0"/>
              <w:rPr>
                <w:sz w:val="1"/>
                <w:szCs w:val="1"/>
                <w:color w:val="auto"/>
              </w:rPr>
            </w:pPr>
          </w:p>
        </w:tc>
      </w:tr>
      <w:tr>
        <w:trPr>
          <w:trHeight w:val="11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20" w:type="dxa"/>
            <w:vAlign w:val="bottom"/>
            <w:vMerge w:val="restart"/>
          </w:tcPr>
          <w:p>
            <w:pPr>
              <w:spacing w:after="0"/>
              <w:rPr>
                <w:sz w:val="18"/>
                <w:szCs w:val="18"/>
                <w:color w:val="auto"/>
              </w:rPr>
            </w:pPr>
          </w:p>
        </w:tc>
        <w:tc>
          <w:tcPr>
            <w:tcW w:w="95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9,259,260</w:t>
            </w:r>
          </w:p>
        </w:tc>
        <w:tc>
          <w:tcPr>
            <w:tcW w:w="0" w:type="dxa"/>
            <w:vAlign w:val="bottom"/>
          </w:tcPr>
          <w:p>
            <w:pPr>
              <w:spacing w:after="0"/>
              <w:rPr>
                <w:sz w:val="1"/>
                <w:szCs w:val="1"/>
                <w:color w:val="auto"/>
              </w:rPr>
            </w:pPr>
          </w:p>
        </w:tc>
      </w:tr>
      <w:tr>
        <w:trPr>
          <w:trHeight w:val="118"/>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vMerge w:val="continue"/>
          </w:tcPr>
          <w:p>
            <w:pPr>
              <w:spacing w:after="0"/>
              <w:rPr>
                <w:sz w:val="9"/>
                <w:szCs w:val="9"/>
                <w:color w:val="auto"/>
              </w:rPr>
            </w:pPr>
          </w:p>
        </w:tc>
        <w:tc>
          <w:tcPr>
            <w:tcW w:w="9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9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(7)SOLE DISPOSITIVE POWER</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97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480" w:type="dxa"/>
            <w:vAlign w:val="bottom"/>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PERSON WITH</w:t>
            </w:r>
          </w:p>
        </w:tc>
        <w:tc>
          <w:tcPr>
            <w:tcW w:w="9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4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60" w:right="6220" w:hanging="565"/>
        <w:spacing w:after="0" w:line="387" w:lineRule="auto"/>
        <w:tabs>
          <w:tab w:leader="none" w:pos="2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 9,259,260</w:t>
      </w:r>
    </w:p>
    <w:p>
      <w:pPr>
        <w:ind w:left="1140" w:right="3540" w:hanging="670"/>
        <w:spacing w:after="0" w:line="399"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9,259,260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40" w:hanging="71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11" w:lineRule="exact"/>
        <w:rPr>
          <w:sz w:val="20"/>
          <w:szCs w:val="20"/>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p>
      <w:pPr>
        <w:ind w:left="1140" w:hanging="712"/>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1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49" w:lineRule="exact"/>
        <w:rPr>
          <w:rFonts w:ascii="Times New Roman" w:cs="Times New Roman" w:eastAsia="Times New Roman" w:hAnsi="Times New Roman"/>
          <w:sz w:val="18"/>
          <w:szCs w:val="18"/>
          <w:color w:val="auto"/>
        </w:rPr>
      </w:pPr>
    </w:p>
    <w:p>
      <w:pPr>
        <w:ind w:left="1140" w:right="5760" w:hanging="715"/>
        <w:spacing w:after="0" w:line="508"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Yonge Street, Suite 1601, Toronto, Ontario, M5C 1T4, Canada</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statement is filed by the entities listed below, who are collectively referred to herein as “Reporting Persons,” with respect to the common shares of the Company, no par value (the “Shares”).</w:t>
      </w:r>
    </w:p>
    <w:p>
      <w:pPr>
        <w:spacing w:after="0" w:line="162"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CVI Investments, Inc.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business office of CVI Investments, Inc.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309GT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Church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George 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business office of Heights Capital Management, Inc.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California Street, Suite 3250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color w:val="auto"/>
        </w:rPr>
        <w:t>Citizenship</w:t>
      </w:r>
    </w:p>
    <w:p>
      <w:pPr>
        <w:spacing w:after="0" w:line="225"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Citizenship is set forth in Row 4 of the cover page for each Reporting Person hereto and is incorporated herein by reference for each such Reporting Person.</w:t>
      </w:r>
    </w:p>
    <w:p>
      <w:pPr>
        <w:spacing w:after="0" w:line="162"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shares, no par value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color w:val="auto"/>
        </w:rPr>
        <w:t>CUSIP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198" w:lineRule="exact"/>
        <w:rPr>
          <w:sz w:val="20"/>
          <w:szCs w:val="20"/>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11" w:lineRule="exact"/>
        <w:rPr>
          <w:rFonts w:ascii="Times New Roman" w:cs="Times New Roman" w:eastAsia="Times New Roman" w:hAnsi="Times New Roman"/>
          <w:sz w:val="18"/>
          <w:szCs w:val="18"/>
          <w:color w:val="auto"/>
        </w:rPr>
      </w:pPr>
    </w:p>
    <w:p>
      <w:pPr>
        <w:ind w:left="660" w:right="40" w:hanging="652"/>
        <w:spacing w:after="0" w:line="245" w:lineRule="exact"/>
        <w:tabs>
          <w:tab w:leader="none" w:pos="417"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1"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420" w:hanging="412"/>
        <w:spacing w:after="0" w:line="207" w:lineRule="exact"/>
        <w:tabs>
          <w:tab w:leader="none" w:pos="42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________________</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for each Reporting Person hereto and is incorporated herein by reference for each such Reporting Person.</w:t>
      </w:r>
    </w:p>
    <w:p>
      <w:pPr>
        <w:spacing w:after="0" w:line="162" w:lineRule="exact"/>
        <w:rPr>
          <w:sz w:val="20"/>
          <w:szCs w:val="20"/>
          <w:color w:val="auto"/>
        </w:rPr>
      </w:pPr>
    </w:p>
    <w:p>
      <w:pPr>
        <w:ind w:left="660" w:right="820"/>
        <w:spacing w:after="0" w:line="282" w:lineRule="auto"/>
        <w:rPr>
          <w:sz w:val="20"/>
          <w:szCs w:val="20"/>
          <w:color w:val="auto"/>
        </w:rPr>
      </w:pPr>
      <w:r>
        <w:rPr>
          <w:rFonts w:ascii="Times New Roman" w:cs="Times New Roman" w:eastAsia="Times New Roman" w:hAnsi="Times New Roman"/>
          <w:sz w:val="18"/>
          <w:szCs w:val="18"/>
          <w:color w:val="auto"/>
        </w:rPr>
        <w:t>The number of Shares reported as beneficially owned consists of Shares issuable upon the exercise of warrants to purchase Shares (the “Warrants”).</w:t>
      </w:r>
    </w:p>
    <w:p>
      <w:pPr>
        <w:spacing w:after="0" w:line="16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Amendment No. 3 to the Company’s Registration Statement on Form F-10 (Registration No. 333-272989), filed on November 20, 2023, indicates there were 277,684,000 Shares outstanding as of that date. In addition, the Company’s Report of Foreign Private Issuer on Form 6-K, filed on November 29, 2023, indicates the Company issued a total of 44,444,446 Shares in connection with the offering of Shares referred to therein (excluding Shares underlying warrants issued at the same time).</w:t>
      </w:r>
    </w:p>
    <w:p>
      <w:pPr>
        <w:spacing w:after="0" w:line="180"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firstLine="82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920" w:hanging="890"/>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225" w:lineRule="exact"/>
        <w:rPr>
          <w:sz w:val="20"/>
          <w:szCs w:val="20"/>
          <w:color w:val="auto"/>
        </w:rPr>
      </w:pPr>
    </w:p>
    <w:p>
      <w:pPr>
        <w:ind w:right="260" w:firstLine="824"/>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60" w:firstLine="8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12, 2024</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CVI INVESTMENTS,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HEIGHTS CAPITAL MANAGEMENT,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Heights Capital Management, Inc. pursuant to a Limited Power of</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Attorney, a copy of which was previously filed</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Secretary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09173B107</w:t>
      </w:r>
    </w:p>
    <w:p>
      <w:pPr>
        <w:spacing w:after="0" w:line="221"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Limited Power of Attorney*</w:t>
        </w:r>
      </w:hyperlink>
    </w:p>
    <w:p>
      <w:pPr>
        <w:spacing w:after="0" w:line="23" w:lineRule="exact"/>
        <w:rPr>
          <w:sz w:val="20"/>
          <w:szCs w:val="20"/>
          <w:color w:val="auto"/>
        </w:rPr>
      </w:pPr>
    </w:p>
    <w:p>
      <w:pPr>
        <w:ind w:right="7239" w:firstLine="8"/>
        <w:spacing w:after="0" w:line="511" w:lineRule="auto"/>
        <w:tabs>
          <w:tab w:leader="none" w:pos="1134" w:val="left"/>
        </w:tabs>
        <w:numPr>
          <w:ilvl w:val="0"/>
          <w:numId w:val="18"/>
        </w:numPr>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Joint Filing Agreement*</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3"/>
    </w:lvl>
    <w:lvl w:ilvl="1">
      <w:lvlJc w:val="left"/>
      <w:lvlText w:val="(%2)"/>
      <w:numFmt w:val="decimal"/>
      <w:start w:val="5"/>
    </w:lvl>
  </w:abstractNum>
  <w:abstractNum w:abstractNumId="3">
    <w:nsid w:val="1F16E9E8"/>
    <w:multiLevelType w:val="hybridMultilevel"/>
    <w:lvl w:ilvl="0">
      <w:lvlJc w:val="left"/>
      <w:lvlText w:val="%1"/>
      <w:numFmt w:val="decimal"/>
      <w:start w:val="1"/>
    </w:lvl>
    <w:lvl w:ilvl="1">
      <w:lvlJc w:val="left"/>
      <w:lvlText w:val="(%2)"/>
      <w:numFmt w:val="decimal"/>
      <w:start w:val="8"/>
    </w:lvl>
  </w:abstractNum>
  <w:abstractNum w:abstractNumId="4">
    <w:nsid w:val="1190CDE7"/>
    <w:multiLevelType w:val="hybridMultilevel"/>
    <w:lvl w:ilvl="0">
      <w:lvlJc w:val="left"/>
      <w:lvlText w:val="(%1)"/>
      <w:numFmt w:val="decimal"/>
      <w:start w:val="9"/>
    </w:lvl>
    <w:lvl w:ilvl="1">
      <w:lvlJc w:val="left"/>
      <w:lvlText w:val="%2"/>
      <w:numFmt w:val="decimal"/>
      <w:start w:val="1"/>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
      <w:numFmt w:val="bullet"/>
      <w:start w:val="1"/>
    </w:lvl>
    <w:lvl w:ilvl="1">
      <w:lvlJc w:val="left"/>
      <w:lvlText w:val="(%2)"/>
      <w:numFmt w:val="decimal"/>
      <w:start w:val="1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3"/>
    </w:lvl>
    <w:lvl w:ilvl="1">
      <w:lvlJc w:val="left"/>
      <w:lvlText w:val="(%2)"/>
      <w:numFmt w:val="decimal"/>
      <w:start w:val="5"/>
    </w:lvl>
  </w:abstractNum>
  <w:abstractNum w:abstractNumId="9">
    <w:nsid w:val="DED7263"/>
    <w:multiLevelType w:val="hybridMultilevel"/>
    <w:lvl w:ilvl="0">
      <w:lvlJc w:val="left"/>
      <w:lvlText w:val="%1"/>
      <w:numFmt w:val="decimal"/>
      <w:start w:val="1"/>
    </w:lvl>
    <w:lvl w:ilvl="1">
      <w:lvlJc w:val="left"/>
      <w:lvlText w:val="(%2)"/>
      <w:numFmt w:val="decimal"/>
      <w:start w:val="8"/>
    </w:lvl>
  </w:abstractNum>
  <w:abstractNum w:abstractNumId="10">
    <w:nsid w:val="7FDCC233"/>
    <w:multiLevelType w:val="hybridMultilevel"/>
    <w:lvl w:ilvl="0">
      <w:lvlJc w:val="left"/>
      <w:lvlText w:val="(%1)"/>
      <w:numFmt w:val="decimal"/>
      <w:start w:val="9"/>
    </w:lvl>
    <w:lvl w:ilvl="1">
      <w:lvlJc w:val="left"/>
      <w:lvlText w:val="%2"/>
      <w:numFmt w:val="decimal"/>
      <w:start w:val="1"/>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
      <w:numFmt w:val="bullet"/>
      <w:start w:val="1"/>
    </w:lvl>
    <w:lvl w:ilvl="1">
      <w:lvlJc w:val="left"/>
      <w:lvlText w:val="(%2)"/>
      <w:numFmt w:val="decimal"/>
      <w:start w:val="1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I"/>
      <w:numFmt w:val="bullet"/>
      <w:start w:val="1"/>
    </w:lvl>
  </w:abstractNum>
  <w:abstractNum w:abstractNumId="17">
    <w:nsid w:val="431BD7B7"/>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1" Type="http://schemas.openxmlformats.org/officeDocument/2006/relationships/hyperlink" Target="https://www.sec.gov/Archives/edgar/data/1649553/000110465923122761/tm2331906d1_sc13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2024-02-14T13:19:45Z</dcterms:created>
  <dcterms:modified xsi:type="dcterms:W3CDTF">2024-02-14T13:19:45Z</dcterms:modified>
</cp:coreProperties>
</file>