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704723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8"/>
                </w:rPr>
                <w:t>Duso Wayne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Keel Infrastructure Corp.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KEEL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 BROADWAY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1075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10004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04/02/2026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101,010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101,010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("RSU") represents a contingent right to receive one common share or an equivalent value in cash at the issuer's election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3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RSUs will vest on the first year anniversary of the grant, on April 2, 2027.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Silverstein, as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20045" TargetMode="External"/><Relationship Id="rId14" Type="http://schemas.openxmlformats.org/officeDocument/2006/relationships/hyperlink" Target="http://www.sec.gov/cgi-bin/browse-edgar?action=getcompany&amp;CIK=00018124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2026-04-06T15:53:44Z</dcterms:created>
  <dcterms:modified xsi:type="dcterms:W3CDTF">2026-04-06T15:53:44Z</dcterms:modified>
</cp:coreProperties>
</file>