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13434-6k_bitfarms.htm"/>
      <w:bookmarkStart w:id="1" w:name="ksea02134346k_bitfarms"/>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2024</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001-40370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979"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 Yonge Street, Suite 1601, Toronto, Ontario, Canada M5C 1T4</w:t>
      </w:r>
    </w:p>
    <w:p>
      <w:pPr>
        <w:pStyle w:val="TextBody"/>
        <w:bidi w:val="0"/>
        <w:spacing w:before="0" w:after="0"/>
        <w:ind w:left="979" w:right="979"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979" w:right="977"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979" w:right="977" w:hanging="0"/>
        <w:jc w:val="center"/>
        <w:rPr>
          <w:caps w:val="false"/>
          <w:smallCaps w:val="false"/>
        </w:rPr>
      </w:pPr>
      <w:r>
        <w:rPr>
          <w:caps w:val="false"/>
          <w:smallCaps w:val="false"/>
        </w:rPr>
        <w:t> </w:t>
      </w:r>
    </w:p>
    <w:p>
      <w:pPr>
        <w:pStyle w:val="TextBody"/>
        <w:bidi w:val="0"/>
        <w:spacing w:before="0" w:after="0"/>
        <w:ind w:left="979" w:right="97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INCLUDED AS PART OF THIS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On September 4, 2024, the Registrant filed with the Canadian Securities Regulatory Authorities on the System for Electronic Data Analysis and Retrieval + (SEDAR +) a material change report that includes a copy of a press release, a copy of which is attached hereto as Exhibit 99.1, which is incorporated by reference into the Registration Statements of Bitfarms Ltd. on </w:t>
      </w:r>
      <w:hyperlink r:id="rId2">
        <w:r>
          <w:rPr>
            <w:rStyle w:val="InternetLink"/>
            <w:rFonts w:ascii="Times New Roman;Times;Serif" w:hAnsi="Times New Roman;Times;Serif"/>
            <w:b w:val="false"/>
            <w:i w:val="false"/>
            <w:caps w:val="false"/>
            <w:smallCaps w:val="false"/>
            <w:sz w:val="20"/>
          </w:rPr>
          <w:t>Form F-10</w:t>
        </w:r>
      </w:hyperlink>
      <w:r>
        <w:rPr>
          <w:rFonts w:ascii="Times New Roman;Times;Serif" w:hAnsi="Times New Roman;Times;Serif"/>
          <w:b w:val="false"/>
          <w:i w:val="false"/>
          <w:caps w:val="false"/>
          <w:smallCaps w:val="false"/>
          <w:sz w:val="20"/>
        </w:rPr>
        <w:t xml:space="preserve"> (File No. 333-272989) and </w:t>
      </w:r>
      <w:hyperlink r:id="rId3">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333-278868).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Exhibits listed below.</w:t>
      </w:r>
    </w:p>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980"/>
        <w:gridCol w:w="60"/>
        <w:gridCol w:w="4055"/>
      </w:tblGrid>
      <w:tr>
        <w:trPr/>
        <w:tc>
          <w:tcPr>
            <w:tcW w:w="980" w:type="dxa"/>
            <w:tcBorders/>
            <w:vAlign w:val="center"/>
          </w:tcPr>
          <w:p>
            <w:pPr>
              <w:pStyle w:val="TableContents"/>
              <w:bidi w:val="0"/>
              <w:spacing w:before="0" w:after="283"/>
              <w:jc w:val="both"/>
              <w:rPr>
                <w:b/>
                <w:sz w:val="20"/>
              </w:rPr>
            </w:pPr>
            <w:r>
              <w:rPr>
                <w:b/>
                <w:sz w:val="20"/>
              </w:rPr>
              <w:t>Exhibits</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both"/>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both"/>
              <w:rPr/>
            </w:pPr>
            <w:r>
              <w:rPr/>
              <w:t> </w:t>
            </w:r>
          </w:p>
        </w:tc>
      </w:tr>
      <w:tr>
        <w:trPr/>
        <w:tc>
          <w:tcPr>
            <w:tcW w:w="980" w:type="dxa"/>
            <w:tcBorders>
              <w:bottom w:val="single" w:sz="12" w:space="0" w:color="000000"/>
            </w:tcBorders>
            <w:tcMar>
              <w:bottom w:w="30" w:type="dxa"/>
            </w:tcMar>
            <w:vAlign w:val="center"/>
          </w:tcPr>
          <w:p>
            <w:pPr>
              <w:pStyle w:val="TableContents"/>
              <w:bidi w:val="0"/>
              <w:spacing w:before="0" w:after="283"/>
              <w:jc w:val="both"/>
              <w:rPr>
                <w:sz w:val="20"/>
              </w:rPr>
            </w:pPr>
            <w:r>
              <w:rPr>
                <w:sz w:val="20"/>
              </w:rPr>
              <w:t>Exhibit No.</w:t>
            </w:r>
          </w:p>
        </w:tc>
        <w:tc>
          <w:tcPr>
            <w:tcW w:w="60" w:type="dxa"/>
            <w:tcBorders/>
            <w:vAlign w:val="center"/>
          </w:tcPr>
          <w:p>
            <w:pPr>
              <w:pStyle w:val="TableContents"/>
              <w:bidi w:val="0"/>
              <w:spacing w:before="0" w:after="283"/>
              <w:jc w:val="left"/>
              <w:rPr/>
            </w:pPr>
            <w:r>
              <w:rPr/>
              <w:t> </w:t>
            </w:r>
          </w:p>
        </w:tc>
        <w:tc>
          <w:tcPr>
            <w:tcW w:w="4055" w:type="dxa"/>
            <w:tcBorders>
              <w:bottom w:val="single" w:sz="12" w:space="0" w:color="000000"/>
            </w:tcBorders>
            <w:tcMar>
              <w:bottom w:w="28" w:type="dxa"/>
            </w:tcMar>
            <w:vAlign w:val="center"/>
          </w:tcPr>
          <w:p>
            <w:pPr>
              <w:pStyle w:val="TableContents"/>
              <w:bidi w:val="0"/>
              <w:spacing w:before="0" w:after="283"/>
              <w:jc w:val="both"/>
              <w:rPr>
                <w:sz w:val="20"/>
              </w:rPr>
            </w:pPr>
            <w:r>
              <w:rPr>
                <w:sz w:val="20"/>
              </w:rPr>
              <w:t>Description</w:t>
            </w:r>
          </w:p>
        </w:tc>
      </w:tr>
      <w:tr>
        <w:trPr/>
        <w:tc>
          <w:tcPr>
            <w:tcW w:w="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both"/>
              <w:rPr/>
            </w:pPr>
            <w:r>
              <w:rPr/>
              <w:t> </w:t>
            </w:r>
          </w:p>
        </w:tc>
      </w:tr>
      <w:tr>
        <w:trPr/>
        <w:tc>
          <w:tcPr>
            <w:tcW w:w="980" w:type="dxa"/>
            <w:tcBorders/>
            <w:shd w:fill="CCEEFF" w:val="clear"/>
            <w:vAlign w:val="center"/>
          </w:tcPr>
          <w:p>
            <w:pPr>
              <w:pStyle w:val="TableContents"/>
              <w:bidi w:val="0"/>
              <w:spacing w:before="0" w:after="283"/>
              <w:jc w:val="both"/>
              <w:rPr>
                <w:sz w:val="20"/>
              </w:rPr>
            </w:pPr>
            <w:r>
              <w:rPr>
                <w:sz w:val="20"/>
              </w:rPr>
              <w:t>99.1</w:t>
            </w:r>
          </w:p>
        </w:tc>
        <w:tc>
          <w:tcPr>
            <w:tcW w:w="60" w:type="dxa"/>
            <w:tcBorders/>
            <w:shd w:fill="CCEEFF" w:val="clear"/>
            <w:vAlign w:val="center"/>
          </w:tcPr>
          <w:p>
            <w:pPr>
              <w:pStyle w:val="TableContents"/>
              <w:bidi w:val="0"/>
              <w:spacing w:before="0" w:after="283"/>
              <w:jc w:val="left"/>
              <w:rPr/>
            </w:pPr>
            <w:r>
              <w:rPr/>
              <w:t> </w:t>
            </w:r>
          </w:p>
        </w:tc>
        <w:tc>
          <w:tcPr>
            <w:tcW w:w="4055" w:type="dxa"/>
            <w:tcBorders/>
            <w:shd w:fill="CCEEFF" w:val="clear"/>
            <w:vAlign w:val="center"/>
          </w:tcPr>
          <w:p>
            <w:pPr>
              <w:pStyle w:val="TableContents"/>
              <w:bidi w:val="0"/>
              <w:spacing w:before="0" w:after="283"/>
              <w:jc w:val="both"/>
              <w:rPr/>
            </w:pPr>
            <w:hyperlink w:anchor="ea021343401ex99-1_bitfarms.htm">
              <w:r>
                <w:rPr>
                  <w:rStyle w:val="InternetLink"/>
                  <w:sz w:val="20"/>
                </w:rPr>
                <w:t>Material Change Report dated September 4, 2024</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979" w:right="978" w:hanging="0"/>
        <w:jc w:val="center"/>
        <w:rPr>
          <w:caps w:val="false"/>
          <w:smallCaps w:val="false"/>
        </w:rPr>
      </w:pPr>
      <w:r>
        <w:rPr>
          <w:caps w:val="false"/>
          <w:smallCaps w:val="false"/>
        </w:rPr>
        <w:t> </w:t>
      </w:r>
    </w:p>
    <w:p>
      <w:pPr>
        <w:pStyle w:val="TextBody"/>
        <w:bidi w:val="0"/>
        <w:spacing w:before="0" w:after="0"/>
        <w:ind w:left="979" w:right="97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160" w:right="0" w:hanging="0"/>
        <w:jc w:val="left"/>
        <w:rPr>
          <w:caps w:val="false"/>
          <w:smallCaps w:val="false"/>
        </w:rPr>
      </w:pPr>
      <w:r>
        <w:rPr>
          <w:caps w:val="false"/>
          <w:smallCaps w:val="false"/>
        </w:rPr>
        <w:t> </w:t>
      </w:r>
    </w:p>
    <w:tbl>
      <w:tblPr>
        <w:tblW w:w="3450" w:type="dxa"/>
        <w:jc w:val="left"/>
        <w:tblInd w:w="0" w:type="dxa"/>
        <w:tblLayout w:type="fixed"/>
        <w:tblCellMar>
          <w:top w:w="0" w:type="dxa"/>
          <w:left w:w="0" w:type="dxa"/>
          <w:bottom w:w="0" w:type="dxa"/>
          <w:right w:w="0" w:type="dxa"/>
        </w:tblCellMar>
      </w:tblPr>
      <w:tblGrid>
        <w:gridCol w:w="75"/>
        <w:gridCol w:w="365"/>
        <w:gridCol w:w="710"/>
        <w:gridCol w:w="2300"/>
      </w:tblGrid>
      <w:tr>
        <w:trPr/>
        <w:tc>
          <w:tcPr>
            <w:tcW w:w="75" w:type="dxa"/>
            <w:tcBorders/>
            <w:vAlign w:val="center"/>
          </w:tcPr>
          <w:p>
            <w:pPr>
              <w:pStyle w:val="TableContents"/>
              <w:bidi w:val="0"/>
              <w:spacing w:before="0" w:after="283"/>
              <w:jc w:val="left"/>
              <w:rPr/>
            </w:pPr>
            <w:r>
              <w:rPr/>
              <w:t> </w:t>
            </w:r>
          </w:p>
        </w:tc>
        <w:tc>
          <w:tcPr>
            <w:tcW w:w="3375" w:type="dxa"/>
            <w:gridSpan w:val="3"/>
            <w:tcBorders/>
            <w:vAlign w:val="center"/>
          </w:tcPr>
          <w:p>
            <w:pPr>
              <w:pStyle w:val="TableContents"/>
              <w:bidi w:val="0"/>
              <w:spacing w:before="0" w:after="283"/>
              <w:jc w:val="left"/>
              <w:rPr>
                <w:b/>
              </w:rPr>
            </w:pPr>
            <w:r>
              <w:rPr>
                <w:b/>
              </w:rPr>
              <w:t>BITFARMS LTD.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010" w:type="dxa"/>
            <w:gridSpan w:val="2"/>
            <w:tcBorders>
              <w:bottom w:val="single" w:sz="12" w:space="0" w:color="000000"/>
            </w:tcBorders>
            <w:tcMar>
              <w:bottom w:w="28" w:type="dxa"/>
            </w:tcMar>
            <w:vAlign w:val="center"/>
          </w:tcPr>
          <w:p>
            <w:pPr>
              <w:pStyle w:val="TableContents"/>
              <w:bidi w:val="0"/>
              <w:spacing w:before="0" w:after="283"/>
              <w:jc w:val="left"/>
              <w:rPr/>
            </w:pPr>
            <w:r>
              <w:rPr/>
              <w:t>/s/ Ben Gagnon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300" w:type="dxa"/>
            <w:tcBorders/>
            <w:vAlign w:val="center"/>
          </w:tcPr>
          <w:p>
            <w:pPr>
              <w:pStyle w:val="TableContents"/>
              <w:bidi w:val="0"/>
              <w:spacing w:before="0" w:after="283"/>
              <w:jc w:val="left"/>
              <w:rPr/>
            </w:pPr>
            <w:r>
              <w:rPr/>
              <w:t>Ben Gagnon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4, 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21343401ex99-1_bitfarms.htm"/>
      <w:bookmarkStart w:id="3" w:name="ksea021343401ex991_bitfarms"/>
      <w:bookmarkEnd w:id="2"/>
      <w:bookmarkEnd w:id="3"/>
      <w:r>
        <w:rPr>
          <w:b/>
        </w:rPr>
        <w:t>Exhibit 99.1</w:t>
      </w:r>
      <w:r>
        <w:br w:type="page"/>
      </w:r>
    </w:p>
    <w:p>
      <w:pPr>
        <w:pStyle w:val="TextBody"/>
        <w:bidi w:val="0"/>
        <w:jc w:val="righ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51-102F3</w:t>
        <w:br/>
        <w:t>MATERIAL CHANGE REPORT</w:t>
      </w:r>
    </w:p>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680"/>
        <w:gridCol w:w="3305"/>
      </w:tblGrid>
      <w:tr>
        <w:trPr/>
        <w:tc>
          <w:tcPr>
            <w:tcW w:w="680" w:type="dxa"/>
            <w:tcBorders/>
            <w:vAlign w:val="center"/>
          </w:tcPr>
          <w:p>
            <w:pPr>
              <w:pStyle w:val="TableContents"/>
              <w:bidi w:val="0"/>
              <w:spacing w:before="0" w:after="283"/>
              <w:jc w:val="left"/>
              <w:rPr>
                <w:b/>
              </w:rPr>
            </w:pPr>
            <w:r>
              <w:rPr>
                <w:b/>
              </w:rPr>
              <w:t>Item 1</w:t>
            </w:r>
          </w:p>
        </w:tc>
        <w:tc>
          <w:tcPr>
            <w:tcW w:w="3305" w:type="dxa"/>
            <w:tcBorders/>
            <w:vAlign w:val="center"/>
          </w:tcPr>
          <w:p>
            <w:pPr>
              <w:pStyle w:val="TableContents"/>
              <w:bidi w:val="0"/>
              <w:spacing w:before="0" w:after="283"/>
              <w:jc w:val="both"/>
              <w:rPr>
                <w:b/>
              </w:rPr>
            </w:pPr>
            <w:r>
              <w:rPr>
                <w:b/>
              </w:rPr>
              <w:t>Name and Address of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 (“Bitfarms” or the “Company”)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Yonge Street, Suite 1601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Ontario M5C 1T4</w:t>
      </w:r>
    </w:p>
    <w:p>
      <w:pPr>
        <w:pStyle w:val="TextBody"/>
        <w:bidi w:val="0"/>
        <w:spacing w:before="0" w:after="0"/>
        <w:ind w:left="0" w:right="0" w:hanging="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680"/>
        <w:gridCol w:w="2555"/>
      </w:tblGrid>
      <w:tr>
        <w:trPr/>
        <w:tc>
          <w:tcPr>
            <w:tcW w:w="680" w:type="dxa"/>
            <w:tcBorders/>
            <w:vAlign w:val="center"/>
          </w:tcPr>
          <w:p>
            <w:pPr>
              <w:pStyle w:val="TableContents"/>
              <w:bidi w:val="0"/>
              <w:spacing w:before="0" w:after="283"/>
              <w:jc w:val="left"/>
              <w:rPr>
                <w:b/>
              </w:rPr>
            </w:pPr>
            <w:r>
              <w:rPr>
                <w:b/>
              </w:rPr>
              <w:t>Item 2</w:t>
            </w:r>
          </w:p>
        </w:tc>
        <w:tc>
          <w:tcPr>
            <w:tcW w:w="2555" w:type="dxa"/>
            <w:tcBorders/>
            <w:vAlign w:val="center"/>
          </w:tcPr>
          <w:p>
            <w:pPr>
              <w:pStyle w:val="TableContents"/>
              <w:bidi w:val="0"/>
              <w:spacing w:before="0" w:after="283"/>
              <w:jc w:val="both"/>
              <w:rPr>
                <w:b/>
              </w:rPr>
            </w:pPr>
            <w:r>
              <w:rPr>
                <w:b/>
              </w:rPr>
              <w:t>Date of Material 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2024</w:t>
      </w:r>
    </w:p>
    <w:p>
      <w:pPr>
        <w:pStyle w:val="TextBody"/>
        <w:bidi w:val="0"/>
        <w:spacing w:before="0" w:after="0"/>
        <w:ind w:left="0" w:right="0" w:hanging="0"/>
        <w:jc w:val="both"/>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680"/>
        <w:gridCol w:w="1415"/>
      </w:tblGrid>
      <w:tr>
        <w:trPr/>
        <w:tc>
          <w:tcPr>
            <w:tcW w:w="680" w:type="dxa"/>
            <w:tcBorders/>
            <w:vAlign w:val="center"/>
          </w:tcPr>
          <w:p>
            <w:pPr>
              <w:pStyle w:val="TableContents"/>
              <w:bidi w:val="0"/>
              <w:spacing w:before="0" w:after="283"/>
              <w:jc w:val="left"/>
              <w:rPr>
                <w:b/>
              </w:rPr>
            </w:pPr>
            <w:r>
              <w:rPr>
                <w:b/>
              </w:rPr>
              <w:t>Item 3</w:t>
            </w:r>
          </w:p>
        </w:tc>
        <w:tc>
          <w:tcPr>
            <w:tcW w:w="1415" w:type="dxa"/>
            <w:tcBorders/>
            <w:vAlign w:val="center"/>
          </w:tcPr>
          <w:p>
            <w:pPr>
              <w:pStyle w:val="TableContents"/>
              <w:bidi w:val="0"/>
              <w:spacing w:before="0" w:after="283"/>
              <w:jc w:val="both"/>
              <w:rPr>
                <w:b/>
              </w:rPr>
            </w:pPr>
            <w:r>
              <w:rPr>
                <w:b/>
              </w:rPr>
              <w:t>News Release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attached as Schedule “A” was released on September 4, 2024 by a newswire company in Canada.</w:t>
      </w:r>
    </w:p>
    <w:p>
      <w:pPr>
        <w:pStyle w:val="TextBody"/>
        <w:bidi w:val="0"/>
        <w:spacing w:before="0" w:after="0"/>
        <w:ind w:left="111"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680"/>
        <w:gridCol w:w="3080"/>
      </w:tblGrid>
      <w:tr>
        <w:trPr/>
        <w:tc>
          <w:tcPr>
            <w:tcW w:w="680" w:type="dxa"/>
            <w:tcBorders/>
            <w:vAlign w:val="center"/>
          </w:tcPr>
          <w:p>
            <w:pPr>
              <w:pStyle w:val="TableContents"/>
              <w:bidi w:val="0"/>
              <w:spacing w:before="0" w:after="283"/>
              <w:jc w:val="left"/>
              <w:rPr>
                <w:b/>
              </w:rPr>
            </w:pPr>
            <w:r>
              <w:rPr>
                <w:b/>
              </w:rPr>
              <w:t>Item 4</w:t>
            </w:r>
          </w:p>
        </w:tc>
        <w:tc>
          <w:tcPr>
            <w:tcW w:w="3080" w:type="dxa"/>
            <w:tcBorders/>
            <w:vAlign w:val="center"/>
          </w:tcPr>
          <w:p>
            <w:pPr>
              <w:pStyle w:val="TableContents"/>
              <w:bidi w:val="0"/>
              <w:spacing w:before="0" w:after="283"/>
              <w:jc w:val="both"/>
              <w:rPr>
                <w:b/>
              </w:rPr>
            </w:pPr>
            <w:r>
              <w:rPr>
                <w:b/>
              </w:rPr>
              <w:t>Summary of Material Change</w:t>
            </w:r>
          </w:p>
        </w:tc>
      </w:tr>
    </w:tbl>
    <w:p>
      <w:pPr>
        <w:pStyle w:val="TextBody"/>
        <w:bidi w:val="0"/>
        <w:spacing w:before="0" w:after="0"/>
        <w:ind w:left="111"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change is described in the press release attached as Schedule “A”.</w:t>
      </w:r>
    </w:p>
    <w:p>
      <w:pPr>
        <w:pStyle w:val="TextBody"/>
        <w:bidi w:val="0"/>
        <w:spacing w:before="0" w:after="0"/>
        <w:ind w:left="111" w:right="0" w:hanging="0"/>
        <w:jc w:val="both"/>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680"/>
        <w:gridCol w:w="3710"/>
      </w:tblGrid>
      <w:tr>
        <w:trPr/>
        <w:tc>
          <w:tcPr>
            <w:tcW w:w="680" w:type="dxa"/>
            <w:tcBorders/>
            <w:vAlign w:val="center"/>
          </w:tcPr>
          <w:p>
            <w:pPr>
              <w:pStyle w:val="TableContents"/>
              <w:bidi w:val="0"/>
              <w:spacing w:before="0" w:after="283"/>
              <w:jc w:val="left"/>
              <w:rPr>
                <w:b/>
              </w:rPr>
            </w:pPr>
            <w:r>
              <w:rPr>
                <w:b/>
              </w:rPr>
              <w:t>Item 5</w:t>
            </w:r>
          </w:p>
        </w:tc>
        <w:tc>
          <w:tcPr>
            <w:tcW w:w="3710" w:type="dxa"/>
            <w:tcBorders/>
            <w:vAlign w:val="center"/>
          </w:tcPr>
          <w:p>
            <w:pPr>
              <w:pStyle w:val="TableContents"/>
              <w:bidi w:val="0"/>
              <w:spacing w:before="0" w:after="283"/>
              <w:jc w:val="both"/>
              <w:rPr>
                <w:b/>
              </w:rPr>
            </w:pPr>
            <w:r>
              <w:rPr>
                <w:b/>
              </w:rPr>
              <w:t>Full Description of Material Change</w:t>
            </w:r>
          </w:p>
        </w:tc>
      </w:tr>
    </w:tbl>
    <w:p>
      <w:pPr>
        <w:pStyle w:val="TextBody"/>
        <w:bidi w:val="0"/>
        <w:spacing w:before="0" w:after="0"/>
        <w:ind w:left="111"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change is described in the press release attached as Schedule “A”.</w:t>
      </w:r>
    </w:p>
    <w:p>
      <w:pPr>
        <w:pStyle w:val="TextBody"/>
        <w:bidi w:val="0"/>
        <w:spacing w:before="0" w:after="0"/>
        <w:ind w:left="111" w:right="0" w:hanging="0"/>
        <w:jc w:val="both"/>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680"/>
        <w:gridCol w:w="6080"/>
      </w:tblGrid>
      <w:tr>
        <w:trPr/>
        <w:tc>
          <w:tcPr>
            <w:tcW w:w="680" w:type="dxa"/>
            <w:tcBorders/>
            <w:vAlign w:val="center"/>
          </w:tcPr>
          <w:p>
            <w:pPr>
              <w:pStyle w:val="TableContents"/>
              <w:bidi w:val="0"/>
              <w:spacing w:before="0" w:after="283"/>
              <w:jc w:val="left"/>
              <w:rPr>
                <w:b/>
              </w:rPr>
            </w:pPr>
            <w:r>
              <w:rPr>
                <w:b/>
              </w:rPr>
              <w:t>Item 6</w:t>
            </w:r>
          </w:p>
        </w:tc>
        <w:tc>
          <w:tcPr>
            <w:tcW w:w="6080" w:type="dxa"/>
            <w:tcBorders/>
            <w:vAlign w:val="center"/>
          </w:tcPr>
          <w:p>
            <w:pPr>
              <w:pStyle w:val="TableContents"/>
              <w:bidi w:val="0"/>
              <w:spacing w:before="0" w:after="283"/>
              <w:jc w:val="both"/>
              <w:rPr>
                <w:b/>
              </w:rPr>
            </w:pPr>
            <w:r>
              <w:rPr>
                <w:b/>
              </w:rPr>
              <w:t xml:space="preserve">Reliance of subsection 7.1(2) of National Instrument 51-102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111"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680"/>
        <w:gridCol w:w="2150"/>
      </w:tblGrid>
      <w:tr>
        <w:trPr/>
        <w:tc>
          <w:tcPr>
            <w:tcW w:w="680" w:type="dxa"/>
            <w:tcBorders/>
            <w:vAlign w:val="center"/>
          </w:tcPr>
          <w:p>
            <w:pPr>
              <w:pStyle w:val="TableContents"/>
              <w:bidi w:val="0"/>
              <w:spacing w:before="0" w:after="283"/>
              <w:jc w:val="left"/>
              <w:rPr>
                <w:b/>
              </w:rPr>
            </w:pPr>
            <w:r>
              <w:rPr>
                <w:b/>
              </w:rPr>
              <w:t>Item 7</w:t>
            </w:r>
          </w:p>
        </w:tc>
        <w:tc>
          <w:tcPr>
            <w:tcW w:w="2150" w:type="dxa"/>
            <w:tcBorders/>
            <w:vAlign w:val="center"/>
          </w:tcPr>
          <w:p>
            <w:pPr>
              <w:pStyle w:val="TableContents"/>
              <w:bidi w:val="0"/>
              <w:spacing w:before="0" w:after="283"/>
              <w:jc w:val="both"/>
              <w:rPr>
                <w:b/>
              </w:rPr>
            </w:pPr>
            <w:r>
              <w:rPr>
                <w:b/>
              </w:rPr>
              <w:t>Omitted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680"/>
        <w:gridCol w:w="1790"/>
      </w:tblGrid>
      <w:tr>
        <w:trPr/>
        <w:tc>
          <w:tcPr>
            <w:tcW w:w="680" w:type="dxa"/>
            <w:tcBorders/>
            <w:vAlign w:val="center"/>
          </w:tcPr>
          <w:p>
            <w:pPr>
              <w:pStyle w:val="TableContents"/>
              <w:bidi w:val="0"/>
              <w:spacing w:before="0" w:after="283"/>
              <w:jc w:val="left"/>
              <w:rPr>
                <w:b/>
              </w:rPr>
            </w:pPr>
            <w:r>
              <w:rPr>
                <w:b/>
              </w:rPr>
              <w:t>Item 8</w:t>
            </w:r>
          </w:p>
        </w:tc>
        <w:tc>
          <w:tcPr>
            <w:tcW w:w="1790" w:type="dxa"/>
            <w:tcBorders/>
            <w:vAlign w:val="center"/>
          </w:tcPr>
          <w:p>
            <w:pPr>
              <w:pStyle w:val="TableContents"/>
              <w:bidi w:val="0"/>
              <w:spacing w:before="0" w:after="283"/>
              <w:jc w:val="both"/>
              <w:rPr>
                <w:b/>
              </w:rPr>
            </w:pPr>
            <w:r>
              <w:rPr>
                <w:b/>
              </w:rPr>
              <w:t>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 Gagnon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Bgagnon@bitfarms.com</w:t>
      </w:r>
    </w:p>
    <w:p>
      <w:pPr>
        <w:pStyle w:val="TextBody"/>
        <w:bidi w:val="0"/>
        <w:spacing w:before="0" w:after="0"/>
        <w:ind w:left="111" w:right="0" w:hanging="0"/>
        <w:jc w:val="both"/>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680"/>
        <w:gridCol w:w="1550"/>
      </w:tblGrid>
      <w:tr>
        <w:trPr/>
        <w:tc>
          <w:tcPr>
            <w:tcW w:w="680" w:type="dxa"/>
            <w:tcBorders/>
            <w:vAlign w:val="center"/>
          </w:tcPr>
          <w:p>
            <w:pPr>
              <w:pStyle w:val="TableContents"/>
              <w:bidi w:val="0"/>
              <w:spacing w:before="0" w:after="283"/>
              <w:jc w:val="left"/>
              <w:rPr>
                <w:b/>
              </w:rPr>
            </w:pPr>
            <w:r>
              <w:rPr>
                <w:b/>
              </w:rPr>
              <w:t>Item 9</w:t>
            </w:r>
          </w:p>
        </w:tc>
        <w:tc>
          <w:tcPr>
            <w:tcW w:w="1550" w:type="dxa"/>
            <w:tcBorders/>
            <w:vAlign w:val="center"/>
          </w:tcPr>
          <w:p>
            <w:pPr>
              <w:pStyle w:val="TableContents"/>
              <w:bidi w:val="0"/>
              <w:spacing w:before="0" w:after="283"/>
              <w:jc w:val="both"/>
              <w:rPr>
                <w:b/>
              </w:rPr>
            </w:pPr>
            <w:r>
              <w:rPr>
                <w:b/>
              </w:rPr>
              <w:t>Date of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5742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2257425" cy="5905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Issues Statement to Address Misleading Claims from Riot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Reiterates Commitment to Value Creation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news release constitutes a “designated news release” for the purposes of the Company’s prospectus supplement dated March 8, 2024, to its short form base shelf prospectus dated November 10,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Toronto, Ontario and Brossard, Québec (September 4, 2024)</w:t>
      </w:r>
      <w:r>
        <w:rPr>
          <w:rFonts w:ascii="Times New Roman;Times;Serif" w:hAnsi="Times New Roman;Times;Serif"/>
          <w:b w:val="false"/>
          <w:i w:val="false"/>
          <w:caps w:val="false"/>
          <w:smallCaps w:val="false"/>
          <w:sz w:val="20"/>
        </w:rPr>
        <w:t xml:space="preserve"> - Bitfarms Ltd. (NASDAQ/TSX: BITF), a global leader in vertically integrated Bitcoin data center operations, today issued the following statement in response to the amended requisition proposal and associated misleading claims made by Riot Platforms, Inc. (“Riot”).</w:t>
      </w:r>
    </w:p>
    <w:p>
      <w:pPr>
        <w:pStyle w:val="TextBody"/>
        <w:bidi w:val="0"/>
        <w:spacing w:before="0" w:after="0"/>
        <w:ind w:left="0" w:right="0" w:hanging="14"/>
        <w:jc w:val="both"/>
        <w:rPr>
          <w:caps w:val="false"/>
          <w:smallCaps w:val="false"/>
        </w:rPr>
      </w:pPr>
      <w:r>
        <w:rPr>
          <w:caps w:val="false"/>
          <w:smallCaps w:val="false"/>
        </w:rPr>
        <w:t> </w:t>
      </w:r>
    </w:p>
    <w:p>
      <w:pPr>
        <w:pStyle w:val="TextBody"/>
        <w:bidi w:val="0"/>
        <w:spacing w:before="0" w:after="0"/>
        <w:ind w:left="266" w:right="0" w:hanging="14"/>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upcoming special meeting is not about corporate governance, as Riot has repeatedly positioned it to be, but rather about Riot attempting to acquire Bitfarms at a discounted price for the benefit of Riot shareholders, not Bitfarms shareholders. Riot has declined to engage with us constructively – including by refusing to enter into a standard non-disclosure agreement with Bitfarms or put forth a revised proposal for our consideration – and has instead taken to public attacks and actions to harm the interests of other Bitfarms shareholders.</w:t>
      </w:r>
    </w:p>
    <w:p>
      <w:pPr>
        <w:pStyle w:val="TextBody"/>
        <w:bidi w:val="0"/>
        <w:spacing w:before="0" w:after="0"/>
        <w:ind w:left="360" w:right="0" w:hanging="14"/>
        <w:jc w:val="both"/>
        <w:rPr>
          <w:caps w:val="false"/>
          <w:smallCaps w:val="false"/>
        </w:rPr>
      </w:pPr>
      <w:r>
        <w:rPr>
          <w:caps w:val="false"/>
          <w:smallCaps w:val="false"/>
        </w:rPr>
        <w:t> </w:t>
      </w:r>
    </w:p>
    <w:p>
      <w:pPr>
        <w:pStyle w:val="TextBody"/>
        <w:bidi w:val="0"/>
        <w:spacing w:before="0" w:after="0"/>
        <w:ind w:left="266" w:right="0" w:hanging="1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recent Board and leadership changes that Bitfarms has implemented were made independently of Riot, on behalf of all of our shareholders, to ensure the right team is in place to enhance shareholder value at Bitfarms, not for Riot’s benefit and approval. The Bitfarms team is best-in-class, comprising the right mix of skills and experience to effectively oversee the Company’s strategic plan. On the contrary, it is not clear how Riot’s nominees could enhance the Board.</w:t>
      </w:r>
    </w:p>
    <w:p>
      <w:pPr>
        <w:pStyle w:val="TextBody"/>
        <w:bidi w:val="0"/>
        <w:spacing w:before="0" w:after="0"/>
        <w:ind w:left="360" w:right="0" w:hanging="14"/>
        <w:jc w:val="both"/>
        <w:rPr>
          <w:caps w:val="false"/>
          <w:smallCaps w:val="false"/>
        </w:rPr>
      </w:pPr>
      <w:r>
        <w:rPr>
          <w:caps w:val="false"/>
          <w:smallCaps w:val="false"/>
        </w:rPr>
        <w:t> </w:t>
      </w:r>
    </w:p>
    <w:p>
      <w:pPr>
        <w:pStyle w:val="TextBody"/>
        <w:bidi w:val="0"/>
        <w:spacing w:before="0" w:after="0"/>
        <w:ind w:left="266" w:right="0" w:hanging="1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recent proposed acquisition of Stronghold is consistent with our strategy to diversify our access to power and also rebalances our energy portfolio towards the U.S. Through this transaction, we will leverage our operational expertise and proprietary data analytics system to build on Stronghold’s capabilities and further optimize its sites to advance the combined company’s position in the marketplace. The transaction could add up to 307 MW of power capacity and is expected to put Bitfarms on track to increase its energy portfolio to over 950 MW, with nearly 50% in the U.S., by year-end 2025.</w:t>
      </w:r>
    </w:p>
    <w:p>
      <w:pPr>
        <w:pStyle w:val="TextBody"/>
        <w:bidi w:val="0"/>
        <w:spacing w:before="0" w:after="0"/>
        <w:ind w:left="266" w:right="0" w:hanging="14"/>
        <w:jc w:val="both"/>
        <w:rPr>
          <w:caps w:val="false"/>
          <w:smallCaps w:val="false"/>
        </w:rPr>
      </w:pPr>
      <w:r>
        <w:rPr>
          <w:caps w:val="false"/>
          <w:smallCaps w:val="false"/>
        </w:rPr>
        <w:t> </w:t>
      </w:r>
    </w:p>
    <w:p>
      <w:pPr>
        <w:pStyle w:val="TextBody"/>
        <w:bidi w:val="0"/>
        <w:spacing w:before="0" w:after="0"/>
        <w:ind w:left="266" w:right="0" w:hanging="1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266" w:right="0" w:hanging="14"/>
        <w:jc w:val="both"/>
        <w:rPr>
          <w:caps w:val="false"/>
          <w:smallCaps w:val="false"/>
        </w:rPr>
      </w:pPr>
      <w:r>
        <w:rPr>
          <w:caps w:val="false"/>
          <w:smallCaps w:val="false"/>
        </w:rPr>
        <w:t> </w:t>
      </w:r>
    </w:p>
    <w:p>
      <w:pPr>
        <w:pStyle w:val="TextBody"/>
        <w:bidi w:val="0"/>
        <w:spacing w:before="0" w:after="0"/>
        <w:ind w:left="266" w:right="0" w:hanging="1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and management team are focused on the tremendous value-enhancing opportunity this transaction presents for Bitfarms and our shareholders. We remain steadfast in our commitment to delivering exceptional value in the near- and long-term.”</w:t>
      </w:r>
    </w:p>
    <w:p>
      <w:pPr>
        <w:pStyle w:val="TextBody"/>
        <w:bidi w:val="0"/>
        <w:spacing w:before="0" w:after="0"/>
        <w:ind w:left="0" w:right="0" w:hanging="1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will consider and respond to Riot’s amended requisition proposal in due course. No shareholder action is required at this time.</w:t>
      </w:r>
    </w:p>
    <w:p>
      <w:pPr>
        <w:pStyle w:val="TextBody"/>
        <w:bidi w:val="0"/>
        <w:spacing w:before="0" w:after="0"/>
        <w:ind w:left="0" w:right="0" w:hanging="1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Bitfarms Ltd.</w:t>
      </w:r>
    </w:p>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2017, Bitfarms is a global vertically integrated Bitcoin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11"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about Bitfarms’ events, developments, and online communities:</w:t>
      </w:r>
    </w:p>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www.bitfarms.com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https://www.facebook.com/bitfarms/</w:t>
        <w:br/>
        <w:t>https://twitter.com/Bitfarms_io</w:t>
        <w:br/>
        <w:t>https://www.instagram.com/bitfarms/</w:t>
        <w:br/>
        <w:t>https://www.linkedin.com/company/bitfarms/</w:t>
      </w:r>
    </w:p>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Glossary of Terms</w:t>
      </w:r>
    </w:p>
    <w:p>
      <w:pPr>
        <w:pStyle w:val="TextBody"/>
        <w:bidi w:val="0"/>
        <w:spacing w:before="0" w:after="0"/>
        <w:ind w:left="720" w:right="0" w:hanging="360"/>
        <w:jc w:val="both"/>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38"/>
        <w:gridCol w:w="170"/>
        <w:gridCol w:w="4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Y/Y or M/M= year over year or month over month</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3"/>
        <w:gridCol w:w="375"/>
        <w:gridCol w:w="9747"/>
      </w:tblGrid>
      <w:tr>
        <w:trPr/>
        <w:tc>
          <w:tcPr>
            <w:tcW w:w="8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Pr>
            <w:r>
              <w:rPr/>
              <w:t>●</w:t>
            </w:r>
          </w:p>
        </w:tc>
        <w:tc>
          <w:tcPr>
            <w:tcW w:w="9747"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BTC or BTC/day = Bitcoin or Bitcoin per day</w:t>
            </w:r>
          </w:p>
        </w:tc>
      </w:tr>
    </w:tbl>
    <w:p>
      <w:pPr>
        <w:pStyle w:val="TextBody"/>
        <w:bidi w:val="0"/>
        <w:spacing w:before="0" w:after="0"/>
        <w:ind w:left="720" w:right="0" w:hanging="360"/>
        <w:jc w:val="both"/>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38"/>
        <w:gridCol w:w="170"/>
        <w:gridCol w:w="3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 xml:space="preserve">HPC = High-performance computing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624"/>
        <w:gridCol w:w="9442"/>
      </w:tblGrid>
      <w:tr>
        <w:trPr/>
        <w:tc>
          <w:tcPr>
            <w:tcW w:w="13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pPr>
            <w:r>
              <w:rPr/>
              <w:t>●</w:t>
            </w:r>
          </w:p>
        </w:tc>
        <w:tc>
          <w:tcPr>
            <w:tcW w:w="9442"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 xml:space="preserve">AI = Artificial intelligence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369"/>
        <w:gridCol w:w="9754"/>
      </w:tblGrid>
      <w:tr>
        <w:trPr/>
        <w:tc>
          <w:tcPr>
            <w:tcW w:w="8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pPr>
            <w:r>
              <w:rPr/>
              <w:t>●</w:t>
            </w:r>
          </w:p>
        </w:tc>
        <w:tc>
          <w:tcPr>
            <w:tcW w:w="9754"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EH or EH/s = Exahash or exahash per second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380"/>
        <w:gridCol w:w="9741"/>
      </w:tblGrid>
      <w:tr>
        <w:trPr/>
        <w:tc>
          <w:tcPr>
            <w:tcW w:w="8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w:t>
            </w:r>
          </w:p>
        </w:tc>
        <w:tc>
          <w:tcPr>
            <w:tcW w:w="9741"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MW or MWh = Megawatts or megawatt hour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401"/>
        <w:gridCol w:w="9715"/>
      </w:tblGrid>
      <w:tr>
        <w:trPr/>
        <w:tc>
          <w:tcPr>
            <w:tcW w:w="8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pPr>
            <w:r>
              <w:rPr/>
              <w:t>●</w:t>
            </w:r>
          </w:p>
        </w:tc>
        <w:tc>
          <w:tcPr>
            <w:tcW w:w="9715"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GW or GWh – Gigawatts or gigawatt hour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359"/>
        <w:gridCol w:w="9766"/>
      </w:tblGrid>
      <w:tr>
        <w:trPr/>
        <w:tc>
          <w:tcPr>
            <w:tcW w:w="8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w:t>
            </w:r>
          </w:p>
        </w:tc>
        <w:tc>
          <w:tcPr>
            <w:tcW w:w="9766"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PH or PH/s = Petahash or petahash per second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363"/>
        <w:gridCol w:w="9762"/>
      </w:tblGrid>
      <w:tr>
        <w:trPr/>
        <w:tc>
          <w:tcPr>
            <w:tcW w:w="8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w:t>
            </w:r>
          </w:p>
        </w:tc>
        <w:tc>
          <w:tcPr>
            <w:tcW w:w="9762"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TH or TH/s = Terahash or terahash per second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01"/>
        <w:gridCol w:w="9960"/>
      </w:tblGrid>
      <w:tr>
        <w:trPr/>
        <w:tc>
          <w:tcPr>
            <w:tcW w:w="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w/TH = Watts/Terahash efficiency (includes cost of powering supplementary equipment)</w:t>
            </w:r>
          </w:p>
        </w:tc>
      </w:tr>
    </w:tbl>
    <w:p>
      <w:pPr>
        <w:pStyle w:val="TextBody"/>
        <w:bidi w:val="0"/>
        <w:spacing w:before="0" w:after="0"/>
        <w:ind w:left="720" w:right="0" w:hanging="360"/>
        <w:jc w:val="both"/>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Synthetic HODL™ = the use of instruments that create BTC equivalent exposure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benefits of recent leadership changes made by the Company and the qualities of those candidates, the merits off the Stronghold acquisition including the Sharon mega-site with access to up to 120 MW and in respect of the letter of intent for a lease to an additional 10 MW site in Sharon (collectively, the “</w:t>
      </w:r>
      <w:r>
        <w:rPr>
          <w:rFonts w:ascii="Times New Roman;Times;Serif" w:hAnsi="Times New Roman;Times;Serif"/>
          <w:b/>
          <w:i/>
          <w:caps w:val="false"/>
          <w:smallCaps w:val="false"/>
          <w:sz w:val="20"/>
        </w:rPr>
        <w:t>Sharon Acquisitions</w:t>
      </w:r>
      <w:r>
        <w:rPr>
          <w:rFonts w:ascii="Times New Roman;Times;Serif" w:hAnsi="Times New Roman;Times;Serif"/>
          <w:b w:val="false"/>
          <w:i/>
          <w:caps w:val="false"/>
          <w:smallCaps w:val="false"/>
          <w:sz w:val="20"/>
        </w:rPr>
        <w:t>”), and other statements regarding future growth, plans and objectives of the Company are forward-looking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forward-looking information is based on assumptions and estimates of management of each of Bitfarms and Stronghold at the time they were made, and involves known and unknown risks, uncertainties and other factors which may cause the actual results, performance, or achievements of each of Bitfarms and Stronghold to be materially different from any future results, performance or achievements expressed or implied by such forward-looking information. Such factors include, among others, risks relating to: receipt of the approval of the shareholders of Stronghold and the Toronto Stock Exchange for the Stronghold acquisition as well as other applicable regulatory approvals; that the Stronghold acquisition may not close within the timeframe anticipated or at all or may not close on the terms and conditions currently anticipated by the parties for a number of reasons including, without limitation, as a result of a failure to satisfy the conditions to closing of the Stronghold acquisition; the letter of intent on the 10 MW is subject to entering into a definitive lease agreement and TSX approval, none of which is assured; the power purchase agreements and economics thereof may not be as advantageous as expected; the inability of Bitfarms to operate the plants as anticipated following consummation of the Sharon Acquisitions;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and Stronghold operate and the potential adverse impact on profitability; future capital needs and the ability to complete current and future financings, including each of Bitfarms’, Stronghold’s or the combined company’s ability to utilize an at-the-market offering program (each, an “ATM Program”) and the prices at which securities may be sold in each such ATM Program, as well as capital market conditions in general; share dilution resulting from an ATM Program and from other equity issuances;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any of Bitfarms, Stronghold or the combined company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and Stronghold’s filings on www.sec.gov, including the Annual Report on Form 10-K for the fiscal year ended 2023, filed on March 8, 2024, the Quarterly Report on Form 10-Q for the fiscal quarter ended March 31, 2024, filed on May 8, 2024, the Quarterly Report on Form 10-Q for the fiscal quarter ended June 30, 2024, filed on August 14, 2024, and subsequent reports on Forms 10-Q and 8-K. Although each of Bitfarms and Stronghold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or Stronghold, as applicable. There can be no assurance that such statements will prove to be accurate as actual results, and future events could differ materially from those anticipated in such statements. Accordingly, readers should not place undue reliance on any forward-looking information. Neither Bitfarms nor Stronghold undertakes any obligation to revise or update any forward-looking information other than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Information about the Merger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 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Participants in Solicitation Relating to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Krumme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SVP, Head of IR &amp; Corp. Comms.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+1 786-671-5638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tkrumme@bitfarms.com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Innisfree M&amp;A Incorporated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Gabrielle Wolf / Scott Winter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+1 212-750-5833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Laurel Hill Advisory Group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1-877-452-7184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416-304-0211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assistance@laurelhill.com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Joele Frank, Wilkinson Brimmer Katcher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 Katcher or Joseph Sala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+1 212-355-4449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Québec: 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Louis-Martin Leclerc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+1 418-693-2425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lmleclerc@tactconseil.ca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jc w:val="center"/>
        <w:rPr/>
      </w:pPr>
      <w:r>
        <w:rPr/>
        <w:t>7</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12477/000121390023052498/ea180981-f10_bitfarmsltd.htm" TargetMode="External"/><Relationship Id="rId3" Type="http://schemas.openxmlformats.org/officeDocument/2006/relationships/hyperlink" Target="http://www.sec.gov/Archives/edgar/data/1812477/000121390024035021/ea0204332-s8_bitfarms.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3050</Words>
  <Characters>17222</Characters>
  <CharactersWithSpaces>20283</CharactersWithSpaces>
  <Paragraphs>287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