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0000FF"/>
        </w:rPr>
        <w:t>BITFARMS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Shares (the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09173B107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02/05/2026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09173B107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Citadel Securities GP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23,739,533.00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23,739,533.00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23,739,533.00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percentages reported in this Schedule 13G are based upon 597,923,486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as of November 12, 2025 (according to Exhibit 99.2 to the issuer's Form 6-K as filed with the Securities and Exchange Commission on November 13, 2025). Except as described in the preceding sentence, all Shares for the holdings of the reporting persons reported in this Schedule 13G are as of the opening of the market on February 12, 2026.</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09173B107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Citadel Securities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17,283,224.00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17,283,224.00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17,283,224.00</w:t>
      </w:r>
    </w:p>
    <w:p>
      <w:pPr>
        <w:sectPr>
          <w:pgSz w:w="11900" w:h="16838" w:orient="portrait"/>
          <w:cols w:equalWidth="0" w:num="1">
            <w:col w:w="11120"/>
          </w:cols>
          <w:pgMar w:left="320" w:top="111" w:right="459" w:bottom="0" w:gutter="0" w:footer="0" w:header="0"/>
          <w:type w:val="continuous"/>
        </w:sectPr>
      </w:pPr>
    </w:p>
    <w:bookmarkStart w:id="2" w:name="page3"/>
    <w:bookmarkEnd w:id="2"/>
    <w:p>
      <w:pPr>
        <w:spacing w:after="0"/>
        <w:tabs>
          <w:tab w:leader="none" w:pos="1100" w:val="left"/>
        </w:tabs>
        <w:rPr>
          <w:sz w:val="20"/>
          <w:szCs w:val="20"/>
          <w:color w:val="auto"/>
        </w:rPr>
      </w:pPr>
      <w:r>
        <w:rPr>
          <w:rFonts w:ascii="Times New Roman" w:cs="Times New Roman" w:eastAsia="Times New Roman" w:hAnsi="Times New Roman"/>
          <w:sz w:val="21"/>
          <w:szCs w:val="21"/>
          <w:color w:val="auto"/>
        </w:rPr>
        <w:t>10</w:t>
      </w:r>
      <w:r>
        <w:rPr>
          <w:sz w:val="20"/>
          <w:szCs w:val="20"/>
          <w:color w:val="auto"/>
        </w:rPr>
        <w:tab/>
      </w: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173355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2.9 %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BD, 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09173B107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Citadel Securities Group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23,739,533.00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23,739,533.00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23,739,533.00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09173B107</w:t>
      </w:r>
    </w:p>
    <w:p>
      <w:pPr>
        <w:sectPr>
          <w:pgSz w:w="11900" w:h="16838" w:orient="portrait"/>
          <w:cols w:equalWidth="0" w:num="1">
            <w:col w:w="10099"/>
          </w:cols>
          <w:pgMar w:left="360" w:top="111" w:right="1440" w:bottom="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Names of Reporting Persons</w:t>
      </w:r>
    </w:p>
    <w:p>
      <w:pPr>
        <w:sectPr>
          <w:pgSz w:w="11900" w:h="16838" w:orient="portrait"/>
          <w:cols w:equalWidth="0" w:num="1">
            <w:col w:w="1009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Citadel Advisors LLC</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634.00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634.00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HC, OO</w:t>
      </w:r>
    </w:p>
    <w:p>
      <w:pPr>
        <w:spacing w:after="0" w:line="200" w:lineRule="exact"/>
        <w:rPr>
          <w:sz w:val="20"/>
          <w:szCs w:val="20"/>
          <w:color w:val="auto"/>
        </w:rPr>
      </w:pPr>
    </w:p>
    <w:p>
      <w:pPr>
        <w:sectPr>
          <w:pgSz w:w="11900" w:h="16838" w:orient="portrait"/>
          <w:cols w:equalWidth="0" w:num="2">
            <w:col w:w="1060" w:space="60"/>
            <w:col w:w="8979"/>
          </w:cols>
          <w:pgMar w:left="360" w:top="112"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09173B107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Citadel Advisors Holdings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00" w:type="dxa"/>
            <w:vAlign w:val="bottom"/>
          </w:tcPr>
          <w:p>
            <w:pPr>
              <w:jc w:val="right"/>
              <w:ind w:right="1632"/>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5"/>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380" w:type="dxa"/>
            <w:vAlign w:val="bottom"/>
            <w:vMerge w:val="restart"/>
          </w:tcPr>
          <w:p>
            <w:pPr>
              <w:jc w:val="right"/>
              <w:ind w:right="2032"/>
              <w:spacing w:after="0" w:line="24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634.00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380" w:type="dxa"/>
            <w:vAlign w:val="bottom"/>
            <w:vMerge w:val="restart"/>
          </w:tcPr>
          <w:p>
            <w:pPr>
              <w:jc w:val="right"/>
              <w:ind w:right="2032"/>
              <w:spacing w:after="0"/>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099"/>
          </w:cols>
          <w:pgMar w:left="360" w:top="112" w:right="1440" w:bottom="0" w:gutter="0" w:footer="0" w:header="0"/>
          <w:type w:val="continuous"/>
        </w:sectPr>
      </w:pPr>
    </w:p>
    <w:p>
      <w:pPr>
        <w:ind w:left="1400"/>
        <w:spacing w:after="0"/>
        <w:rPr>
          <w:sz w:val="20"/>
          <w:szCs w:val="20"/>
          <w:color w:val="auto"/>
        </w:rPr>
      </w:pPr>
      <w:r>
        <w:rPr>
          <w:rFonts w:ascii="Times New Roman" w:cs="Times New Roman" w:eastAsia="Times New Roman" w:hAnsi="Times New Roman"/>
          <w:sz w:val="21"/>
          <w:szCs w:val="21"/>
          <w:color w:val="auto"/>
        </w:rPr>
        <w:t>0.00</w:t>
      </w:r>
    </w:p>
    <w:p>
      <w:pPr>
        <w:sectPr>
          <w:pgSz w:w="11900" w:h="16838" w:orient="portrait"/>
          <w:cols w:equalWidth="0" w:num="1">
            <w:col w:w="10099"/>
          </w:cols>
          <w:pgMar w:left="360" w:top="112" w:right="1440" w:bottom="0" w:gutter="0" w:footer="0" w:header="0"/>
          <w:type w:val="continuous"/>
        </w:sectPr>
      </w:pPr>
    </w:p>
    <w:bookmarkStart w:id="4" w:name="page5"/>
    <w:bookmarkEnd w:id="4"/>
    <w:p>
      <w:pPr>
        <w:ind w:left="1400" w:right="7059" w:hanging="231"/>
        <w:spacing w:after="0" w:line="259" w:lineRule="auto"/>
        <w:tabs>
          <w:tab w:leader="none" w:pos="14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w:t>
      </w:r>
    </w:p>
    <w:p>
      <w:pPr>
        <w:spacing w:after="0" w:line="18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634.00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634.00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09173B107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Citadel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51"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634.00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634.00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OO</w:t>
      </w:r>
    </w:p>
    <w:p>
      <w:pPr>
        <w:sectPr>
          <w:pgSz w:w="11900" w:h="16838" w:orient="portrait"/>
          <w:cols w:equalWidth="0" w:num="2">
            <w:col w:w="1060" w:space="60"/>
            <w:col w:w="8979"/>
          </w:cols>
          <w:pgMar w:left="360" w:top="112" w:right="1440" w:bottom="451" w:gutter="0" w:footer="0" w:header="0"/>
          <w:type w:val="continuous"/>
        </w:sectPr>
      </w:pPr>
    </w:p>
    <w:bookmarkStart w:id="5" w:name="page6"/>
    <w:bookmarkEnd w:id="5"/>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09173B107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Kenneth Griffin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96" w:orient="portrait"/>
          <w:cols w:equalWidth="0" w:num="1">
            <w:col w:w="10980"/>
          </w:cols>
          <w:pgMar w:left="360" w:top="110" w:right="559" w:bottom="0" w:gutter="0" w:footer="0" w:header="0"/>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23,740,167.00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23,740,167.00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23,740,167.00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96" w:orient="portrait"/>
          <w:cols w:equalWidth="0" w:num="2">
            <w:col w:w="1060" w:space="60"/>
            <w:col w:w="9860"/>
          </w:cols>
          <w:pgMar w:left="360" w:top="110" w:right="559"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BITFARMS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110 Yonge Street, Suite 1601, Toronto, Ontario, Canada, M5C 1T4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pacing w:after="0" w:line="233" w:lineRule="exact"/>
        <w:rPr>
          <w:rFonts w:ascii="Times New Roman" w:cs="Times New Roman" w:eastAsia="Times New Roman" w:hAnsi="Times New Roman"/>
          <w:sz w:val="22"/>
          <w:szCs w:val="22"/>
          <w:color w:val="auto"/>
        </w:rPr>
      </w:pPr>
    </w:p>
    <w:p>
      <w:pPr>
        <w:ind w:left="920"/>
        <w:spacing w:after="0" w:line="2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This Schedule 13G is being jointly filed by Citadel Securities GP LLC ("CSGP"), Citadel Securities LLC ("Citadel Securities"), Citadel Securities Group LP ("CALC4"), Citadel Advisors LLC ("Citadel Advisors"), Citadel Advisors Holdings LP ("CAH"), Citadel GP LLC ("CGP"), and Mr. Kenneth Griffin (collectively with CSGP, Citadel Securities, CALC4, Citadel Advisors, CAH, and CGP, the "Reporting Persons") with respect to the Shares of the above-named issuer owned by Citadel Securities, CRBU Holdings LLC, a Delaware limited liability company ("CRBH"), Citadel Securities Principal Strategies LLC, a Delaware limited liability company ("CSP"), and Citadel Multi-Strategy Equities (Ireland) Designated Activity Company, an Ireland company ("CMSI"). Such owned Shares</w:t>
      </w:r>
    </w:p>
    <w:p>
      <w:pPr>
        <w:sectPr>
          <w:pgSz w:w="11900" w:h="16896" w:orient="portrait"/>
          <w:cols w:equalWidth="0" w:num="1">
            <w:col w:w="10980"/>
          </w:cols>
          <w:pgMar w:left="360" w:top="110" w:right="559" w:bottom="0" w:gutter="0" w:footer="0" w:header="0"/>
          <w:type w:val="continuous"/>
        </w:sectPr>
      </w:pPr>
    </w:p>
    <w:bookmarkStart w:id="6" w:name="page7"/>
    <w:bookmarkEnd w:id="6"/>
    <w:p>
      <w:pPr>
        <w:ind w:left="920"/>
        <w:spacing w:after="0" w:line="236" w:lineRule="auto"/>
        <w:rPr>
          <w:sz w:val="20"/>
          <w:szCs w:val="20"/>
          <w:color w:val="auto"/>
        </w:rPr>
      </w:pPr>
      <w:r>
        <w:rPr>
          <w:rFonts w:ascii="Times New Roman" w:cs="Times New Roman" w:eastAsia="Times New Roman" w:hAnsi="Times New Roman"/>
          <w:sz w:val="22"/>
          <w:szCs w:val="22"/>
          <w:color w:val="auto"/>
        </w:rPr>
        <w:t>may include other instruments exercisable for or convertible into Shares. CALC4 is the non-member manager of Citadel Securities, CRBH and CSP. CSGP is the general partner of CALC4. Citadel Advisors is the portfolio manager for CMSI. CAH is the sole member of Citadel Advisors. CGP is the general partner of CAH. Mr. Griffin is the President and Chief Executive Officer of CGP, and owns a controlling interest in CGP and CSGP. The filing of this statement shall not be construed as an admission that any of the Reporting Persons is the beneficial owner of any securities covered by the statement other than the securities actually owned by such person (if any).</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The address of each of the Reporting Persons is 830 Brickell Plaza, Miami, Florida 33131.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jc w:val="both"/>
        <w:ind w:left="920" w:right="220" w:hanging="912"/>
        <w:spacing w:after="0" w:line="244" w:lineRule="auto"/>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CSGP, Citadel Securities, Citadel Advisors, and CGP is organized as a limited liability company under the laws of the State of Delaware. Each of CALC4 and CAH is organized as a limited partnership under the laws of the State of Delaware. Mr. Griffin is a U.S. citizen.</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Shares (the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09173B107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12"/>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0" w:hanging="912"/>
        <w:spacing w:after="0" w:line="193" w:lineRule="auto"/>
        <w:tabs>
          <w:tab w:leader="none" w:pos="920" w:val="left"/>
        </w:tabs>
        <w:numPr>
          <w:ilvl w:val="0"/>
          <w:numId w:val="1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1. Citadel Securities LLC may be deemed to beneficially own 17,283,224 Shares. 2. Each of Citadel Securities Group LP and Citadel Securities GP LLC may be deemed to beneficially own 23,739,533 Shares. 3. Each of Citadel Advisors LLC, Citadel Advisors Holdings LP and Citadel GP LLC may be deemed to beneficially own 634 Shares 4. Mr. Griffin may be deemed to beneficially own 23,740,167 Shares.</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3"/>
          <w:szCs w:val="43"/>
          <w:color w:val="auto"/>
          <w:vertAlign w:val="subscript"/>
        </w:rPr>
      </w:pPr>
    </w:p>
    <w:p>
      <w:pPr>
        <w:ind w:left="1140" w:hanging="214"/>
        <w:spacing w:after="0"/>
        <w:tabs>
          <w:tab w:leader="none" w:pos="114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Shares that Citadel Securities LLC may be deemed to beneficially own constitutes 2.9% of the</w:t>
      </w:r>
    </w:p>
    <w:p>
      <w:pPr>
        <w:spacing w:after="0" w:line="14" w:lineRule="exact"/>
        <w:rPr>
          <w:rFonts w:ascii="Times New Roman" w:cs="Times New Roman" w:eastAsia="Times New Roman" w:hAnsi="Times New Roman"/>
          <w:sz w:val="22"/>
          <w:szCs w:val="22"/>
          <w:color w:val="auto"/>
        </w:rPr>
      </w:pPr>
    </w:p>
    <w:p>
      <w:pPr>
        <w:ind w:left="920" w:right="20" w:hanging="912"/>
        <w:spacing w:after="0" w:line="196" w:lineRule="auto"/>
        <w:tabs>
          <w:tab w:leader="none" w:pos="920" w:val="left"/>
        </w:tabs>
        <w:numPr>
          <w:ilvl w:val="0"/>
          <w:numId w:val="1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Shares outstanding. 2. The number of Shares that each of Citadel Securities Group LP and Citadel Securities GP LLC may be deemed to beneficially own constitutes 4.0% of the Shares outstanding. 3. The number of Shares that each of Citadel Advisors LLC, Citadel Advisors Holdings LP and Citadel GP LLC may be deemed to beneficially own constitutes 0.0% of the Shares outstanding. 4. The number of Shares that Mr. Griffin may be deemed to beneficially own constitutes 4.0% of the Shares outstanding. %</w:t>
      </w:r>
    </w:p>
    <w:p>
      <w:pPr>
        <w:spacing w:after="0" w:line="14"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rFonts w:ascii="Times New Roman" w:cs="Times New Roman" w:eastAsia="Times New Roman" w:hAnsi="Times New Roman"/>
          <w:sz w:val="22"/>
          <w:szCs w:val="22"/>
          <w:color w:val="auto"/>
        </w:rPr>
      </w:pPr>
    </w:p>
    <w:p>
      <w:pPr>
        <w:ind w:left="920" w:right="440" w:firstLine="6"/>
        <w:spacing w:after="0" w:line="258" w:lineRule="auto"/>
        <w:tabs>
          <w:tab w:leader="none" w:pos="1136"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Citadel Securities LLC: 0 2. Each of Citadel Securities Group LP and Citadel Securities GP LLC: 0 3. Each of Citadel Advisors LLC, Citadel Advisors Holdings LP and Citadel GP LLC: 0 4. Mr. Griffin: 0</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1140" w:hanging="214"/>
        <w:spacing w:after="0"/>
        <w:tabs>
          <w:tab w:leader="none" w:pos="114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Citadel Securities LLC: 17,283,224 2. Each of Citadel Securities Group LP and Citadel Securities GP LLC:</w:t>
      </w:r>
    </w:p>
    <w:p>
      <w:pPr>
        <w:spacing w:after="0" w:line="14" w:lineRule="exact"/>
        <w:rPr>
          <w:rFonts w:ascii="Times New Roman" w:cs="Times New Roman" w:eastAsia="Times New Roman" w:hAnsi="Times New Roman"/>
          <w:sz w:val="22"/>
          <w:szCs w:val="22"/>
          <w:color w:val="auto"/>
        </w:rPr>
      </w:pPr>
    </w:p>
    <w:p>
      <w:pPr>
        <w:ind w:left="920" w:right="4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23,739,533 3. Each of Citadel Advisors LLC, Citadel Advisors Holdings LP and Citadel GP LLC: 634 4. Mr. Griffin: 23,740,167</w:t>
      </w:r>
    </w:p>
    <w:p>
      <w:pPr>
        <w:sectPr>
          <w:pgSz w:w="11900" w:h="16838" w:orient="portrait"/>
          <w:cols w:equalWidth="0" w:num="1">
            <w:col w:w="11120"/>
          </w:cols>
          <w:pgMar w:left="360" w:top="111" w:right="419" w:bottom="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460" w:firstLine="6"/>
        <w:spacing w:after="0" w:line="258" w:lineRule="auto"/>
        <w:tabs>
          <w:tab w:leader="none" w:pos="21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Citadel Securities LLC: 0 2. Each of Citadel Securities Group LP and Citadel Securities GP LLC: 0 3. Each of Citadel Advisors LLC, Citadel Advisors Holdings LP and Citadel GP LLC: 0 4. Mr. Griffin: 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220" w:hanging="214"/>
        <w:spacing w:after="0"/>
        <w:tabs>
          <w:tab w:leader="none" w:pos="2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Citadel Securities LLC: 17,283,224 2. Each of Citadel Securities Group LP and Citadel Securities GP LLC:</w:t>
      </w:r>
    </w:p>
    <w:p>
      <w:pPr>
        <w:spacing w:after="0" w:line="14" w:lineRule="exact"/>
        <w:rPr>
          <w:rFonts w:ascii="Times New Roman" w:cs="Times New Roman" w:eastAsia="Times New Roman" w:hAnsi="Times New Roman"/>
          <w:sz w:val="22"/>
          <w:szCs w:val="22"/>
          <w:color w:val="auto"/>
        </w:rPr>
      </w:pPr>
    </w:p>
    <w:p>
      <w:pPr>
        <w:ind w:right="6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23,739,533 3. Each of Citadel Advisors LLC, Citadel Advisors Holdings LP and Citadel GP LLC: 634 4. Mr. Griffin: 23,740,167</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901" w:orient="portrait"/>
          <w:cols w:equalWidth="0" w:num="2">
            <w:col w:w="720" w:space="200"/>
            <w:col w:w="10220"/>
          </w:cols>
          <w:pgMar w:left="360" w:top="409" w:right="399" w:bottom="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Citadel Securities GP LLC</w:t>
      </w:r>
    </w:p>
    <w:p>
      <w:pPr>
        <w:spacing w:after="0" w:line="152"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02/12/2026</w:t>
      </w:r>
    </w:p>
    <w:p>
      <w:pPr>
        <w:spacing w:after="0" w:line="15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2"/>
          <w:szCs w:val="22"/>
          <w:color w:val="auto"/>
        </w:rPr>
        <w:t>Citadel Securities LLC</w:t>
      </w:r>
    </w:p>
    <w:p>
      <w:pPr>
        <w:spacing w:after="0" w:line="152"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02/12/2026</w:t>
      </w:r>
    </w:p>
    <w:p>
      <w:pPr>
        <w:spacing w:after="0" w:line="15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Citadel Securities Group LP</w:t>
      </w:r>
    </w:p>
    <w:p>
      <w:pPr>
        <w:spacing w:after="0" w:line="152"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02/12/2026</w:t>
      </w:r>
    </w:p>
    <w:p>
      <w:pPr>
        <w:spacing w:after="0" w:line="15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Citadel Advisors LLC</w:t>
      </w:r>
    </w:p>
    <w:p>
      <w:pPr>
        <w:spacing w:after="0" w:line="152"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02/12/2026</w:t>
      </w:r>
    </w:p>
    <w:p>
      <w:pPr>
        <w:spacing w:after="0" w:line="15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Citadel Advisors Holdings LP</w:t>
      </w:r>
    </w:p>
    <w:p>
      <w:pPr>
        <w:spacing w:after="0" w:line="152"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02/12/2026</w:t>
      </w:r>
    </w:p>
    <w:p>
      <w:pPr>
        <w:spacing w:after="0" w:line="1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Citadel GP LLC</w:t>
      </w:r>
    </w:p>
    <w:p>
      <w:pPr>
        <w:sectPr>
          <w:pgSz w:w="11900" w:h="16901" w:orient="portrait"/>
          <w:cols w:equalWidth="0" w:num="1">
            <w:col w:w="11140"/>
          </w:cols>
          <w:pgMar w:left="360" w:top="409" w:right="399" w:bottom="0" w:gutter="0" w:footer="0" w:header="0"/>
          <w:type w:val="continuous"/>
        </w:sectPr>
      </w:pPr>
    </w:p>
    <w:bookmarkStart w:id="8" w:name="page9"/>
    <w:bookmarkEnd w:id="8"/>
    <w:p>
      <w:pPr>
        <w:ind w:left="4160"/>
        <w:spacing w:after="0"/>
        <w:tabs>
          <w:tab w:leader="none" w:pos="5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160"/>
        <w:spacing w:after="0"/>
        <w:tabs>
          <w:tab w:leader="none" w:pos="5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02/12/2026</w:t>
      </w:r>
    </w:p>
    <w:p>
      <w:pPr>
        <w:spacing w:after="0" w:line="1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Kenneth Griffin</w:t>
      </w:r>
    </w:p>
    <w:p>
      <w:pPr>
        <w:spacing w:after="0" w:line="152" w:lineRule="exact"/>
        <w:rPr>
          <w:sz w:val="20"/>
          <w:szCs w:val="20"/>
          <w:color w:val="auto"/>
        </w:rPr>
      </w:pPr>
    </w:p>
    <w:p>
      <w:pPr>
        <w:ind w:left="3740"/>
        <w:spacing w:after="0"/>
        <w:tabs>
          <w:tab w:leader="none" w:pos="4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Name/Title: Seth Levy, attorney-in-fact*</w:t>
      </w:r>
    </w:p>
    <w:p>
      <w:pPr>
        <w:spacing w:after="0" w:line="44" w:lineRule="exact"/>
        <w:rPr>
          <w:sz w:val="20"/>
          <w:szCs w:val="20"/>
          <w:color w:val="auto"/>
        </w:rPr>
      </w:pPr>
    </w:p>
    <w:p>
      <w:pPr>
        <w:ind w:left="3740"/>
        <w:spacing w:after="0"/>
        <w:tabs>
          <w:tab w:leader="none" w:pos="48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Seth Levy is signing on behalf of Kenneth Griffin as attorney-in-fact pursuant to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power of attorney previously filed with the Securities and Exchange Commission, and hereby incorporated by reference herein. The power of attorney was filed as an attachment to a filing by Citadel Advisors LLC on Schedule 13G for Allakos Inc. on October 13, 2023.</w:t>
      </w:r>
    </w:p>
    <w:p>
      <w:pPr>
        <w:spacing w:after="0" w:line="4" w:lineRule="exact"/>
        <w:rPr>
          <w:sz w:val="20"/>
          <w:szCs w:val="20"/>
          <w:color w:val="auto"/>
        </w:rPr>
      </w:pPr>
    </w:p>
    <w:p>
      <w:pPr>
        <w:jc w:val="center"/>
        <w:ind w:right="77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Exhibit 99.1 - Joint Filing Agreement</w:t>
      </w:r>
    </w:p>
    <w:p>
      <w:pPr>
        <w:sectPr>
          <w:pgSz w:w="11900" w:h="16838" w:orient="portrait"/>
          <w:cols w:equalWidth="0" w:num="1">
            <w:col w:w="11020"/>
          </w:cols>
          <w:pgMar w:left="320" w:top="274" w:right="55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99.1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JOINT FILING AGREEMENT</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undersigned hereby agree that the Statement on Schedule 13G filed herewith (and any amendments thereto), relating to the Shares, is being filed jointly with the Securities and Exchange Commission pursuant to Rule 13d-1(c) under the Securities Exchange Act of 1934, as amended, on behalf of each of the undersigned.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Agreement may be executed in counterparts and each of such counterparts taken together shall constitute one and the same instrument.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 February 12, 2026.</w:t>
            </w:r>
          </w:p>
        </w:tc>
        <w:tc>
          <w:tcPr>
            <w:tcW w:w="8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CITADEL SECURITIES LLC</w:t>
            </w:r>
          </w:p>
        </w:tc>
        <w:tc>
          <w:tcPr>
            <w:tcW w:w="582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CITADEL ADVISORS LLC</w:t>
            </w:r>
          </w:p>
        </w:tc>
        <w:tc>
          <w:tcPr>
            <w:tcW w:w="0" w:type="dxa"/>
            <w:vAlign w:val="bottom"/>
          </w:tcPr>
          <w:p>
            <w:pPr>
              <w:spacing w:after="0"/>
              <w:rPr>
                <w:sz w:val="1"/>
                <w:szCs w:val="1"/>
                <w:color w:val="auto"/>
              </w:rPr>
            </w:pPr>
          </w:p>
        </w:tc>
      </w:tr>
      <w:tr>
        <w:trPr>
          <w:trHeight w:val="459"/>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By: /s/ Seth Levy</w:t>
            </w:r>
          </w:p>
        </w:tc>
        <w:tc>
          <w:tcPr>
            <w:tcW w:w="582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By: /s/ Seth Levy</w:t>
            </w: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5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Seth Levy, Authorized Signatory</w:t>
            </w:r>
          </w:p>
        </w:tc>
        <w:tc>
          <w:tcPr>
            <w:tcW w:w="820" w:type="dxa"/>
            <w:vAlign w:val="bottom"/>
          </w:tcPr>
          <w:p>
            <w:pPr>
              <w:spacing w:after="0"/>
              <w:rPr>
                <w:sz w:val="19"/>
                <w:szCs w:val="19"/>
                <w:color w:val="auto"/>
              </w:rPr>
            </w:pPr>
          </w:p>
        </w:tc>
        <w:tc>
          <w:tcPr>
            <w:tcW w:w="50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Seth Levy, Authorized Signatory</w:t>
            </w:r>
          </w:p>
        </w:tc>
        <w:tc>
          <w:tcPr>
            <w:tcW w:w="0" w:type="dxa"/>
            <w:vAlign w:val="bottom"/>
          </w:tcPr>
          <w:p>
            <w:pPr>
              <w:spacing w:after="0"/>
              <w:rPr>
                <w:sz w:val="1"/>
                <w:szCs w:val="1"/>
                <w:color w:val="auto"/>
              </w:rPr>
            </w:pPr>
          </w:p>
        </w:tc>
      </w:tr>
      <w:tr>
        <w:trPr>
          <w:trHeight w:val="684"/>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CITADEL SECURITIES GROUP LP</w:t>
            </w:r>
          </w:p>
        </w:tc>
        <w:tc>
          <w:tcPr>
            <w:tcW w:w="582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CITADEL ADVISORS HOLDINGS LP</w:t>
            </w:r>
          </w:p>
        </w:tc>
        <w:tc>
          <w:tcPr>
            <w:tcW w:w="0" w:type="dxa"/>
            <w:vAlign w:val="bottom"/>
          </w:tcPr>
          <w:p>
            <w:pPr>
              <w:spacing w:after="0"/>
              <w:rPr>
                <w:sz w:val="1"/>
                <w:szCs w:val="1"/>
                <w:color w:val="auto"/>
              </w:rPr>
            </w:pPr>
          </w:p>
        </w:tc>
      </w:tr>
      <w:tr>
        <w:trPr>
          <w:trHeight w:val="459"/>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By: /s/ Seth Levy</w:t>
            </w:r>
          </w:p>
        </w:tc>
        <w:tc>
          <w:tcPr>
            <w:tcW w:w="582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By: /s/ Seth Levy</w:t>
            </w: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5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Seth Levy, Authorized Signatory</w:t>
            </w:r>
          </w:p>
        </w:tc>
        <w:tc>
          <w:tcPr>
            <w:tcW w:w="820" w:type="dxa"/>
            <w:vAlign w:val="bottom"/>
          </w:tcPr>
          <w:p>
            <w:pPr>
              <w:spacing w:after="0"/>
              <w:rPr>
                <w:sz w:val="19"/>
                <w:szCs w:val="19"/>
                <w:color w:val="auto"/>
              </w:rPr>
            </w:pPr>
          </w:p>
        </w:tc>
        <w:tc>
          <w:tcPr>
            <w:tcW w:w="50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Seth Levy, Authorized Signatory</w:t>
            </w:r>
          </w:p>
        </w:tc>
        <w:tc>
          <w:tcPr>
            <w:tcW w:w="0" w:type="dxa"/>
            <w:vAlign w:val="bottom"/>
          </w:tcPr>
          <w:p>
            <w:pPr>
              <w:spacing w:after="0"/>
              <w:rPr>
                <w:sz w:val="1"/>
                <w:szCs w:val="1"/>
                <w:color w:val="auto"/>
              </w:rPr>
            </w:pPr>
          </w:p>
        </w:tc>
      </w:tr>
      <w:tr>
        <w:trPr>
          <w:trHeight w:val="684"/>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CITADEL SECURITIES GP LLC</w:t>
            </w:r>
          </w:p>
        </w:tc>
        <w:tc>
          <w:tcPr>
            <w:tcW w:w="582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CITADEL GP LLC</w:t>
            </w:r>
          </w:p>
        </w:tc>
        <w:tc>
          <w:tcPr>
            <w:tcW w:w="0" w:type="dxa"/>
            <w:vAlign w:val="bottom"/>
          </w:tcPr>
          <w:p>
            <w:pPr>
              <w:spacing w:after="0"/>
              <w:rPr>
                <w:sz w:val="1"/>
                <w:szCs w:val="1"/>
                <w:color w:val="auto"/>
              </w:rPr>
            </w:pPr>
          </w:p>
        </w:tc>
      </w:tr>
      <w:tr>
        <w:trPr>
          <w:trHeight w:val="459"/>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By: /s/ Seth Levy</w:t>
            </w:r>
          </w:p>
        </w:tc>
        <w:tc>
          <w:tcPr>
            <w:tcW w:w="582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By: /s/ Seth Levy</w:t>
            </w: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5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Seth Levy, Authorized Signatory</w:t>
            </w:r>
          </w:p>
        </w:tc>
        <w:tc>
          <w:tcPr>
            <w:tcW w:w="820" w:type="dxa"/>
            <w:vAlign w:val="bottom"/>
          </w:tcPr>
          <w:p>
            <w:pPr>
              <w:spacing w:after="0"/>
              <w:rPr>
                <w:sz w:val="19"/>
                <w:szCs w:val="19"/>
                <w:color w:val="auto"/>
              </w:rPr>
            </w:pPr>
          </w:p>
        </w:tc>
        <w:tc>
          <w:tcPr>
            <w:tcW w:w="50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Seth Levy, Authorized Signatory</w:t>
            </w:r>
          </w:p>
        </w:tc>
        <w:tc>
          <w:tcPr>
            <w:tcW w:w="0" w:type="dxa"/>
            <w:vAlign w:val="bottom"/>
          </w:tcPr>
          <w:p>
            <w:pPr>
              <w:spacing w:after="0"/>
              <w:rPr>
                <w:sz w:val="1"/>
                <w:szCs w:val="1"/>
                <w:color w:val="auto"/>
              </w:rPr>
            </w:pPr>
          </w:p>
        </w:tc>
      </w:tr>
      <w:tr>
        <w:trPr>
          <w:trHeight w:val="684"/>
        </w:trPr>
        <w:tc>
          <w:tcPr>
            <w:tcW w:w="3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582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KENNETH GRIFFIN</w:t>
            </w:r>
          </w:p>
        </w:tc>
        <w:tc>
          <w:tcPr>
            <w:tcW w:w="0" w:type="dxa"/>
            <w:vAlign w:val="bottom"/>
          </w:tcPr>
          <w:p>
            <w:pPr>
              <w:spacing w:after="0"/>
              <w:rPr>
                <w:sz w:val="1"/>
                <w:szCs w:val="1"/>
                <w:color w:val="auto"/>
              </w:rPr>
            </w:pPr>
          </w:p>
        </w:tc>
      </w:tr>
      <w:tr>
        <w:trPr>
          <w:trHeight w:val="459"/>
        </w:trPr>
        <w:tc>
          <w:tcPr>
            <w:tcW w:w="3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582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By: /s/ Seth Levy</w:t>
            </w:r>
          </w:p>
        </w:tc>
        <w:tc>
          <w:tcPr>
            <w:tcW w:w="0" w:type="dxa"/>
            <w:vAlign w:val="bottom"/>
          </w:tcPr>
          <w:p>
            <w:pPr>
              <w:spacing w:after="0"/>
              <w:rPr>
                <w:sz w:val="1"/>
                <w:szCs w:val="1"/>
                <w:color w:val="auto"/>
              </w:rPr>
            </w:pPr>
          </w:p>
        </w:tc>
      </w:tr>
      <w:tr>
        <w:trPr>
          <w:trHeight w:val="156"/>
        </w:trPr>
        <w:tc>
          <w:tcPr>
            <w:tcW w:w="38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92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w w:val="97"/>
              </w:rPr>
              <w:t>Seth Levy, attorney-in-fact</w:t>
            </w: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3000" w:type="dxa"/>
            <w:vAlign w:val="bottom"/>
            <w:tcBorders>
              <w:top w:val="single" w:sz="8" w:color="auto"/>
              <w:bottom w:val="single" w:sz="8" w:color="auto"/>
            </w:tcBorders>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380" w:type="dxa"/>
            <w:vAlign w:val="bottom"/>
          </w:tcPr>
          <w:p>
            <w:pPr>
              <w:spacing w:after="0"/>
              <w:rPr>
                <w:sz w:val="7"/>
                <w:szCs w:val="7"/>
                <w:color w:val="auto"/>
              </w:rPr>
            </w:pPr>
          </w:p>
        </w:tc>
        <w:tc>
          <w:tcPr>
            <w:tcW w:w="50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9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3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200" w:right="180" w:hanging="192"/>
        <w:spacing w:after="0" w:line="210" w:lineRule="auto"/>
        <w:tabs>
          <w:tab w:leader="none" w:pos="200" w:val="left"/>
        </w:tabs>
        <w:numPr>
          <w:ilvl w:val="0"/>
          <w:numId w:val="18"/>
        </w:numPr>
        <w:rPr>
          <w:rFonts w:ascii="Times New Roman" w:cs="Times New Roman" w:eastAsia="Times New Roman" w:hAnsi="Times New Roman"/>
          <w:sz w:val="30"/>
          <w:szCs w:val="30"/>
          <w:u w:val="single" w:color="auto"/>
          <w:color w:val="auto"/>
          <w:vertAlign w:val="superscript"/>
        </w:rPr>
      </w:pPr>
      <w:r>
        <w:rPr>
          <w:rFonts w:ascii="Times New Roman" w:cs="Times New Roman" w:eastAsia="Times New Roman" w:hAnsi="Times New Roman"/>
          <w:sz w:val="18"/>
          <w:szCs w:val="18"/>
          <w:color w:val="auto"/>
        </w:rPr>
        <w:t>Seth Levy is signing on behalf of Kenneth Griffin as attorney-in-fact pursuant to a power of attorney previously filed with the Securities and Exchange Commission, and hereby incorporated by reference herein. The power of attorney was filed as an attachment to a filing by Citadel Advisors LLC on Schedule 13G for Allakos Inc. on October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2200854"/>
    <w:multiLevelType w:val="hybridMultilevel"/>
    <w:lvl w:ilvl="0">
      <w:lvlJc w:val="left"/>
      <w:lvlText w:val="2"/>
      <w:numFmt w:val="bullet"/>
      <w:start w:val="1"/>
    </w:lvl>
  </w:abstractNum>
  <w:abstractNum w:abstractNumId="1">
    <w:nsid w:val="4DB127F8"/>
    <w:multiLevelType w:val="hybridMultilevel"/>
    <w:lvl w:ilvl="0">
      <w:lvlJc w:val="left"/>
      <w:lvlText w:val="3"/>
      <w:numFmt w:val="bullet"/>
      <w:start w:val="1"/>
    </w:lvl>
  </w:abstractNum>
  <w:abstractNum w:abstractNumId="2">
    <w:nsid w:val="216231B"/>
    <w:multiLevelType w:val="hybridMultilevel"/>
    <w:lvl w:ilvl="0">
      <w:lvlJc w:val="left"/>
      <w:lvlText w:val="2"/>
      <w:numFmt w:val="bullet"/>
      <w:start w:val="1"/>
    </w:lvl>
  </w:abstractNum>
  <w:abstractNum w:abstractNumId="3">
    <w:nsid w:val="1F16E9E8"/>
    <w:multiLevelType w:val="hybridMultilevel"/>
    <w:lvl w:ilvl="0">
      <w:lvlJc w:val="left"/>
      <w:lvlText w:val="3"/>
      <w:numFmt w:val="bullet"/>
      <w:start w:val="1"/>
    </w:lvl>
  </w:abstractNum>
  <w:abstractNum w:abstractNumId="4">
    <w:nsid w:val="1190CDE7"/>
    <w:multiLevelType w:val="hybridMultilevel"/>
    <w:lvl w:ilvl="0">
      <w:lvlJc w:val="left"/>
      <w:lvlText w:val="1"/>
      <w:numFmt w:val="bullet"/>
      <w:start w:val="1"/>
    </w:lvl>
  </w:abstractNum>
  <w:abstractNum w:abstractNumId="5">
    <w:nsid w:val="66EF438D"/>
    <w:multiLevelType w:val="hybridMultilevel"/>
    <w:lvl w:ilvl="0">
      <w:lvlJc w:val="left"/>
      <w:lvlText w:val="2"/>
      <w:numFmt w:val="bullet"/>
      <w:start w:val="1"/>
    </w:lvl>
  </w:abstractNum>
  <w:abstractNum w:abstractNumId="6">
    <w:nsid w:val="140E0F76"/>
    <w:multiLevelType w:val="hybridMultilevel"/>
    <w:lvl w:ilvl="0">
      <w:lvlJc w:val="left"/>
      <w:lvlText w:val="3"/>
      <w:numFmt w:val="bullet"/>
      <w:start w:val="1"/>
    </w:lvl>
  </w:abstractNum>
  <w:abstractNum w:abstractNumId="7">
    <w:nsid w:val="3352255A"/>
    <w:multiLevelType w:val="hybridMultilevel"/>
    <w:lvl w:ilvl="0">
      <w:lvlJc w:val="left"/>
      <w:lvlText w:val="8"/>
      <w:numFmt w:val="bullet"/>
      <w:start w:val="1"/>
    </w:lvl>
  </w:abstractNum>
  <w:abstractNum w:abstractNumId="8">
    <w:nsid w:val="109CF92E"/>
    <w:multiLevelType w:val="hybridMultilevel"/>
    <w:lvl w:ilvl="0">
      <w:lvlJc w:val="left"/>
      <w:lvlText w:val="2"/>
      <w:numFmt w:val="bullet"/>
      <w:start w:val="1"/>
    </w:lvl>
  </w:abstractNum>
  <w:abstractNum w:abstractNumId="9">
    <w:nsid w:val="DED7263"/>
    <w:multiLevelType w:val="hybridMultilevel"/>
    <w:lvl w:ilvl="0">
      <w:lvlJc w:val="left"/>
      <w:lvlText w:val="(%1)"/>
      <w:numFmt w:val="lowerLetter"/>
      <w:start w:val="1"/>
    </w:lvl>
  </w:abstractNum>
  <w:abstractNum w:abstractNumId="10">
    <w:nsid w:val="7FDCC233"/>
    <w:multiLevelType w:val="hybridMultilevel"/>
    <w:lvl w:ilvl="0">
      <w:lvlJc w:val="left"/>
      <w:lvlText w:val="(%1)"/>
      <w:numFmt w:val="lowerLetter"/>
      <w:start w:val="3"/>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lowerLetter"/>
      <w:start w:val="11"/>
    </w:lvl>
  </w:abstractNum>
  <w:abstractNum w:abstractNumId="13">
    <w:nsid w:val="6B68079A"/>
    <w:multiLevelType w:val="hybridMultilevel"/>
    <w:lvl w:ilvl="0">
      <w:lvlJc w:val="left"/>
      <w:lvlText w:val="(%1)"/>
      <w:numFmt w:val="lowerLetter"/>
      <w:start w:val="1"/>
    </w:lvl>
    <w:lvl w:ilvl="1">
      <w:lvlJc w:val="left"/>
      <w:lvlText w:val="%2."/>
      <w:numFmt w:val="decimal"/>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2026-02-12T17:26:26Z</dcterms:created>
  <dcterms:modified xsi:type="dcterms:W3CDTF">2026-02-12T17:26:26Z</dcterms:modified>
</cp:coreProperties>
</file>