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28, 2024, the Registrant filed with the Canadian Securities Regulatory Authorities on the System for Electronic Data Analysis and Retrieval + (SEDAR +) a press release, a copy of which is attached hereto as Exhibit 99.1,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Appoints Rachel Silverstein as U.S. General Counsel</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(October 28, 2024) </w:t>
      </w:r>
      <w:r>
        <w:rPr>
          <w:rFonts w:ascii="Times New Roman" w:cs="Times New Roman" w:eastAsia="Times New Roman" w:hAnsi="Times New Roman"/>
          <w:sz w:val="18"/>
          <w:szCs w:val="18"/>
          <w:color w:val="auto"/>
        </w:rPr>
        <w:t>- Bitfarms Ltd. (NASDAQ/TSX: BITF), a global leader in vertically integrated Bitcoin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operations, today announced that it has appointed Rachel Silverstein as U.S. General Counsel, a newly created role, effective November 1, 2024.</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Silverstein has been a practicing attorney for over 16 years and is one of the most experienced Bitcoin mining-focused attorneys in the U.S., having served as lead counsel on well over a gigawatt worth of Bitcoin mining transactions across multiple states and countries. She is the co-founder of Firm 21m, a law firm dedicated to representing primarily Bitcoin miners, energy companies, investors and data center builders in all manner of commercial transactions, mergers and acquisitions, strategic financings, energy supply agreements and hosting agreements. Prior to founding the firm, Ms. Silverstein held the positions of General Counsel at CleanSpark, Inc. from 2020 to 2023, and Corporate Counsel at Zappos, among others. She earned a bachelor’s degree from The George Washington University and a juris doctorate degree from William S. Boyd School of Law, University of Nevada-Las Vegas.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strengthen the Bitfarms team and are thrilled to have a thought leader like Rachel join our team,” stated Ben Gagnon, Chief Executive Officer. “Internalizing this function will drive improved operating efficiencies, further enhance our corporate governance and reduce legal expenses. Rachel’s extensive expertise and proven track record with Bitcoin miners and data center builders will be invaluable as we continue to scale in the U.S. We look forward to her contributions as we continue to execute on our strategic initiatives and create further shareholder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Silverstein stated, “Ben and the management team at Bitfarms are passionate, thoughtful and innovative leaders, and I am honored and excited to join the Company during such a pivotal time of growth. The Company has a compelling strategic vision, and I intend to leverage my industry acumen, deal-closing experience and operations-centric focus to execute on that vision with clarity, diligence and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920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920240"/>
                    </a:xfrm>
                    <a:prstGeom prst="rect">
                      <a:avLst/>
                    </a:prstGeom>
                    <a:noFill/>
                  </pic:spPr>
                </pic:pic>
              </a:graphicData>
            </a:graphic>
          </wp:anchor>
        </w:drawing>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234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and expansion, and other statements regarding future plans and objectives of Bitfarms, improved operating efficiencies, financial performance and cost savings in general, and other statements regarding future growth, plans and objectives of the Company are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640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640705"/>
                    </a:xfrm>
                    <a:prstGeom prst="rect">
                      <a:avLst/>
                    </a:prstGeom>
                    <a:noFill/>
                  </pic:spPr>
                </pic:pic>
              </a:graphicData>
            </a:graphic>
          </wp:anchor>
        </w:drawing>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include, among others, risks relating to: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Bitcoin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undertakes no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2024-10-29T05:13:18Z</dcterms:created>
  <dcterms:modified xsi:type="dcterms:W3CDTF">2024-10-29T05:13:18Z</dcterms:modified>
</cp:coreProperties>
</file>