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392430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670750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67075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13a-16 OR 15d-16</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1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month of October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670750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670750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BITFARMS LTD.</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670750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3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110 Yonge Street, Suite 1601, Toronto, Ontario, Canada M5C 1T4</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670750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42" w:lineRule="exact"/>
        <w:rPr>
          <w:sz w:val="24"/>
          <w:szCs w:val="24"/>
          <w:color w:val="auto"/>
        </w:rPr>
      </w:pPr>
    </w:p>
    <w:p>
      <w:pPr>
        <w:jc w:val="center"/>
        <w:ind w:right="-19"/>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Form 40-F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141605</wp:posOffset>
            </wp:positionV>
            <wp:extent cx="67075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164465</wp:posOffset>
            </wp:positionV>
            <wp:extent cx="670750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560705</wp:posOffset>
            </wp:positionV>
            <wp:extent cx="670750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INCLUDED AS PART OF THIS FORM 6-K</w:t>
      </w:r>
    </w:p>
    <w:p>
      <w:pPr>
        <w:spacing w:after="0" w:line="178" w:lineRule="exact"/>
        <w:rPr>
          <w:sz w:val="24"/>
          <w:szCs w:val="24"/>
          <w:color w:val="auto"/>
        </w:rPr>
      </w:pPr>
    </w:p>
    <w:p>
      <w:pPr>
        <w:jc w:val="both"/>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October 21,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Form F-10 (File No. </w:t>
      </w:r>
      <w:hyperlink r:id="rId19">
        <w:r>
          <w:rPr>
            <w:rFonts w:ascii="Times New Roman" w:cs="Times New Roman" w:eastAsia="Times New Roman" w:hAnsi="Times New Roman"/>
            <w:sz w:val="16"/>
            <w:szCs w:val="16"/>
            <w:u w:val="single" w:color="auto"/>
            <w:color w:val="0000EE"/>
          </w:rPr>
          <w:t>333-272989</w:t>
        </w:r>
      </w:hyperlink>
      <w:r>
        <w:rPr>
          <w:rFonts w:ascii="Times New Roman" w:cs="Times New Roman" w:eastAsia="Times New Roman" w:hAnsi="Times New Roman"/>
          <w:sz w:val="16"/>
          <w:szCs w:val="16"/>
          <w:color w:val="auto"/>
        </w:rPr>
        <w:t xml:space="preserve">) and Form S-8 (File No. </w:t>
      </w:r>
      <w:hyperlink r:id="rId20">
        <w:r>
          <w:rPr>
            <w:rFonts w:ascii="Times New Roman" w:cs="Times New Roman" w:eastAsia="Times New Roman" w:hAnsi="Times New Roman"/>
            <w:sz w:val="16"/>
            <w:szCs w:val="16"/>
            <w:u w:val="single" w:color="auto"/>
            <w:color w:val="0000EE"/>
          </w:rPr>
          <w:t>333-278868</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File No. </w:t>
      </w:r>
      <w:hyperlink r:id="rId21">
        <w:r>
          <w:rPr>
            <w:rFonts w:ascii="Times New Roman" w:cs="Times New Roman" w:eastAsia="Times New Roman" w:hAnsi="Times New Roman"/>
            <w:sz w:val="16"/>
            <w:szCs w:val="16"/>
            <w:u w:val="single" w:color="auto"/>
            <w:color w:val="0000EE"/>
          </w:rPr>
          <w:t>333-285894</w:t>
        </w:r>
      </w:hyperlink>
      <w:r>
        <w:rPr>
          <w:rFonts w:ascii="Times New Roman" w:cs="Times New Roman" w:eastAsia="Times New Roman" w:hAnsi="Times New Roman"/>
          <w:sz w:val="16"/>
          <w:szCs w:val="16"/>
          <w:color w:val="auto"/>
        </w:rPr>
        <w:t>), each as amended or supplemented.</w:t>
      </w:r>
    </w:p>
    <w:p>
      <w:pPr>
        <w:spacing w:after="0" w:line="155"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See the Exhibits listed below.</w:t>
      </w:r>
    </w:p>
    <w:p>
      <w:pPr>
        <w:spacing w:after="0" w:line="174" w:lineRule="exact"/>
        <w:rPr>
          <w:rFonts w:ascii="Times New Roman" w:cs="Times New Roman" w:eastAsia="Times New Roman" w:hAnsi="Times New Roman"/>
          <w:sz w:val="16"/>
          <w:szCs w:val="16"/>
          <w:color w:val="auto"/>
        </w:rPr>
      </w:pPr>
    </w:p>
    <w:tbl>
      <w:tblPr>
        <w:tblLayout w:type="fixed"/>
        <w:tblInd w:w="0" w:type="dxa"/>
        <w:tblCellMar>
          <w:top w:w="0" w:type="dxa"/>
          <w:left w:w="0" w:type="dxa"/>
          <w:bottom w:w="0" w:type="dxa"/>
          <w:right w:w="0" w:type="dxa"/>
        </w:tblCellMar>
      </w:tblPr>
      <w:tr>
        <w:trPr>
          <w:trHeight w:val="205"/>
        </w:trPr>
        <w:tc>
          <w:tcPr>
            <w:tcW w:w="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6500" w:type="dxa"/>
            <w:vAlign w:val="bottom"/>
          </w:tcPr>
          <w:p>
            <w:pPr>
              <w:spacing w:after="0"/>
              <w:rPr>
                <w:sz w:val="17"/>
                <w:szCs w:val="17"/>
                <w:color w:val="auto"/>
              </w:rPr>
            </w:pPr>
          </w:p>
        </w:tc>
      </w:tr>
      <w:tr>
        <w:trPr>
          <w:trHeight w:val="402"/>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Exhibit No.</w:t>
            </w:r>
          </w:p>
        </w:tc>
        <w:tc>
          <w:tcPr>
            <w:tcW w:w="100" w:type="dxa"/>
            <w:vAlign w:val="bottom"/>
            <w:tcBorders>
              <w:bottom w:val="single" w:sz="8" w:color="CCEEFF"/>
            </w:tcBorders>
          </w:tcPr>
          <w:p>
            <w:pPr>
              <w:spacing w:after="0"/>
              <w:rPr>
                <w:sz w:val="24"/>
                <w:szCs w:val="24"/>
                <w:color w:val="auto"/>
              </w:rPr>
            </w:pPr>
          </w:p>
        </w:tc>
        <w:tc>
          <w:tcPr>
            <w:tcW w:w="9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156"/>
        </w:trPr>
        <w:tc>
          <w:tcPr>
            <w:tcW w:w="9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99.1</w:t>
            </w:r>
          </w:p>
        </w:tc>
        <w:tc>
          <w:tcPr>
            <w:tcW w:w="100" w:type="dxa"/>
            <w:vAlign w:val="bottom"/>
            <w:shd w:val="clear" w:color="auto" w:fill="CCEEFF"/>
          </w:tcPr>
          <w:p>
            <w:pPr>
              <w:spacing w:after="0"/>
              <w:rPr>
                <w:sz w:val="13"/>
                <w:szCs w:val="13"/>
                <w:color w:val="auto"/>
              </w:rPr>
            </w:pPr>
          </w:p>
        </w:tc>
        <w:tc>
          <w:tcPr>
            <w:tcW w:w="9500" w:type="dxa"/>
            <w:vAlign w:val="bottom"/>
            <w:gridSpan w:val="2"/>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Material Change Report dated October 21, 2025</w:t>
              </w:r>
            </w:hyperlink>
          </w:p>
        </w:tc>
      </w:tr>
      <w:tr>
        <w:trPr>
          <w:trHeight w:val="24"/>
        </w:trPr>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0" w:type="dxa"/>
            <w:vAlign w:val="bottom"/>
            <w:shd w:val="clear" w:color="auto" w:fill="0000EE"/>
          </w:tcPr>
          <w:p>
            <w:pPr>
              <w:spacing w:after="0"/>
              <w:rPr>
                <w:sz w:val="2"/>
                <w:szCs w:val="2"/>
                <w:color w:val="auto"/>
              </w:rPr>
            </w:pPr>
          </w:p>
        </w:tc>
        <w:tc>
          <w:tcPr>
            <w:tcW w:w="6500" w:type="dxa"/>
            <w:vAlign w:val="bottom"/>
            <w:shd w:val="clear" w:color="auto" w:fill="CCEEFF"/>
          </w:tcPr>
          <w:p>
            <w:pPr>
              <w:spacing w:after="0"/>
              <w:rPr>
                <w:sz w:val="2"/>
                <w:szCs w:val="2"/>
                <w:color w:val="auto"/>
              </w:rPr>
            </w:pPr>
          </w:p>
        </w:tc>
      </w:tr>
    </w:tbl>
    <w:p>
      <w:pPr>
        <w:spacing w:after="0" w:line="200" w:lineRule="exact"/>
        <w:rPr>
          <w:rFonts w:ascii="Times New Roman" w:cs="Times New Roman" w:eastAsia="Times New Roman" w:hAnsi="Times New Roman"/>
          <w:sz w:val="16"/>
          <w:szCs w:val="16"/>
          <w:color w:val="auto"/>
        </w:rPr>
      </w:pPr>
    </w:p>
    <w:p>
      <w:pPr>
        <w:spacing w:after="0" w:line="207"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6"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w:t>
      </w:r>
    </w:p>
    <w:p>
      <w:pPr>
        <w:spacing w:after="0" w:line="176" w:lineRule="exact"/>
        <w:rPr>
          <w:rFonts w:ascii="Times New Roman" w:cs="Times New Roman" w:eastAsia="Times New Roman" w:hAnsi="Times New Roman"/>
          <w:sz w:val="16"/>
          <w:szCs w:val="16"/>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1" w:lineRule="exact"/>
        <w:rPr>
          <w:rFonts w:ascii="Times New Roman" w:cs="Times New Roman" w:eastAsia="Times New Roman" w:hAnsi="Times New Roman"/>
          <w:sz w:val="16"/>
          <w:szCs w:val="16"/>
          <w:color w:val="auto"/>
        </w:rPr>
      </w:pPr>
    </w:p>
    <w:p>
      <w:pPr>
        <w:ind w:left="6360"/>
        <w:spacing w:after="0"/>
        <w:rPr>
          <w:sz w:val="20"/>
          <w:szCs w:val="20"/>
          <w:color w:val="auto"/>
        </w:rPr>
      </w:pPr>
      <w:r>
        <w:rPr>
          <w:rFonts w:ascii="Times New Roman" w:cs="Times New Roman" w:eastAsia="Times New Roman" w:hAnsi="Times New Roman"/>
          <w:sz w:val="16"/>
          <w:szCs w:val="16"/>
          <w:b w:val="1"/>
          <w:bCs w:val="1"/>
          <w:color w:val="auto"/>
        </w:rPr>
        <w:t>BITFARMS LTD.</w:t>
      </w:r>
    </w:p>
    <w:p>
      <w:pPr>
        <w:spacing w:after="0" w:line="178" w:lineRule="exact"/>
        <w:rPr>
          <w:rFonts w:ascii="Times New Roman" w:cs="Times New Roman" w:eastAsia="Times New Roman" w:hAnsi="Times New Roman"/>
          <w:sz w:val="16"/>
          <w:szCs w:val="16"/>
          <w:color w:val="auto"/>
        </w:rPr>
      </w:pPr>
    </w:p>
    <w:p>
      <w:pPr>
        <w:ind w:left="6360"/>
        <w:spacing w:after="0"/>
        <w:rPr>
          <w:sz w:val="20"/>
          <w:szCs w:val="20"/>
          <w:color w:val="auto"/>
        </w:rPr>
      </w:pPr>
      <w:r>
        <w:rPr>
          <w:rFonts w:ascii="Times New Roman" w:cs="Times New Roman" w:eastAsia="Times New Roman" w:hAnsi="Times New Roman"/>
          <w:sz w:val="16"/>
          <w:szCs w:val="16"/>
          <w:color w:val="auto"/>
        </w:rPr>
        <w:t>By: /s/ Ben Gagnon</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4234180</wp:posOffset>
            </wp:positionH>
            <wp:positionV relativeFrom="paragraph">
              <wp:posOffset>5715</wp:posOffset>
            </wp:positionV>
            <wp:extent cx="247713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477135" cy="15240"/>
                    </a:xfrm>
                    <a:prstGeom prst="rect">
                      <a:avLst/>
                    </a:prstGeom>
                    <a:noFill/>
                  </pic:spPr>
                </pic:pic>
              </a:graphicData>
            </a:graphic>
          </wp:anchor>
        </w:drawing>
      </w:r>
    </w:p>
    <w:p>
      <w:pPr>
        <w:spacing w:after="0" w:line="11" w:lineRule="exact"/>
        <w:rPr>
          <w:rFonts w:ascii="Times New Roman" w:cs="Times New Roman" w:eastAsia="Times New Roman" w:hAnsi="Times New Roman"/>
          <w:sz w:val="16"/>
          <w:szCs w:val="16"/>
          <w:color w:val="auto"/>
        </w:rPr>
      </w:pPr>
    </w:p>
    <w:p>
      <w:pPr>
        <w:ind w:left="6660"/>
        <w:spacing w:after="0"/>
        <w:tabs>
          <w:tab w:leader="none" w:pos="722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4"/>
          <w:szCs w:val="14"/>
          <w:color w:val="auto"/>
        </w:rPr>
        <w:t>Ben Gagnon</w:t>
      </w:r>
    </w:p>
    <w:p>
      <w:pPr>
        <w:spacing w:after="0" w:line="3" w:lineRule="exact"/>
        <w:rPr>
          <w:rFonts w:ascii="Times New Roman" w:cs="Times New Roman" w:eastAsia="Times New Roman" w:hAnsi="Times New Roman"/>
          <w:sz w:val="16"/>
          <w:szCs w:val="16"/>
          <w:color w:val="auto"/>
        </w:rPr>
      </w:pPr>
    </w:p>
    <w:p>
      <w:pPr>
        <w:ind w:left="6660"/>
        <w:spacing w:after="0"/>
        <w:tabs>
          <w:tab w:leader="none" w:pos="722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58"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Date: October 22, 2025</w:t>
      </w:r>
    </w:p>
    <w:p>
      <w:pPr>
        <w:spacing w:after="0" w:line="368"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794" w:right="68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51-102F3</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MATERIAL CHANGE REPORT</w:t>
      </w:r>
    </w:p>
    <w:p>
      <w:pPr>
        <w:spacing w:after="0" w:line="1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Name and Address of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Bitfarms Ltd. (“Bitfarms” or the “Company”)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110 Yonge Street, Suite 1601</w:t>
      </w:r>
    </w:p>
    <w:p>
      <w:pPr>
        <w:spacing w:after="0"/>
        <w:rPr>
          <w:sz w:val="20"/>
          <w:szCs w:val="20"/>
          <w:color w:val="auto"/>
        </w:rPr>
      </w:pPr>
      <w:r>
        <w:rPr>
          <w:rFonts w:ascii="Times New Roman" w:cs="Times New Roman" w:eastAsia="Times New Roman" w:hAnsi="Times New Roman"/>
          <w:sz w:val="16"/>
          <w:szCs w:val="16"/>
          <w:color w:val="auto"/>
        </w:rPr>
        <w:t>Toronto, Ontario M5C 1T4</w:t>
      </w:r>
    </w:p>
    <w:p>
      <w:pPr>
        <w:spacing w:after="0" w:line="1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Date of Material Change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21, 2025.</w:t>
      </w:r>
    </w:p>
    <w:p>
      <w:pPr>
        <w:spacing w:after="0" w:line="17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News Release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press release attached as Schedule “A” was released on October 21, 2025 by a newswire company in Canada.</w:t>
      </w:r>
    </w:p>
    <w:p>
      <w:pPr>
        <w:spacing w:after="0" w:line="17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Summary of Material Change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material change is described in the press release attached as Schedule “A”.</w:t>
      </w:r>
    </w:p>
    <w:p>
      <w:pPr>
        <w:spacing w:after="0" w:line="17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Full Description of Material Change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material change is described in the press release attached as Schedule “A”.</w:t>
      </w:r>
    </w:p>
    <w:p>
      <w:pPr>
        <w:spacing w:after="0" w:line="17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Reliance of subsection 7.1(2) of National Instrument 51-102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7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4"/>
          <w:szCs w:val="14"/>
          <w:b w:val="1"/>
          <w:bCs w:val="1"/>
          <w:color w:val="auto"/>
        </w:rPr>
        <w:t>Omitted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7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4"/>
          <w:szCs w:val="14"/>
          <w:b w:val="1"/>
          <w:bCs w:val="1"/>
          <w:color w:val="auto"/>
        </w:rPr>
        <w:t>Executive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Ben Gagnon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34" w:lineRule="auto"/>
        <w:rPr>
          <w:sz w:val="20"/>
          <w:szCs w:val="20"/>
          <w:color w:val="auto"/>
        </w:rPr>
      </w:pPr>
      <w:r>
        <w:rPr>
          <w:rFonts w:ascii="Times New Roman" w:cs="Times New Roman" w:eastAsia="Times New Roman" w:hAnsi="Times New Roman"/>
          <w:sz w:val="16"/>
          <w:szCs w:val="16"/>
          <w:color w:val="auto"/>
        </w:rPr>
        <w:t>Bitfarms Ltd.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Bgagnon@bitfarms.com</w:t>
      </w:r>
    </w:p>
    <w:p>
      <w:pPr>
        <w:spacing w:after="0" w:line="1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4"/>
          <w:szCs w:val="14"/>
          <w:b w:val="1"/>
          <w:bCs w:val="1"/>
          <w:color w:val="auto"/>
        </w:rPr>
        <w:t>Date of Report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386715</wp:posOffset>
            </wp:positionV>
            <wp:extent cx="670750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120015</wp:posOffset>
            </wp:positionV>
            <wp:extent cx="2195195" cy="365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195195"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Bitfarms Announces Closing of US$500 Million of Convertible Senior Notes</w:t>
      </w:r>
    </w:p>
    <w:p>
      <w:pPr>
        <w:spacing w:after="0" w:line="176" w:lineRule="exact"/>
        <w:rPr>
          <w:sz w:val="20"/>
          <w:szCs w:val="20"/>
          <w:color w:val="auto"/>
        </w:rPr>
      </w:pPr>
    </w:p>
    <w:p>
      <w:pPr>
        <w:ind w:left="580" w:hanging="28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Opportunistic capital raise for general corporate purposes</w:t>
      </w:r>
    </w:p>
    <w:p>
      <w:pPr>
        <w:spacing w:after="0" w:line="224" w:lineRule="exact"/>
        <w:rPr>
          <w:rFonts w:ascii="Times New Roman" w:cs="Times New Roman" w:eastAsia="Times New Roman" w:hAnsi="Times New Roman"/>
          <w:sz w:val="16"/>
          <w:szCs w:val="16"/>
          <w:color w:val="auto"/>
        </w:rPr>
      </w:pPr>
    </w:p>
    <w:p>
      <w:pPr>
        <w:ind w:left="580" w:right="20" w:hanging="286"/>
        <w:spacing w:after="0" w:line="262" w:lineRule="auto"/>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Bitfarms used cash on hand to purchase capped calls to offset economic dilution up to a cap of 125% premium to the last reported sale price of Bitfarms’ common shares on Nasdaq on the date of pricing</w:t>
      </w:r>
    </w:p>
    <w:p>
      <w:pPr>
        <w:spacing w:after="0" w:line="138"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4"/>
          <w:szCs w:val="14"/>
          <w:b w:val="1"/>
          <w:bCs w:val="1"/>
          <w:color w:val="auto"/>
        </w:rPr>
        <w:t xml:space="preserve">Toronto, Ontario and New York, New York (October 21, 2025) </w:t>
      </w:r>
      <w:r>
        <w:rPr>
          <w:rFonts w:ascii="Times New Roman" w:cs="Times New Roman" w:eastAsia="Times New Roman" w:hAnsi="Times New Roman"/>
          <w:sz w:val="14"/>
          <w:szCs w:val="14"/>
          <w:color w:val="auto"/>
        </w:rPr>
        <w:t>- Bitfarms Ltd. (NASDAQ/TSX: BITF), a North American energy and digital infrastructure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(“Bitfarms” or the “Company”), today announced that it has closed its offering of US$588 million aggregate principal amount of 1.375% convertible senior notes due 2031 (the “Convertible Notes”), which includes the exercise in full of the $88 million option granted to the initial purchasers of the Convertible Notes.</w:t>
      </w:r>
    </w:p>
    <w:p>
      <w:pPr>
        <w:spacing w:after="0" w:line="11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“I am happy to announce our tremendous success as a first-time issuer in the convertible bond market,” said Ben Gagnon, CEO. “We were able to upsize the deal while improving on pricing, preserving upside and minimizing potential economic dilution through a 125% capped call, and introduce many high-quality institutional partners into our cap table. The funds raised through these Convertible Notes have strengthened our balance sheet with cash, Bitcoin, and remaining funds available to draw under the Macquarie project facility to over US$1 billion. We now have the financial firepower and flexibility to move forward at full speed with our HPC/AI infrastructure developments in North America. I would like to thank everyone who participated in the deal – we look forward to working together as we execute on our exciting infrastructure pipeline.”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the Offering</w:t>
      </w:r>
    </w:p>
    <w:p>
      <w:pPr>
        <w:spacing w:after="0" w:line="178" w:lineRule="exact"/>
        <w:rPr>
          <w:sz w:val="20"/>
          <w:szCs w:val="20"/>
          <w:color w:val="auto"/>
        </w:rPr>
      </w:pPr>
    </w:p>
    <w:p>
      <w:pPr>
        <w:ind w:left="580" w:right="20" w:hanging="286"/>
        <w:spacing w:after="0" w:line="259" w:lineRule="auto"/>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US$568 million in net proceeds to Bitfarms, after deducting the initial purchasers’ discounts and commissions and estimated offering expenses, but before deducting the cost of the capped call transactions.</w:t>
      </w:r>
    </w:p>
    <w:p>
      <w:pPr>
        <w:spacing w:after="0" w:line="191"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coupon of 1.375% per annum, payable semi-annually in arrears on January 15 and July 15 of each year, beginning on July 15, 2026.</w:t>
      </w:r>
    </w:p>
    <w:p>
      <w:pPr>
        <w:sectPr>
          <w:pgSz w:w="11900" w:h="16840" w:orient="portrait"/>
          <w:cols w:equalWidth="0" w:num="1">
            <w:col w:w="10580"/>
          </w:cols>
          <w:pgMar w:left="660" w:top="555" w:right="660" w:bottom="662" w:gutter="0" w:footer="0" w:header="0"/>
        </w:sectPr>
      </w:pPr>
    </w:p>
    <w:bookmarkStart w:id="2" w:name="page3"/>
    <w:bookmarkEnd w:id="2"/>
    <w:p>
      <w:pPr>
        <w:jc w:val="both"/>
        <w:ind w:left="580" w:right="40" w:hanging="286"/>
        <w:spacing w:after="0" w:line="247"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initial conversion rate for the Notes is 145.6876 common shares per US$1,000 principal amount of Convertible Notes, equivalent to an initial conversion price of approximately US$6.86 per common share (approximately 30% premium to the last reported sale price of US$5.28 per common share on the Nasdaq on October 16, 2025).</w:t>
      </w:r>
    </w:p>
    <w:p>
      <w:pPr>
        <w:spacing w:after="0" w:line="260" w:lineRule="exact"/>
        <w:rPr>
          <w:rFonts w:ascii="Times New Roman" w:cs="Times New Roman" w:eastAsia="Times New Roman" w:hAnsi="Times New Roman"/>
          <w:sz w:val="16"/>
          <w:szCs w:val="16"/>
          <w:color w:val="auto"/>
        </w:rPr>
      </w:pPr>
    </w:p>
    <w:p>
      <w:pPr>
        <w:jc w:val="both"/>
        <w:ind w:left="580" w:right="20" w:hanging="286"/>
        <w:spacing w:after="0" w:line="247"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Bitfarms may settle conversions of the Convertible Notes in cash, common shares or a combination of cash and common shares, at its election. Bitfarms will have the right to redeem the Convertible Notes in certain circumstances and will be required to offer to repurchase the Convertible Notes upon the occurrence of certain events.</w:t>
      </w:r>
    </w:p>
    <w:p>
      <w:pPr>
        <w:spacing w:after="0" w:line="200" w:lineRule="exact"/>
        <w:rPr>
          <w:rFonts w:ascii="Times New Roman" w:cs="Times New Roman" w:eastAsia="Times New Roman" w:hAnsi="Times New Roman"/>
          <w:sz w:val="16"/>
          <w:szCs w:val="16"/>
          <w:color w:val="auto"/>
        </w:rPr>
      </w:pPr>
    </w:p>
    <w:p>
      <w:pPr>
        <w:jc w:val="both"/>
        <w:ind w:left="580" w:right="20" w:hanging="286"/>
        <w:spacing w:after="0" w:line="247"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October 15, 2030, the Convertible Notes will be convertible only upon satisfaction of certain conditions and during certain periods, and thereafter, the Convertible Notes will be convertible at the option of holders at any time until the close of business on the scheduled trading day immediately preceding the maturity date.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80" w:hanging="286"/>
        <w:spacing w:after="0"/>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Convertible Notes will mature on January 15, 2031, unless earlier repurchased, redeemed or converted in accordance with their terms.</w:t>
      </w:r>
    </w:p>
    <w:p>
      <w:pPr>
        <w:spacing w:after="0" w:line="224" w:lineRule="exact"/>
        <w:rPr>
          <w:rFonts w:ascii="Times New Roman" w:cs="Times New Roman" w:eastAsia="Times New Roman" w:hAnsi="Times New Roman"/>
          <w:sz w:val="16"/>
          <w:szCs w:val="16"/>
          <w:color w:val="auto"/>
        </w:rPr>
      </w:pPr>
    </w:p>
    <w:p>
      <w:pPr>
        <w:ind w:left="580" w:right="60" w:hanging="286"/>
        <w:spacing w:after="0" w:line="259" w:lineRule="auto"/>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Bitfarms intends to use the net proceeds from the offering for general corporate purposes. Additionally, the Company used cash on hand to pay the cost of the capped call transactions.</w:t>
      </w:r>
    </w:p>
    <w:p>
      <w:pPr>
        <w:spacing w:after="0" w:line="191" w:lineRule="exact"/>
        <w:rPr>
          <w:rFonts w:ascii="Times New Roman" w:cs="Times New Roman" w:eastAsia="Times New Roman" w:hAnsi="Times New Roman"/>
          <w:sz w:val="16"/>
          <w:szCs w:val="16"/>
          <w:color w:val="auto"/>
        </w:rPr>
      </w:pPr>
    </w:p>
    <w:p>
      <w:pPr>
        <w:jc w:val="both"/>
        <w:ind w:left="580" w:right="40" w:hanging="286"/>
        <w:spacing w:after="0" w:line="247" w:lineRule="auto"/>
        <w:tabs>
          <w:tab w:leader="none" w:pos="5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cap price of the capped call transactions is initially US$11.88 per common share, which represents a premium of 125% to the last reported sale price of US$5.28 per common share on the Nasdaq on October 16, 2025, and will be subject to customary anti-dilution adjustments under the terms of the capped call transactions.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w:t>
      </w:r>
    </w:p>
    <w:p>
      <w:pPr>
        <w:spacing w:after="0" w:line="178"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6"/>
          <w:szCs w:val="16"/>
          <w:color w:val="auto"/>
        </w:rPr>
        <w:t>The Convertible Notes and the common shares issuable upon the conversion thereof have not been and will not be registered under the U.S. Securities Act of 1933, as amended (the “Securities Act”), registered under any state securities laws, or qualified by a prospectus in any province or territory of Canada. The Convertible Notes and the common shares may not be offered, sold or delivered, directly or indirectly, in the United States absent registration under the Securities Act or an applicable exemption from registration under the Securities Act. The Convertible Notes were offered only to “qualified institutional buyers” (as defined in Rule 144A under the Securities Act). Offers and sales in Canada were made only pursuant to exemptions from the prospectus requirements of applicable Canadian provincial and territorial securities laws.</w:t>
      </w:r>
    </w:p>
    <w:p>
      <w:pPr>
        <w:spacing w:after="0" w:line="161"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6"/>
          <w:szCs w:val="16"/>
          <w:color w:val="auto"/>
        </w:rPr>
        <w:t>The Company is relying on the exemption under Section 602.1 of the Toronto Stock Exchange’s Company Manual (the “TSX manual”) available to Eligible Interlisted Issuers (as defined in the TSX manual) in respect of the offering.</w:t>
      </w:r>
    </w:p>
    <w:p>
      <w:pPr>
        <w:spacing w:after="0" w:line="143"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This press release is neither an offer to sell, nor is it a solicitation of an offer to buy the Convertible Notes or any other securities and shall not constitute an offer to sell or solicitation of an offer to buy, or a sale of, the Convertible Notes or any other securities in any jurisdiction in which such offer, solicitation or sale would be unlawful prior to registration or qualification under the securities laws of any such jurisdiction.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Bitfarms Ltd.</w:t>
      </w:r>
    </w:p>
    <w:p>
      <w:pPr>
        <w:spacing w:after="0" w:line="178"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6"/>
          <w:szCs w:val="16"/>
          <w:color w:val="auto"/>
        </w:rPr>
        <w:t>Bitfarms is a North American energy and digital infrastructure company that builds and operates vertically integrated, state-of-the-art data centers and energy infrastructure for high-performance computing and Bitcoin mining.</w:t>
      </w:r>
    </w:p>
    <w:p>
      <w:pPr>
        <w:spacing w:after="0" w:line="14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With a focus on U.S. growth, Bitfarms’ 1.3 GW energy pipeline is more than 80% U.S.-based and clustered in data center hotspots with robust access to power and fiber infrastructure.</w:t>
      </w:r>
    </w:p>
    <w:p>
      <w:pPr>
        <w:spacing w:after="0" w:line="14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Bitfarms was founded in 2017 and is a proven leader in digital infrastructure with operations throughout the Americas. Bitfarms is headquartered in New York, NY and Toronto, ON and traded on the Nasdaq and Toronto Stock Exchange.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178"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6"/>
          <w:szCs w:val="16"/>
          <w:i w:val="1"/>
          <w:iCs w:val="1"/>
          <w:color w:val="auto"/>
        </w:rPr>
        <w:t>This news release contains certain “forward- 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anticipated future events and expectations that are not historical facts, such as statements concerning the Company’s ability to satisfy the requirements to draw upon the Macquarie project facility in a timely manner, or at all, and the anticipated effects of the offering and the capped call transactions are forward-looking information.</w:t>
      </w:r>
    </w:p>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an inability to satisfy the Panther Creek location related milestones which are conditions to loan drawdowns under the Macquarie Group financing facility; an inability to deploy the proceeds of the Macquarie Group financing facility to generate positive returns at the Panther Creek location;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w:t>
      </w:r>
    </w:p>
    <w:p>
      <w:pPr>
        <w:sectPr>
          <w:pgSz w:w="11900" w:h="16840" w:orient="portrait"/>
          <w:cols w:equalWidth="0" w:num="1">
            <w:col w:w="10600"/>
          </w:cols>
          <w:pgMar w:left="660" w:top="557" w:right="640" w:bottom="186" w:gutter="0" w:footer="0" w:header="0"/>
        </w:sectPr>
      </w:pPr>
    </w:p>
    <w:bookmarkStart w:id="3" w:name="page4"/>
    <w:bookmarkEnd w:id="3"/>
    <w:p>
      <w:pPr>
        <w:spacing w:after="0" w:line="235" w:lineRule="auto"/>
        <w:rPr>
          <w:sz w:val="20"/>
          <w:szCs w:val="20"/>
          <w:color w:val="auto"/>
        </w:rPr>
      </w:pPr>
      <w:r>
        <w:rPr>
          <w:rFonts w:ascii="Times New Roman" w:cs="Times New Roman" w:eastAsia="Times New Roman" w:hAnsi="Times New Roman"/>
          <w:sz w:val="16"/>
          <w:szCs w:val="16"/>
          <w:i w:val="1"/>
          <w:iCs w:val="1"/>
          <w:color w:val="auto"/>
        </w:rPr>
        <w:t>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 the-market offering program ( “ATM Program”) and the prices at which securities may be sold in such ATM Program, as well as capital market conditions in general; share dilution resulting from an ATM Program and from other equity issuances; the risks of debt leverage and the ability to service and eventually repay the Macquarie Group financing facility;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risks relating to lawsuits and other legal proceedings and challenges;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at www.sec.gov), including the Company’s annual information form for the year ended December 31, 2024, management’s discussion and analysis for the year-ended December 31, 2024 and the management’s discussion and analysis for the three and six months ended June 30, 2025. Although Bitfarms has attempted to identify important factors that could cause actual results to differ materially from those expressed in forward -looking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707505"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Laine Yonker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lyonker@bitfarms.com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Contact: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Caroline Brady Baker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cbaker@bitfarms.com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6707505"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wp:posOffset>
            </wp:positionV>
            <wp:extent cx="6707505"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4" w:name="page5"/>
    <w:bookmarkEnd w:id="4"/>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jpe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 Id="rId21" Type="http://schemas.openxmlformats.org/officeDocument/2006/relationships/hyperlink" Target="http://www.sec.gov/Archives/edgar/data/1812477/000101376225000733/ea0232744-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2025-10-22T15:14:10Z</dcterms:created>
  <dcterms:modified xsi:type="dcterms:W3CDTF">2025-10-22T15:14:10Z</dcterms:modified>
</cp:coreProperties>
</file>