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December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December 1,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333-272989).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Material Change Report dated December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556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2023.</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December 1, 2023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Morphy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gmorphy@bitfarms.com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Bitfarms Earns 392 BTC in November 2023</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Miners purchased for H1 2024 upgrade plan to 12 MW -</w:t>
      </w:r>
    </w:p>
    <w:p>
      <w:pPr>
        <w:spacing w:after="0" w:line="7" w:lineRule="exact"/>
        <w:rPr>
          <w:sz w:val="20"/>
          <w:szCs w:val="20"/>
          <w:color w:val="auto"/>
        </w:rPr>
      </w:pPr>
    </w:p>
    <w:p>
      <w:pPr>
        <w:ind w:left="3900" w:hanging="102"/>
        <w:spacing w:after="0"/>
        <w:tabs>
          <w:tab w:leader="none" w:pos="39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hashrate 2% in the month to 6.4 EH/s –</w:t>
      </w:r>
    </w:p>
    <w:p>
      <w:pPr>
        <w:spacing w:after="0" w:line="9" w:lineRule="exact"/>
        <w:rPr>
          <w:rFonts w:ascii="Times New Roman" w:cs="Times New Roman" w:eastAsia="Times New Roman" w:hAnsi="Times New Roman"/>
          <w:sz w:val="18"/>
          <w:szCs w:val="18"/>
          <w:color w:val="auto"/>
        </w:rPr>
      </w:pPr>
    </w:p>
    <w:p>
      <w:pPr>
        <w:ind w:left="2960" w:hanging="102"/>
        <w:spacing w:after="0"/>
        <w:tabs>
          <w:tab w:leader="none" w:pos="2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Finalizing contract to increase Paso Pe, Paraguay from 50 MW to 70 MW -</w:t>
      </w:r>
    </w:p>
    <w:p>
      <w:pPr>
        <w:spacing w:after="0" w:line="203" w:lineRule="exact"/>
        <w:rPr>
          <w:sz w:val="20"/>
          <w:szCs w:val="20"/>
          <w:color w:val="auto"/>
        </w:rPr>
      </w:pPr>
    </w:p>
    <w:p>
      <w:pPr>
        <w:jc w:val="both"/>
        <w:ind w:right="20" w:hanging="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(December 1, 2023) </w:t>
      </w:r>
      <w:r>
        <w:rPr>
          <w:rFonts w:ascii="Times New Roman" w:cs="Times New Roman" w:eastAsia="Times New Roman" w:hAnsi="Times New Roman"/>
          <w:sz w:val="18"/>
          <w:szCs w:val="18"/>
          <w:color w:val="auto"/>
        </w:rPr>
        <w:t>- Bitfarms Ltd. (NASDAQ: BITF//TSX: BITF), a global vertically integrated Bitcoin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mining company, provides a monthly update for November 2023.</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we delivered solid performance in the face of network difficulty increases from more miners coming online going into the 2024 Halving and, in anticipation of the Halving, we initiated our 2024 transformative fleet upgrade plan. We placed a firm purchase order for 35,888 high-performance Bitmain T21 miners, which are scheduled for deliveries from March 2024 to May 2024,” said Geoff Morphy, CEO of Bitfarms. “Deploying these new miners at seven of our eight existing farms in Quebec in conjunction with the development of our new Paso Pe, Paraguay site, we expect to increase our operating capacity 29% to 310 MW and our hashrate 88% to 12 EH/s in H1 2024. With a contract price of $14.00/TH and advanced high energy features applying to the purchase order and the option in H2 2024 for 28,000 additional miners, these next-gen miners will drive significant efficiencies throughout our portfolio and generate improved profit margins.”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Ben Gagnon, Chief Mining Officer of Bitfarms, said, “With our upgrade path, we are positioned to dramatically grow hashrate in H1 2024 as we receive and install one of the largest fleets of air-cooled miners currently made. We have matched timely capital allocation with a strategic miner deployment schedule that aligns well with the upcoming Halving, ensuring our halving readiness and positioning us to benefit significantly from the anticipated Bitcoin bull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Mining Review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November production of 392 BTC declined 1.5% from October as network difficulty increased 19.0% in November compared to 9.4% in October, reflecting the continuing strong demand for miners going into the 2024 Halving. For the eleven months ended November 30th, network difficulty increased 92.2% while the BTC price was up approximately 128.4%, resulting in a 33.9% improvement in production economics as measured by USD/TH/day.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November 2023</w:t>
            </w: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October 2023</w:t>
            </w:r>
          </w:p>
        </w:tc>
        <w:tc>
          <w:tcPr>
            <w:tcW w:w="1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November 2022</w:t>
            </w:r>
          </w:p>
        </w:tc>
      </w:tr>
      <w:tr>
        <w:trPr>
          <w:trHeight w:val="243"/>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8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Borders>
              <w:top w:val="single" w:sz="8" w:color="CCEEFF"/>
            </w:tcBorders>
            <w:shd w:val="clear" w:color="auto" w:fill="CCEEFF"/>
          </w:tcPr>
          <w:p>
            <w:pPr>
              <w:spacing w:after="0"/>
              <w:rPr>
                <w:sz w:val="21"/>
                <w:szCs w:val="21"/>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top w:val="single" w:sz="8" w:color="CCEEFF"/>
            </w:tcBorders>
            <w:shd w:val="clear" w:color="auto" w:fill="CCEEFF"/>
          </w:tcPr>
          <w:p>
            <w:pPr>
              <w:spacing w:after="0"/>
              <w:rPr>
                <w:sz w:val="21"/>
                <w:szCs w:val="21"/>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4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Month End Operating EH/s</w:t>
            </w:r>
          </w:p>
        </w:tc>
        <w:tc>
          <w:tcPr>
            <w:tcW w:w="37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BTC/Avg. EH/s</w:t>
            </w:r>
          </w:p>
        </w:tc>
        <w:tc>
          <w:tcPr>
            <w:tcW w:w="37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37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240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4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Hydropower MW</w:t>
            </w:r>
          </w:p>
        </w:tc>
        <w:tc>
          <w:tcPr>
            <w:tcW w:w="37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4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Watts/Terahash Efficiency (w/TH)</w:t>
            </w:r>
          </w:p>
        </w:tc>
        <w:tc>
          <w:tcPr>
            <w:tcW w:w="37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Sold</w:t>
            </w:r>
          </w:p>
        </w:tc>
        <w:tc>
          <w:tcPr>
            <w:tcW w:w="37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655"/>
        </w:trPr>
        <w:tc>
          <w:tcPr>
            <w:tcW w:w="40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November 2023 Select Operating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EH/s online as of November 30, 2023, up 45% from November 30, 2022, and up 1.6% from October 31, 2023.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EH/s average online, same as October 2023.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66.4 BTC/average EH/s, down 1.9% from 67.4 in October 2023.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392 BTC earned, down 1.5% from October 2023 and down 13.5% from November 2022.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 BTC earned daily on average, equivalent to about $495,200 per day based on a BTC price of $37,800 on November 30, 2023.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Placed a firm purchase order 35,888 Bitmain T21 miners.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an option to purchase an additional 28,000 T21 miners.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Furthered expansion at Paso Pe:</w:t>
      </w:r>
    </w:p>
    <w:p>
      <w:pPr>
        <w:spacing w:after="0" w:line="225" w:lineRule="exact"/>
        <w:rPr>
          <w:rFonts w:ascii="Times New Roman" w:cs="Times New Roman" w:eastAsia="Times New Roman" w:hAnsi="Times New Roman"/>
          <w:sz w:val="18"/>
          <w:szCs w:val="18"/>
          <w:color w:val="auto"/>
        </w:rPr>
      </w:pPr>
    </w:p>
    <w:p>
      <w:pPr>
        <w:ind w:left="980" w:hanging="324"/>
        <w:spacing w:after="0" w:line="180" w:lineRule="auto"/>
        <w:tabs>
          <w:tab w:leader="none" w:pos="980" w:val="left"/>
        </w:tabs>
        <w:numPr>
          <w:ilvl w:val="1"/>
          <w:numId w:val="2"/>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5"/>
          <w:szCs w:val="15"/>
          <w:color w:val="auto"/>
        </w:rPr>
        <w:t>Finalizing an amended contract for an additional 20 MW of energy, which will support the expansion of its air-cooled warehouse operating capacity from 30 MW to 50 MW as well as the 20 MW of hydro-miner containers on order, bringing the total farm to 70 MW.</w:t>
      </w:r>
    </w:p>
    <w:p>
      <w:pPr>
        <w:spacing w:after="0" w:line="1" w:lineRule="exact"/>
        <w:rPr>
          <w:rFonts w:ascii="Times New Roman" w:cs="Times New Roman" w:eastAsia="Times New Roman" w:hAnsi="Times New Roman"/>
          <w:sz w:val="37"/>
          <w:szCs w:val="37"/>
          <w:color w:val="auto"/>
          <w:vertAlign w:val="subscript"/>
        </w:rPr>
      </w:pPr>
    </w:p>
    <w:p>
      <w:pPr>
        <w:ind w:left="980" w:hanging="324"/>
        <w:spacing w:after="0" w:line="180" w:lineRule="auto"/>
        <w:tabs>
          <w:tab w:leader="none" w:pos="980" w:val="left"/>
        </w:tabs>
        <w:numPr>
          <w:ilvl w:val="1"/>
          <w:numId w:val="2"/>
        </w:numPr>
        <w:rPr>
          <w:rFonts w:ascii="Times New Roman" w:cs="Times New Roman" w:eastAsia="Times New Roman" w:hAnsi="Times New Roman"/>
          <w:sz w:val="50"/>
          <w:szCs w:val="50"/>
          <w:color w:val="auto"/>
          <w:vertAlign w:val="subscript"/>
        </w:rPr>
      </w:pPr>
      <w:r>
        <w:rPr>
          <w:rFonts w:ascii="Times New Roman" w:cs="Times New Roman" w:eastAsia="Times New Roman" w:hAnsi="Times New Roman"/>
          <w:sz w:val="18"/>
          <w:szCs w:val="18"/>
          <w:color w:val="auto"/>
        </w:rPr>
        <w:t>Progressing on time with site construction and manufacturing of the 80 MW transformer.</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Bitfarms’ BTC Monthly Production</w:t>
            </w:r>
          </w:p>
        </w:tc>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276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BTC Earned</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BTC Earned</w:t>
            </w:r>
          </w:p>
        </w:tc>
      </w:tr>
      <w:tr>
        <w:trPr>
          <w:trHeight w:val="245"/>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562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4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4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486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w:t>
            </w:r>
          </w:p>
        </w:tc>
        <w:tc>
          <w:tcPr>
            <w:tcW w:w="5840" w:type="dxa"/>
            <w:vAlign w:val="bottom"/>
            <w:gridSpan w:val="4"/>
          </w:tcPr>
          <w:p>
            <w:pPr>
              <w:ind w:left="5360"/>
              <w:spacing w:after="0"/>
              <w:rPr>
                <w:sz w:val="20"/>
                <w:szCs w:val="20"/>
                <w:color w:val="auto"/>
              </w:rPr>
            </w:pPr>
            <w:r>
              <w:rPr>
                <w:rFonts w:ascii="Times New Roman" w:cs="Times New Roman" w:eastAsia="Times New Roman" w:hAnsi="Times New Roman"/>
                <w:sz w:val="18"/>
                <w:szCs w:val="18"/>
                <w:color w:val="auto"/>
              </w:rPr>
              <w:t>387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5840" w:type="dxa"/>
            <w:vAlign w:val="bottom"/>
            <w:gridSpan w:val="4"/>
            <w:shd w:val="clear" w:color="auto" w:fill="CCEEFF"/>
          </w:tcPr>
          <w:p>
            <w:pPr>
              <w:ind w:left="5360"/>
              <w:spacing w:after="0"/>
              <w:rPr>
                <w:sz w:val="20"/>
                <w:szCs w:val="20"/>
                <w:color w:val="auto"/>
              </w:rPr>
            </w:pPr>
            <w:r>
              <w:rPr>
                <w:rFonts w:ascii="Times New Roman" w:cs="Times New Roman" w:eastAsia="Times New Roman" w:hAnsi="Times New Roman"/>
                <w:sz w:val="18"/>
                <w:szCs w:val="18"/>
                <w:color w:val="auto"/>
              </w:rPr>
              <w:t>424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w:t>
            </w:r>
          </w:p>
        </w:tc>
        <w:tc>
          <w:tcPr>
            <w:tcW w:w="5840" w:type="dxa"/>
            <w:vAlign w:val="bottom"/>
            <w:gridSpan w:val="4"/>
          </w:tcPr>
          <w:p>
            <w:pPr>
              <w:ind w:left="5360"/>
              <w:spacing w:after="0"/>
              <w:rPr>
                <w:sz w:val="20"/>
                <w:szCs w:val="20"/>
                <w:color w:val="auto"/>
              </w:rPr>
            </w:pPr>
            <w:r>
              <w:rPr>
                <w:rFonts w:ascii="Times New Roman" w:cs="Times New Roman" w:eastAsia="Times New Roman" w:hAnsi="Times New Roman"/>
                <w:sz w:val="18"/>
                <w:szCs w:val="18"/>
                <w:color w:val="auto"/>
              </w:rPr>
              <w:t>379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5840" w:type="dxa"/>
            <w:vAlign w:val="bottom"/>
            <w:gridSpan w:val="4"/>
            <w:shd w:val="clear" w:color="auto" w:fill="CCEEFF"/>
          </w:tcPr>
          <w:p>
            <w:pPr>
              <w:ind w:left="5360"/>
              <w:spacing w:after="0"/>
              <w:rPr>
                <w:sz w:val="20"/>
                <w:szCs w:val="20"/>
                <w:color w:val="auto"/>
              </w:rPr>
            </w:pPr>
            <w:r>
              <w:rPr>
                <w:rFonts w:ascii="Times New Roman" w:cs="Times New Roman" w:eastAsia="Times New Roman" w:hAnsi="Times New Roman"/>
                <w:sz w:val="18"/>
                <w:szCs w:val="18"/>
                <w:color w:val="auto"/>
              </w:rPr>
              <w:t>459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w:t>
            </w:r>
          </w:p>
        </w:tc>
        <w:tc>
          <w:tcPr>
            <w:tcW w:w="5840" w:type="dxa"/>
            <w:vAlign w:val="bottom"/>
            <w:gridSpan w:val="4"/>
          </w:tcPr>
          <w:p>
            <w:pPr>
              <w:ind w:left="5360"/>
              <w:spacing w:after="0"/>
              <w:rPr>
                <w:sz w:val="20"/>
                <w:szCs w:val="20"/>
                <w:color w:val="auto"/>
              </w:rPr>
            </w:pPr>
            <w:r>
              <w:rPr>
                <w:rFonts w:ascii="Times New Roman" w:cs="Times New Roman" w:eastAsia="Times New Roman" w:hAnsi="Times New Roman"/>
                <w:sz w:val="18"/>
                <w:szCs w:val="18"/>
                <w:color w:val="auto"/>
              </w:rPr>
              <w:t>385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5840" w:type="dxa"/>
            <w:vAlign w:val="bottom"/>
            <w:gridSpan w:val="4"/>
            <w:shd w:val="clear" w:color="auto" w:fill="CCEEFF"/>
          </w:tcPr>
          <w:p>
            <w:pPr>
              <w:ind w:left="5360"/>
              <w:spacing w:after="0"/>
              <w:rPr>
                <w:sz w:val="20"/>
                <w:szCs w:val="20"/>
                <w:color w:val="auto"/>
              </w:rPr>
            </w:pPr>
            <w:r>
              <w:rPr>
                <w:rFonts w:ascii="Times New Roman" w:cs="Times New Roman" w:eastAsia="Times New Roman" w:hAnsi="Times New Roman"/>
                <w:sz w:val="18"/>
                <w:szCs w:val="18"/>
                <w:color w:val="auto"/>
              </w:rPr>
              <w:t>378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w:t>
            </w:r>
          </w:p>
        </w:tc>
        <w:tc>
          <w:tcPr>
            <w:tcW w:w="5840" w:type="dxa"/>
            <w:vAlign w:val="bottom"/>
            <w:gridSpan w:val="4"/>
          </w:tcPr>
          <w:p>
            <w:pPr>
              <w:ind w:left="5360"/>
              <w:spacing w:after="0"/>
              <w:rPr>
                <w:sz w:val="20"/>
                <w:szCs w:val="20"/>
                <w:color w:val="auto"/>
              </w:rPr>
            </w:pPr>
            <w:r>
              <w:rPr>
                <w:rFonts w:ascii="Times New Roman" w:cs="Times New Roman" w:eastAsia="Times New Roman" w:hAnsi="Times New Roman"/>
                <w:sz w:val="18"/>
                <w:szCs w:val="18"/>
                <w:color w:val="auto"/>
              </w:rPr>
              <w:t>383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5840" w:type="dxa"/>
            <w:vAlign w:val="bottom"/>
            <w:gridSpan w:val="4"/>
            <w:shd w:val="clear" w:color="auto" w:fill="CCEEFF"/>
          </w:tcPr>
          <w:p>
            <w:pPr>
              <w:ind w:left="5360"/>
              <w:spacing w:after="0"/>
              <w:rPr>
                <w:sz w:val="20"/>
                <w:szCs w:val="20"/>
                <w:color w:val="auto"/>
              </w:rPr>
            </w:pPr>
            <w:r>
              <w:rPr>
                <w:rFonts w:ascii="Times New Roman" w:cs="Times New Roman" w:eastAsia="Times New Roman" w:hAnsi="Times New Roman"/>
                <w:sz w:val="18"/>
                <w:szCs w:val="18"/>
                <w:color w:val="auto"/>
              </w:rPr>
              <w:t>411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w:t>
            </w:r>
          </w:p>
        </w:tc>
        <w:tc>
          <w:tcPr>
            <w:tcW w:w="5840" w:type="dxa"/>
            <w:vAlign w:val="bottom"/>
            <w:gridSpan w:val="4"/>
          </w:tcPr>
          <w:p>
            <w:pPr>
              <w:ind w:left="5360"/>
              <w:spacing w:after="0"/>
              <w:rPr>
                <w:sz w:val="20"/>
                <w:szCs w:val="20"/>
                <w:color w:val="auto"/>
              </w:rPr>
            </w:pPr>
            <w:r>
              <w:rPr>
                <w:rFonts w:ascii="Times New Roman" w:cs="Times New Roman" w:eastAsia="Times New Roman" w:hAnsi="Times New Roman"/>
                <w:sz w:val="18"/>
                <w:szCs w:val="18"/>
                <w:color w:val="auto"/>
              </w:rPr>
              <w:t>398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w:t>
            </w:r>
          </w:p>
        </w:tc>
      </w:tr>
      <w:tr>
        <w:trPr>
          <w:trHeight w:val="250"/>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w:t>
            </w:r>
          </w:p>
        </w:tc>
        <w:tc>
          <w:tcPr>
            <w:tcW w:w="5840" w:type="dxa"/>
            <w:vAlign w:val="bottom"/>
            <w:gridSpan w:val="4"/>
            <w:shd w:val="clear" w:color="auto" w:fill="CCEEFF"/>
          </w:tcPr>
          <w:p>
            <w:pPr>
              <w:ind w:left="5360"/>
              <w:spacing w:after="0"/>
              <w:rPr>
                <w:sz w:val="20"/>
                <w:szCs w:val="20"/>
                <w:color w:val="auto"/>
              </w:rPr>
            </w:pPr>
            <w:r>
              <w:rPr>
                <w:rFonts w:ascii="Times New Roman" w:cs="Times New Roman" w:eastAsia="Times New Roman" w:hAnsi="Times New Roman"/>
                <w:sz w:val="18"/>
                <w:szCs w:val="18"/>
                <w:color w:val="auto"/>
              </w:rPr>
              <w:t>392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r>
      <w:tr>
        <w:trPr>
          <w:trHeight w:val="210"/>
        </w:trPr>
        <w:tc>
          <w:tcPr>
            <w:tcW w:w="41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YTD</w:t>
            </w:r>
          </w:p>
        </w:tc>
        <w:tc>
          <w:tcPr>
            <w:tcW w:w="4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4,482</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4,672</w:t>
            </w:r>
          </w:p>
        </w:tc>
        <w:tc>
          <w:tcPr>
            <w:tcW w:w="100" w:type="dxa"/>
            <w:vAlign w:val="bottom"/>
            <w:tcBorders>
              <w:top w:val="single" w:sz="8" w:color="CCEEFF"/>
            </w:tcBorders>
          </w:tcPr>
          <w:p>
            <w:pPr>
              <w:spacing w:after="0"/>
              <w:rPr>
                <w:sz w:val="18"/>
                <w:szCs w:val="18"/>
                <w:color w:val="auto"/>
              </w:rPr>
            </w:pPr>
          </w:p>
        </w:tc>
      </w:tr>
      <w:tr>
        <w:trPr>
          <w:trHeight w:val="655"/>
        </w:trPr>
        <w:tc>
          <w:tcPr>
            <w:tcW w:w="27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jc w:val="right"/>
              <w:ind w:right="28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November 2023 Financial Update</w:t>
      </w:r>
    </w:p>
    <w:p>
      <w:pPr>
        <w:spacing w:after="0" w:line="229" w:lineRule="exact"/>
        <w:rPr>
          <w:sz w:val="20"/>
          <w:szCs w:val="20"/>
          <w:color w:val="auto"/>
        </w:rPr>
      </w:pPr>
    </w:p>
    <w:p>
      <w:pPr>
        <w:ind w:left="760" w:hanging="320"/>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$44 million in gross proceeds in a private placement of common stock and warrants.</w:t>
      </w:r>
    </w:p>
    <w:p>
      <w:pPr>
        <w:spacing w:after="0" w:line="22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350 BTC of the 392 BTC earned, generating total proceeds of $12.8 million.</w:t>
      </w:r>
    </w:p>
    <w:p>
      <w:pPr>
        <w:spacing w:after="0" w:line="225"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42 BTC to treasury, increasing HODL to 802 BTC, representing approximately $30.3 million based on a BTC price of $37,800 at November 30, 2023.</w:t>
      </w:r>
    </w:p>
    <w:p>
      <w:pPr>
        <w:spacing w:after="0" w:line="161"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Synthetic HODL™ of 35 long-dated BTC call options at November 30, 2023.</w:t>
      </w:r>
    </w:p>
    <w:p>
      <w:pPr>
        <w:spacing w:after="0" w:line="22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total outstanding indebtedness by $1.9 million, resulting in a remaining balance of $6.0 million at November 30,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ind w:hanging="10"/>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publicly traded (NASDAQ/TSX: BITF)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ind w:hanging="10"/>
        <w:spacing w:after="0" w:line="266" w:lineRule="auto"/>
        <w:rPr>
          <w:sz w:val="20"/>
          <w:szCs w:val="20"/>
          <w:color w:val="auto"/>
        </w:rPr>
      </w:pPr>
      <w:r>
        <w:rPr>
          <w:rFonts w:ascii="Times New Roman" w:cs="Times New Roman" w:eastAsia="Times New Roman" w:hAnsi="Times New Roman"/>
          <w:sz w:val="18"/>
          <w:szCs w:val="18"/>
          <w:color w:val="auto"/>
        </w:rPr>
        <w:t>Bitfarms currently has 11 farms, which are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27" w:lineRule="exact"/>
        <w:rPr>
          <w:sz w:val="20"/>
          <w:szCs w:val="20"/>
          <w:color w:val="auto"/>
        </w:rPr>
      </w:pPr>
    </w:p>
    <w:p>
      <w:pPr>
        <w:ind w:left="760" w:hanging="320"/>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BTC/day = Bitcoin or Bitcoin per day</w:t>
      </w:r>
    </w:p>
    <w:p>
      <w:pPr>
        <w:spacing w:after="0" w:line="22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2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2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 or PH/s = Petahash or petahash per second</w:t>
      </w:r>
    </w:p>
    <w:p>
      <w:pPr>
        <w:spacing w:after="0" w:line="22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 or TH/s = Terahash or terahash per second</w:t>
      </w:r>
    </w:p>
    <w:p>
      <w:pPr>
        <w:spacing w:after="0" w:line="22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jc w:val="both"/>
        <w:ind w:hanging="8"/>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ind w:hanging="8"/>
        <w:spacing w:after="0" w:line="253"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miner equipment purchase, contracted delivery and proposed deployment plan, performance of the equipment and the impact on operating capacity including hashrate growth, energy efficiency and cost savings, and other statements regarding future plans and objectives of the Company are forward-looking information. The statements and information in this release regarding the miner equipment purchases, contracted delivery and proposed deployment plans, performance of the equipment and the impact on operating capacity including target hashrates and hashrate growth in general, energy efficiency and cost savings, and other statements regarding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90" w:lineRule="exact"/>
        <w:rPr>
          <w:sz w:val="20"/>
          <w:szCs w:val="20"/>
          <w:color w:val="auto"/>
        </w:rPr>
      </w:pPr>
    </w:p>
    <w:p>
      <w:pPr>
        <w:jc w:val="both"/>
        <w:ind w:hanging="8"/>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hanging="8"/>
        <w:spacing w:after="0" w:line="266" w:lineRule="auto"/>
        <w:rPr>
          <w:sz w:val="20"/>
          <w:szCs w:val="20"/>
          <w:color w:val="auto"/>
        </w:rPr>
      </w:pPr>
      <w:r>
        <w:rPr>
          <w:rFonts w:ascii="Times New Roman" w:cs="Times New Roman" w:eastAsia="Times New Roman" w:hAnsi="Times New Roman"/>
          <w:sz w:val="17"/>
          <w:szCs w:val="17"/>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 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the global economic climate; dilution; the Company’s limited operating history; future capital needs and uncertainty of additional financing,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2022, filed on March 21, 2023.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LHA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Actual Agency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Khushboo Chaudhary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+1 646-373-9946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9" Type="http://schemas.openxmlformats.org/officeDocument/2006/relationships/hyperlink" Target="http://www.sec.gov/Archives/edgar/data/1812477/000121390023052498/ea180981-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2023-12-01T15:18:20Z</dcterms:created>
  <dcterms:modified xsi:type="dcterms:W3CDTF">2023-12-01T15:18:20Z</dcterms:modified>
</cp:coreProperties>
</file>