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December 9, 2024, the Registrant filed with the Canadian Securities Regulatory Authorities on the System for Electronic Data Analysis and Retrieval + (SEDAR +) a material change report that includes a copy of a press release, a copy of which is attached hereto as Exhibit 99.1, which is incorporated by reference into the Registration Statements of Bitfarms Ltd.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w:t>
      </w:r>
      <w:hyperlink r:id="rId2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333-278868) and </w:t>
      </w:r>
      <w:hyperlink r:id="rId21">
        <w:r>
          <w:rPr>
            <w:rFonts w:ascii="Times New Roman" w:cs="Times New Roman" w:eastAsia="Times New Roman" w:hAnsi="Times New Roman"/>
            <w:sz w:val="18"/>
            <w:szCs w:val="18"/>
            <w:u w:val="single" w:color="auto"/>
            <w:color w:val="0000EE"/>
          </w:rPr>
          <w:t>Form F-4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333-282657).</w:t>
      </w:r>
    </w:p>
    <w:p>
      <w:pPr>
        <w:spacing w:after="0" w:line="18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43" w:lineRule="exact"/>
        <w:rPr>
          <w:rFonts w:ascii="Times New Roman" w:cs="Times New Roman" w:eastAsia="Times New Roman" w:hAnsi="Times New Roman"/>
          <w:sz w:val="18"/>
          <w:szCs w:val="18"/>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rFonts w:ascii="Times New Roman" w:cs="Times New Roman" w:eastAsia="Times New Roman" w:hAnsi="Times New Roman"/>
          <w:sz w:val="18"/>
          <w:szCs w:val="18"/>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December 9, 2024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3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20"/>
        <w:spacing w:after="0"/>
        <w:tabs>
          <w:tab w:leader="none" w:pos="7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8889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2588895" cy="17145"/>
                    </a:xfrm>
                    <a:prstGeom prst="rect">
                      <a:avLst/>
                    </a:prstGeom>
                    <a:noFill/>
                  </pic:spPr>
                </pic:pic>
              </a:graphicData>
            </a:graphic>
          </wp:anchor>
        </w:drawing>
      </w:r>
    </w:p>
    <w:p>
      <w:pPr>
        <w:spacing w:after="0" w:line="2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160"/>
        <w:spacing w:after="0"/>
        <w:tabs>
          <w:tab w:leader="none" w:pos="7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10,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9,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December 9, 2024 by a newswire company in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Announces Restatement of Previously Issued Financial Statements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amended and restated prospectus supplement dated October 4, 2024, to its short form base shelf prospectus dated November 10, 2023.</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(December 9, 2024) </w:t>
      </w:r>
      <w:r>
        <w:rPr>
          <w:rFonts w:ascii="Times New Roman" w:cs="Times New Roman" w:eastAsia="Times New Roman" w:hAnsi="Times New Roman"/>
          <w:sz w:val="18"/>
          <w:szCs w:val="18"/>
          <w:color w:val="auto"/>
        </w:rPr>
        <w:t>- Bitfarms Ltd. (Nasdaq/TSX: BITF) (“Bitfarms” or the “Company”), a global vertically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integrated Bitcoin data center company, today announced that, in connection with the Securities and Exchange Commission’s (“SEC”) review of its annual report for the fiscal year ended December 31, 2023 (the “SEC Review”), and in consultation with its Audit Committee of the Board of Directors and management, the Company has determined that its previously issued consolidated financial statements for the fiscal years ended December 31, 2023 and 2022 and the related management’s discussion and analysis for the year ended December 31, 2023, as well as the unaudited interim condensed consolidated financial statements for the three and nine months ended September 30, 2024 and 2023 (such interim periods together with the fiscal years ended December 31, 2023 and 2022, the “Restatement Periods”) and the related management’s discussion and analysis for the three and nine months ended September 30, 2024, should be restated to correct a material error in the classification of proceeds derived from the sale of digital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and users of Bitfarms’ financial statements should note that the restatements are not a result of any change to its operations, business or financial operating performance for the periods being restated. For any and all of the Restatement Periods, there is no impact on the Company’s overall cash position or net cash flows.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previously categorized proceeds derived from the sale of digital assets as a cash flow from operating activities. In conjunction with the SEC review, it was determined that proceeds from the sale of digital assets should be classified as cash flow from investing activities. Due to the materiality of the error in classification, the Company is restating the financial statements for the Restatement Periods. In addition to the correction to the consolidated statements of cash flows, the Company is also restating its financials to adjust for an error in the accounting for the redemption of warrants in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the restatements is described in further detail in the tables set forth below (expressed in thousands of U.S. dollars). More details may be found in the revised financial statements and related revised management’s discussion and analyses, which are available on the Company’s profile on SEDAR+ at www.sedarplus.ca and on EDGAR at www.sec.gov/edgar.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Adjustments to consolidated statements of cash flows for the year ended December 31, 2022* - Restatement</w:t>
      </w:r>
    </w:p>
    <w:p>
      <w:pPr>
        <w:spacing w:after="0" w:line="225"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2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color w:val="auto"/>
              </w:rPr>
              <w:t>2022</w:t>
            </w:r>
          </w:p>
        </w:tc>
        <w:tc>
          <w:tcPr>
            <w:tcW w:w="134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color w:val="auto"/>
              </w:rPr>
              <w:t>Cash flow</w:t>
            </w:r>
          </w:p>
        </w:tc>
        <w:tc>
          <w:tcPr>
            <w:tcW w:w="4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38"/>
        </w:trPr>
        <w:tc>
          <w:tcPr>
            <w:tcW w:w="50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(as reported)</w:t>
            </w: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reclassification</w:t>
            </w: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42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operating activities</w:t>
            </w:r>
          </w:p>
        </w:tc>
        <w:tc>
          <w:tcPr>
            <w:tcW w:w="2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(175,644)</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(175,644)</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2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0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2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158,674</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(158,674)</w:t>
            </w:r>
          </w:p>
        </w:tc>
        <w:tc>
          <w:tcPr>
            <w:tcW w:w="4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right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2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36,250</w:t>
            </w: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(158,674)</w:t>
            </w: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(122,424)</w:t>
            </w:r>
          </w:p>
        </w:tc>
      </w:tr>
      <w:tr>
        <w:trPr>
          <w:trHeight w:val="209"/>
        </w:trPr>
        <w:tc>
          <w:tcPr>
            <w:tcW w:w="50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investing activities</w:t>
            </w:r>
          </w:p>
        </w:tc>
        <w:tc>
          <w:tcPr>
            <w:tcW w:w="2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2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158,674</w:t>
            </w:r>
          </w:p>
        </w:tc>
        <w:tc>
          <w:tcPr>
            <w:tcW w:w="4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158,674</w:t>
            </w:r>
          </w:p>
        </w:tc>
      </w:tr>
      <w:tr>
        <w:trPr>
          <w:trHeight w:val="210"/>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2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(155,011)</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158,674</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3,663</w:t>
            </w:r>
          </w:p>
        </w:tc>
      </w:tr>
      <w:tr>
        <w:trPr>
          <w:trHeight w:val="425"/>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 to consolidated statements of cash flows for the year ended December 31, 2023* - Restatement</w:t>
            </w: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2"/>
        </w:trPr>
        <w:tc>
          <w:tcPr>
            <w:tcW w:w="50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187"/>
        </w:trPr>
        <w:tc>
          <w:tcPr>
            <w:tcW w:w="5020" w:type="dxa"/>
            <w:vAlign w:val="bottom"/>
          </w:tcPr>
          <w:p>
            <w:pPr>
              <w:spacing w:after="0"/>
              <w:rPr>
                <w:sz w:val="16"/>
                <w:szCs w:val="16"/>
                <w:color w:val="auto"/>
              </w:rPr>
            </w:pPr>
          </w:p>
        </w:tc>
        <w:tc>
          <w:tcPr>
            <w:tcW w:w="234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color w:val="auto"/>
              </w:rPr>
              <w:t>2023</w:t>
            </w:r>
          </w:p>
        </w:tc>
        <w:tc>
          <w:tcPr>
            <w:tcW w:w="136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color w:val="auto"/>
              </w:rPr>
              <w:t>Cash flow</w:t>
            </w:r>
          </w:p>
        </w:tc>
        <w:tc>
          <w:tcPr>
            <w:tcW w:w="134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color w:val="auto"/>
              </w:rPr>
              <w:t>2023 warrants</w:t>
            </w:r>
          </w:p>
        </w:tc>
        <w:tc>
          <w:tcPr>
            <w:tcW w:w="480" w:type="dxa"/>
            <w:vAlign w:val="bottom"/>
          </w:tcPr>
          <w:p>
            <w:pPr>
              <w:spacing w:after="0"/>
              <w:rPr>
                <w:sz w:val="16"/>
                <w:szCs w:val="16"/>
                <w:color w:val="auto"/>
              </w:rPr>
            </w:pPr>
          </w:p>
        </w:tc>
        <w:tc>
          <w:tcPr>
            <w:tcW w:w="7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50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(as reported)</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reclassification</w:t>
            </w: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adjustment</w:t>
            </w: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426"/>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operating activities</w:t>
            </w:r>
          </w:p>
        </w:tc>
        <w:tc>
          <w:tcPr>
            <w:tcW w:w="2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(104,036)</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(4,886)</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(108,922)</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2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financial expenses</w:t>
            </w:r>
          </w:p>
        </w:tc>
        <w:tc>
          <w:tcPr>
            <w:tcW w:w="2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32,308</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4,886</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37,194</w:t>
            </w:r>
          </w:p>
        </w:tc>
      </w:tr>
      <w:tr>
        <w:trPr>
          <w:trHeight w:val="216"/>
        </w:trPr>
        <w:tc>
          <w:tcPr>
            <w:tcW w:w="5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2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129,309</w:t>
            </w: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(129,309)</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2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23,598</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(129,309)</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(105,711)</w:t>
            </w:r>
          </w:p>
        </w:tc>
      </w:tr>
      <w:tr>
        <w:trPr>
          <w:trHeight w:val="209"/>
        </w:trPr>
        <w:tc>
          <w:tcPr>
            <w:tcW w:w="50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investing activities</w:t>
            </w:r>
          </w:p>
        </w:tc>
        <w:tc>
          <w:tcPr>
            <w:tcW w:w="2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2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129,309</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129,309</w:t>
            </w:r>
          </w:p>
        </w:tc>
      </w:tr>
      <w:tr>
        <w:trPr>
          <w:trHeight w:val="210"/>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2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(58,343)</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129,309</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70,966</w:t>
            </w:r>
          </w:p>
        </w:tc>
      </w:tr>
      <w:tr>
        <w:trPr>
          <w:trHeight w:val="425"/>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 to consolidated statements of financial position as of December 31, 2023* - Restatement</w:t>
            </w: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0"/>
        </w:trPr>
        <w:tc>
          <w:tcPr>
            <w:tcW w:w="5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As of</w:t>
            </w: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50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December 31,</w:t>
            </w: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Adjustment</w:t>
            </w: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187"/>
        </w:trPr>
        <w:tc>
          <w:tcPr>
            <w:tcW w:w="50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36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2023</w:t>
            </w:r>
          </w:p>
        </w:tc>
        <w:tc>
          <w:tcPr>
            <w:tcW w:w="134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color w:val="auto"/>
              </w:rPr>
              <w:t>2023 warrants</w:t>
            </w:r>
          </w:p>
        </w:tc>
        <w:tc>
          <w:tcPr>
            <w:tcW w:w="480" w:type="dxa"/>
            <w:vAlign w:val="bottom"/>
          </w:tcPr>
          <w:p>
            <w:pPr>
              <w:spacing w:after="0"/>
              <w:rPr>
                <w:sz w:val="16"/>
                <w:szCs w:val="16"/>
                <w:color w:val="auto"/>
              </w:rPr>
            </w:pPr>
          </w:p>
        </w:tc>
        <w:tc>
          <w:tcPr>
            <w:tcW w:w="7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50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(as reported)</w:t>
            </w: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adjustment</w:t>
            </w: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530,123</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4,886</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535,009</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234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56,622</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56,622</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surplus</w:t>
            </w:r>
          </w:p>
        </w:tc>
        <w:tc>
          <w:tcPr>
            <w:tcW w:w="2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2,941</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2,941</w:t>
            </w:r>
          </w:p>
        </w:tc>
      </w:tr>
      <w:tr>
        <w:trPr>
          <w:trHeight w:val="216"/>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(294,924)</w:t>
            </w: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(4,886)</w:t>
            </w: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(299,810)</w:t>
            </w:r>
          </w:p>
        </w:tc>
      </w:tr>
      <w:tr>
        <w:trPr>
          <w:trHeight w:val="210"/>
        </w:trPr>
        <w:tc>
          <w:tcPr>
            <w:tcW w:w="5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294,762</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294,762</w:t>
            </w:r>
          </w:p>
        </w:tc>
      </w:tr>
      <w:tr>
        <w:trPr>
          <w:trHeight w:val="433"/>
        </w:trPr>
        <w:tc>
          <w:tcPr>
            <w:tcW w:w="50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270"/>
        </w:trPr>
        <w:tc>
          <w:tcPr>
            <w:tcW w:w="502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right w:val="single" w:sz="8" w:color="auto"/>
            </w:tcBorders>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54"/>
        </w:trPr>
        <w:tc>
          <w:tcPr>
            <w:tcW w:w="50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Adjustments to consolidated statements of profit or loss and comprehensive profit or loss for the year ended December 31, 2023* - Restatement</w:t>
      </w:r>
    </w:p>
    <w:p>
      <w:pPr>
        <w:spacing w:after="0" w:line="225"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color w:val="auto"/>
              </w:rPr>
              <w:t>2023</w:t>
            </w:r>
          </w:p>
        </w:tc>
        <w:tc>
          <w:tcPr>
            <w:tcW w:w="152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color w:val="auto"/>
              </w:rPr>
              <w:t>2023 warrants</w:t>
            </w:r>
          </w:p>
        </w:tc>
        <w:tc>
          <w:tcPr>
            <w:tcW w:w="3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jc w:val="right"/>
              <w:ind w:right="20"/>
              <w:spacing w:after="0" w:line="188"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6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(as reported)</w:t>
            </w: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adjustment</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09"/>
        </w:trPr>
        <w:tc>
          <w:tcPr>
            <w:tcW w:w="680" w:type="dxa"/>
            <w:vAlign w:val="bottom"/>
            <w:tcBorders>
              <w:top w:val="single" w:sz="8" w:color="auto"/>
              <w:bottom w:val="single" w:sz="8" w:color="auto"/>
            </w:tcBorders>
          </w:tcPr>
          <w:p>
            <w:pPr>
              <w:spacing w:after="0"/>
              <w:rPr>
                <w:sz w:val="18"/>
                <w:szCs w:val="18"/>
                <w:color w:val="auto"/>
              </w:rPr>
            </w:pPr>
          </w:p>
        </w:tc>
        <w:tc>
          <w:tcPr>
            <w:tcW w:w="20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5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(72,129)</w:t>
            </w:r>
          </w:p>
        </w:tc>
        <w:tc>
          <w:tcPr>
            <w:tcW w:w="15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right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(72,129)</w:t>
            </w:r>
          </w:p>
        </w:tc>
        <w:tc>
          <w:tcPr>
            <w:tcW w:w="20" w:type="dxa"/>
            <w:vAlign w:val="bottom"/>
          </w:tcPr>
          <w:p>
            <w:pPr>
              <w:spacing w:after="0"/>
              <w:rPr>
                <w:sz w:val="18"/>
                <w:szCs w:val="18"/>
                <w:color w:val="auto"/>
              </w:rPr>
            </w:pPr>
          </w:p>
        </w:tc>
      </w:tr>
      <w:tr>
        <w:trPr>
          <w:trHeight w:val="209"/>
        </w:trPr>
        <w:tc>
          <w:tcPr>
            <w:tcW w:w="6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expenses</w:t>
            </w:r>
          </w:p>
        </w:tc>
        <w:tc>
          <w:tcPr>
            <w:tcW w:w="1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(32,308)</w:t>
            </w:r>
          </w:p>
        </w:tc>
        <w:tc>
          <w:tcPr>
            <w:tcW w:w="15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(4,886)</w:t>
            </w:r>
          </w:p>
        </w:tc>
        <w:tc>
          <w:tcPr>
            <w:tcW w:w="360" w:type="dxa"/>
            <w:vAlign w:val="bottom"/>
            <w:tcBorders>
              <w:bottom w:val="single" w:sz="8" w:color="auto"/>
              <w:right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(37,194)</w:t>
            </w:r>
          </w:p>
        </w:tc>
        <w:tc>
          <w:tcPr>
            <w:tcW w:w="20" w:type="dxa"/>
            <w:vAlign w:val="bottom"/>
          </w:tcPr>
          <w:p>
            <w:pPr>
              <w:spacing w:after="0"/>
              <w:rPr>
                <w:sz w:val="18"/>
                <w:szCs w:val="18"/>
                <w:color w:val="auto"/>
              </w:rPr>
            </w:pPr>
          </w:p>
        </w:tc>
      </w:tr>
      <w:tr>
        <w:trPr>
          <w:trHeight w:val="210"/>
        </w:trPr>
        <w:tc>
          <w:tcPr>
            <w:tcW w:w="3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(104,437)</w:t>
            </w:r>
          </w:p>
        </w:tc>
        <w:tc>
          <w:tcPr>
            <w:tcW w:w="1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(4,886)</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(109,323)</w:t>
            </w:r>
          </w:p>
        </w:tc>
        <w:tc>
          <w:tcPr>
            <w:tcW w:w="20" w:type="dxa"/>
            <w:vAlign w:val="bottom"/>
          </w:tcPr>
          <w:p>
            <w:pPr>
              <w:spacing w:after="0"/>
              <w:rPr>
                <w:sz w:val="18"/>
                <w:szCs w:val="18"/>
                <w:color w:val="auto"/>
              </w:rPr>
            </w:pPr>
          </w:p>
        </w:tc>
      </w:tr>
      <w:tr>
        <w:trPr>
          <w:trHeight w:val="209"/>
        </w:trPr>
        <w:tc>
          <w:tcPr>
            <w:tcW w:w="6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1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401</w:t>
            </w:r>
          </w:p>
        </w:tc>
        <w:tc>
          <w:tcPr>
            <w:tcW w:w="15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401</w:t>
            </w:r>
          </w:p>
        </w:tc>
        <w:tc>
          <w:tcPr>
            <w:tcW w:w="20" w:type="dxa"/>
            <w:vAlign w:val="bottom"/>
          </w:tcPr>
          <w:p>
            <w:pPr>
              <w:spacing w:after="0"/>
              <w:rPr>
                <w:sz w:val="18"/>
                <w:szCs w:val="18"/>
                <w:color w:val="auto"/>
              </w:rPr>
            </w:pPr>
          </w:p>
        </w:tc>
      </w:tr>
      <w:tr>
        <w:trPr>
          <w:trHeight w:val="210"/>
        </w:trPr>
        <w:tc>
          <w:tcPr>
            <w:tcW w:w="35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and total comprehensive loss</w:t>
            </w:r>
          </w:p>
        </w:tc>
        <w:tc>
          <w:tcPr>
            <w:tcW w:w="1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(104,036)</w:t>
            </w:r>
          </w:p>
        </w:tc>
        <w:tc>
          <w:tcPr>
            <w:tcW w:w="15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(4,886)</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(108,922)</w:t>
            </w:r>
          </w:p>
        </w:tc>
        <w:tc>
          <w:tcPr>
            <w:tcW w:w="20" w:type="dxa"/>
            <w:vAlign w:val="bottom"/>
          </w:tcPr>
          <w:p>
            <w:pPr>
              <w:spacing w:after="0"/>
              <w:rPr>
                <w:sz w:val="18"/>
                <w:szCs w:val="18"/>
                <w:color w:val="auto"/>
              </w:rPr>
            </w:pPr>
          </w:p>
        </w:tc>
      </w:tr>
      <w:tr>
        <w:trPr>
          <w:trHeight w:val="209"/>
        </w:trPr>
        <w:tc>
          <w:tcPr>
            <w:tcW w:w="6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that will not be reclassified to profit or loss:</w:t>
            </w: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80" w:type="dxa"/>
            <w:vAlign w:val="bottom"/>
            <w:tcBorders>
              <w:bottom w:val="single" w:sz="8" w:color="auto"/>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revaluation surplus - digital assets, net of tax</w:t>
            </w:r>
          </w:p>
        </w:tc>
        <w:tc>
          <w:tcPr>
            <w:tcW w:w="14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9,242</w:t>
            </w:r>
          </w:p>
        </w:tc>
        <w:tc>
          <w:tcPr>
            <w:tcW w:w="15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right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9,242</w:t>
            </w:r>
          </w:p>
        </w:tc>
        <w:tc>
          <w:tcPr>
            <w:tcW w:w="20" w:type="dxa"/>
            <w:vAlign w:val="bottom"/>
          </w:tcPr>
          <w:p>
            <w:pPr>
              <w:spacing w:after="0"/>
              <w:rPr>
                <w:sz w:val="18"/>
                <w:szCs w:val="18"/>
                <w:color w:val="auto"/>
              </w:rPr>
            </w:pPr>
          </w:p>
        </w:tc>
      </w:tr>
      <w:tr>
        <w:trPr>
          <w:trHeight w:val="209"/>
        </w:trPr>
        <w:tc>
          <w:tcPr>
            <w:tcW w:w="3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1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(94,794)</w:t>
            </w:r>
          </w:p>
        </w:tc>
        <w:tc>
          <w:tcPr>
            <w:tcW w:w="1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(4,886)</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(99,680)</w:t>
            </w:r>
          </w:p>
        </w:tc>
        <w:tc>
          <w:tcPr>
            <w:tcW w:w="20" w:type="dxa"/>
            <w:vAlign w:val="bottom"/>
          </w:tcPr>
          <w:p>
            <w:pPr>
              <w:spacing w:after="0"/>
              <w:rPr>
                <w:sz w:val="18"/>
                <w:szCs w:val="18"/>
                <w:color w:val="auto"/>
              </w:rPr>
            </w:pPr>
          </w:p>
        </w:tc>
      </w:tr>
      <w:tr>
        <w:trPr>
          <w:trHeight w:val="209"/>
        </w:trPr>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(0.40)</w:t>
            </w:r>
          </w:p>
        </w:tc>
        <w:tc>
          <w:tcPr>
            <w:tcW w:w="1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(0.02)</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c>
          <w:tcPr>
            <w:tcW w:w="20" w:type="dxa"/>
            <w:vAlign w:val="bottom"/>
          </w:tcPr>
          <w:p>
            <w:pPr>
              <w:spacing w:after="0"/>
              <w:rPr>
                <w:sz w:val="18"/>
                <w:szCs w:val="18"/>
                <w:color w:val="auto"/>
              </w:rPr>
            </w:pPr>
          </w:p>
        </w:tc>
      </w:tr>
      <w:tr>
        <w:trPr>
          <w:trHeight w:val="209"/>
        </w:trPr>
        <w:tc>
          <w:tcPr>
            <w:tcW w:w="4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1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262,237,117</w:t>
            </w:r>
          </w:p>
        </w:tc>
        <w:tc>
          <w:tcPr>
            <w:tcW w:w="15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262,237,117</w:t>
            </w:r>
          </w:p>
        </w:tc>
        <w:tc>
          <w:tcPr>
            <w:tcW w:w="20" w:type="dxa"/>
            <w:vAlign w:val="bottom"/>
          </w:tcPr>
          <w:p>
            <w:pPr>
              <w:spacing w:after="0"/>
              <w:rPr>
                <w:sz w:val="18"/>
                <w:szCs w:val="18"/>
                <w:color w:val="auto"/>
              </w:rPr>
            </w:pPr>
          </w:p>
        </w:tc>
      </w:tr>
      <w:tr>
        <w:trPr>
          <w:trHeight w:val="426"/>
        </w:trPr>
        <w:tc>
          <w:tcPr>
            <w:tcW w:w="102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w w:val="99"/>
              </w:rPr>
              <w:t>Adjustments to interim consolidated statements of cash flows for the nine months ended September 30, 2023 and 2024* - Restatement</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4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384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187"/>
        </w:trPr>
        <w:tc>
          <w:tcPr>
            <w:tcW w:w="68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color w:val="auto"/>
              </w:rPr>
              <w:t>2024</w:t>
            </w:r>
          </w:p>
        </w:tc>
        <w:tc>
          <w:tcPr>
            <w:tcW w:w="1440" w:type="dxa"/>
            <w:vAlign w:val="bottom"/>
            <w:tcBorders>
              <w:top w:val="single" w:sz="8" w:color="auto"/>
            </w:tcBorders>
          </w:tcPr>
          <w:p>
            <w:pPr>
              <w:jc w:val="right"/>
              <w:ind w:right="130"/>
              <w:spacing w:after="0" w:line="188" w:lineRule="exact"/>
              <w:rPr>
                <w:sz w:val="20"/>
                <w:szCs w:val="20"/>
                <w:color w:val="auto"/>
              </w:rPr>
            </w:pPr>
            <w:r>
              <w:rPr>
                <w:rFonts w:ascii="Times New Roman" w:cs="Times New Roman" w:eastAsia="Times New Roman" w:hAnsi="Times New Roman"/>
                <w:sz w:val="18"/>
                <w:szCs w:val="18"/>
                <w:color w:val="auto"/>
              </w:rPr>
              <w:t>Cash flow</w:t>
            </w:r>
          </w:p>
        </w:tc>
        <w:tc>
          <w:tcPr>
            <w:tcW w:w="130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color w:val="auto"/>
              </w:rPr>
              <w:t>2023</w:t>
            </w:r>
          </w:p>
        </w:tc>
        <w:tc>
          <w:tcPr>
            <w:tcW w:w="152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color w:val="auto"/>
              </w:rPr>
              <w:t>Cash flow</w:t>
            </w:r>
          </w:p>
        </w:tc>
        <w:tc>
          <w:tcPr>
            <w:tcW w:w="3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6"/>
                <w:szCs w:val="16"/>
                <w:color w:val="auto"/>
              </w:rPr>
            </w:pPr>
          </w:p>
        </w:tc>
      </w:tr>
      <w:tr>
        <w:trPr>
          <w:trHeight w:val="238"/>
        </w:trPr>
        <w:tc>
          <w:tcPr>
            <w:tcW w:w="6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(as reported)</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reclassification</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(as reported)</w:t>
            </w: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reclassification</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619"/>
        </w:trPr>
        <w:tc>
          <w:tcPr>
            <w:tcW w:w="35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operating</w:t>
            </w:r>
          </w:p>
        </w:tc>
        <w:tc>
          <w:tcPr>
            <w:tcW w:w="11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(69,228)</w:t>
            </w:r>
          </w:p>
        </w:tc>
        <w:tc>
          <w:tcPr>
            <w:tcW w:w="1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(69,228)</w:t>
            </w: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(46,877)</w:t>
            </w:r>
          </w:p>
        </w:tc>
        <w:tc>
          <w:tcPr>
            <w:tcW w:w="15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(46,877)</w:t>
            </w:r>
          </w:p>
        </w:tc>
        <w:tc>
          <w:tcPr>
            <w:tcW w:w="20" w:type="dxa"/>
            <w:vAlign w:val="bottom"/>
          </w:tcPr>
          <w:p>
            <w:pPr>
              <w:spacing w:after="0"/>
              <w:rPr>
                <w:sz w:val="18"/>
                <w:szCs w:val="18"/>
                <w:color w:val="auto"/>
              </w:rPr>
            </w:pPr>
          </w:p>
        </w:tc>
      </w:tr>
      <w:tr>
        <w:trPr>
          <w:trHeight w:val="216"/>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digital assets</w:t>
            </w: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111,264</w:t>
            </w:r>
          </w:p>
        </w:tc>
        <w:tc>
          <w:tcPr>
            <w:tcW w:w="1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(111,264)</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87,724</w:t>
            </w:r>
          </w:p>
        </w:tc>
        <w:tc>
          <w:tcPr>
            <w:tcW w:w="15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(87,724)</w:t>
            </w:r>
          </w:p>
        </w:tc>
        <w:tc>
          <w:tcPr>
            <w:tcW w:w="360" w:type="dxa"/>
            <w:vAlign w:val="bottom"/>
            <w:tcBorders>
              <w:bottom w:val="single" w:sz="8" w:color="auto"/>
              <w:right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r>
      <w:tr>
        <w:trPr>
          <w:trHeight w:val="187"/>
        </w:trPr>
        <w:tc>
          <w:tcPr>
            <w:tcW w:w="358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change in cash related to operating</w:t>
            </w:r>
          </w:p>
        </w:tc>
        <w:tc>
          <w:tcPr>
            <w:tcW w:w="1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3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14,104</w:t>
            </w:r>
          </w:p>
        </w:tc>
        <w:tc>
          <w:tcPr>
            <w:tcW w:w="1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(111,264)</w:t>
            </w: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(97,160)</w:t>
            </w: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10,028</w:t>
            </w:r>
          </w:p>
        </w:tc>
        <w:tc>
          <w:tcPr>
            <w:tcW w:w="1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(87,724)</w:t>
            </w: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(77,696)</w:t>
            </w:r>
          </w:p>
        </w:tc>
        <w:tc>
          <w:tcPr>
            <w:tcW w:w="20" w:type="dxa"/>
            <w:vAlign w:val="bottom"/>
          </w:tcPr>
          <w:p>
            <w:pPr>
              <w:spacing w:after="0"/>
              <w:rPr>
                <w:sz w:val="20"/>
                <w:szCs w:val="20"/>
                <w:color w:val="auto"/>
              </w:rPr>
            </w:pPr>
          </w:p>
        </w:tc>
      </w:tr>
      <w:tr>
        <w:trPr>
          <w:trHeight w:val="210"/>
        </w:trPr>
        <w:tc>
          <w:tcPr>
            <w:tcW w:w="6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35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Cash flows from (used in) investing</w:t>
            </w:r>
          </w:p>
        </w:tc>
        <w:tc>
          <w:tcPr>
            <w:tcW w:w="1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70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activities</w:t>
            </w: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35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digital assets</w:t>
            </w: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111,264</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111,264</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87,724</w:t>
            </w:r>
          </w:p>
        </w:tc>
        <w:tc>
          <w:tcPr>
            <w:tcW w:w="360" w:type="dxa"/>
            <w:vAlign w:val="bottom"/>
            <w:tcBorders>
              <w:bottom w:val="single" w:sz="8" w:color="auto"/>
              <w:right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87,724</w:t>
            </w:r>
          </w:p>
        </w:tc>
        <w:tc>
          <w:tcPr>
            <w:tcW w:w="20" w:type="dxa"/>
            <w:vAlign w:val="bottom"/>
          </w:tcPr>
          <w:p>
            <w:pPr>
              <w:spacing w:after="0"/>
              <w:rPr>
                <w:sz w:val="18"/>
                <w:szCs w:val="18"/>
                <w:color w:val="auto"/>
              </w:rPr>
            </w:pPr>
          </w:p>
        </w:tc>
      </w:tr>
      <w:tr>
        <w:trPr>
          <w:trHeight w:val="187"/>
        </w:trPr>
        <w:tc>
          <w:tcPr>
            <w:tcW w:w="358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change in cash related to investing</w:t>
            </w:r>
          </w:p>
        </w:tc>
        <w:tc>
          <w:tcPr>
            <w:tcW w:w="1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3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(268,862)</w:t>
            </w:r>
          </w:p>
        </w:tc>
        <w:tc>
          <w:tcPr>
            <w:tcW w:w="1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111,264</w:t>
            </w: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(157,598)</w:t>
            </w: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(35,373)</w:t>
            </w:r>
          </w:p>
        </w:tc>
        <w:tc>
          <w:tcPr>
            <w:tcW w:w="15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87,724</w:t>
            </w: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52,351</w:t>
            </w:r>
          </w:p>
        </w:tc>
        <w:tc>
          <w:tcPr>
            <w:tcW w:w="20" w:type="dxa"/>
            <w:vAlign w:val="bottom"/>
          </w:tcPr>
          <w:p>
            <w:pPr>
              <w:spacing w:after="0"/>
              <w:rPr>
                <w:sz w:val="20"/>
                <w:szCs w:val="20"/>
                <w:color w:val="auto"/>
              </w:rPr>
            </w:pPr>
          </w:p>
        </w:tc>
      </w:tr>
      <w:tr>
        <w:trPr>
          <w:trHeight w:val="433"/>
        </w:trPr>
        <w:tc>
          <w:tcPr>
            <w:tcW w:w="6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6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Page</w:t>
            </w:r>
          </w:p>
        </w:tc>
      </w:tr>
      <w:tr>
        <w:trPr>
          <w:trHeight w:val="54"/>
        </w:trPr>
        <w:tc>
          <w:tcPr>
            <w:tcW w:w="6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Adjustments to consolidated statements of financial position as of September 30, 2024* - Restatement</w:t>
            </w: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0"/>
        </w:trPr>
        <w:tc>
          <w:tcPr>
            <w:tcW w:w="4580" w:type="dxa"/>
            <w:vAlign w:val="bottom"/>
          </w:tcPr>
          <w:p>
            <w:pPr>
              <w:spacing w:after="0"/>
              <w:rPr>
                <w:sz w:val="24"/>
                <w:szCs w:val="24"/>
                <w:color w:val="auto"/>
              </w:rPr>
            </w:pPr>
          </w:p>
        </w:tc>
        <w:tc>
          <w:tcPr>
            <w:tcW w:w="4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As of</w:t>
            </w:r>
          </w:p>
        </w:tc>
        <w:tc>
          <w:tcPr>
            <w:tcW w:w="1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458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September 30,</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Adjustment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87"/>
        </w:trPr>
        <w:tc>
          <w:tcPr>
            <w:tcW w:w="4580" w:type="dxa"/>
            <w:vAlign w:val="bottom"/>
          </w:tcPr>
          <w:p>
            <w:pPr>
              <w:spacing w:after="0"/>
              <w:rPr>
                <w:sz w:val="16"/>
                <w:szCs w:val="16"/>
                <w:color w:val="auto"/>
              </w:rPr>
            </w:pPr>
          </w:p>
        </w:tc>
        <w:tc>
          <w:tcPr>
            <w:tcW w:w="41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color w:val="auto"/>
              </w:rPr>
              <w:t>2024</w:t>
            </w:r>
          </w:p>
        </w:tc>
        <w:tc>
          <w:tcPr>
            <w:tcW w:w="13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color w:val="auto"/>
              </w:rPr>
              <w:t>2023 warrants</w:t>
            </w:r>
          </w:p>
        </w:tc>
        <w:tc>
          <w:tcPr>
            <w:tcW w:w="12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38"/>
        </w:trPr>
        <w:tc>
          <w:tcPr>
            <w:tcW w:w="458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(as reported)</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adjustment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4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41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796,751</w:t>
            </w: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4,886</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801,637</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4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63,785</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63,785</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(351,823)</w:t>
            </w: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(4,886)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(356,709)</w:t>
            </w:r>
          </w:p>
        </w:tc>
      </w:tr>
      <w:tr>
        <w:trPr>
          <w:trHeight w:val="216"/>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Revaluation surplus</w:t>
            </w:r>
          </w:p>
        </w:tc>
        <w:tc>
          <w:tcPr>
            <w:tcW w:w="4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3,311</w:t>
            </w: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3,311</w:t>
            </w:r>
          </w:p>
        </w:tc>
      </w:tr>
      <w:tr>
        <w:trPr>
          <w:trHeight w:val="210"/>
        </w:trPr>
        <w:tc>
          <w:tcPr>
            <w:tcW w:w="4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41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512,024</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512,024</w:t>
            </w:r>
          </w:p>
        </w:tc>
      </w:tr>
    </w:tbl>
    <w:p>
      <w:pPr>
        <w:spacing w:after="0" w:line="198"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in thousands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management has previously concluded that the Company had a material weakness in its internal control over financial reporting during the Restatement Periods. Management is in the process of implementing remediation measures to address the material weakness in respect of the errors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data center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and two under Hosting agreements, situated in four countries: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 the United States, Paraguay, and Argentina. Powered predominantly by environmentally friendly hydro-electric and long-term power contracts,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is committed to using sustainable and often underutilized energy infrastructure.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impact of the Restatement, the filing of the Restated Financials and Restated MD&amp;A, the Company’s plans to remediate the material weakness in its internal control over financial reporting and other statements regarding future growth, plans and objectives of the Company are forward-looking information.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the pending SEC Review; the potential that additional restatements of the financial statements will be required; the potential that the Company identifies additional material weaknesses in its control over financial reporting; the ability of the Company to remediate known material weaknesses; the acquisition,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Bitcoin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For further information concerning these and other risks and uncertainties, refer to Bitfarms’ filings on www.sedarplus.ca (which are also available on the website of the U.S. Securities and Exchange Commission (the “SEC”) at www.sec.gov), including the restated MD&amp;A for the year-ended December 31, 2023, filed on December 9, 2024 and the restated MD&amp;A for the three and nine months ended September 30, 2024 filed on December 9, 2024.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undertakes no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nor any other securities exchange or regulatory authority accepts responsibility for the adequacy or accuracy of this release.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0440"/>
        <w:spacing w:after="0"/>
        <w:tabs>
          <w:tab w:leader="none" w:pos="1084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Page</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jpe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19" Type="http://schemas.openxmlformats.org/officeDocument/2006/relationships/hyperlink" Target="https://www.sec.gov/Archives/edgar/data/1812477/000121390021042378/ea145070-f10_bitfarmsltd.htm" TargetMode="External"/><Relationship Id="rId20" Type="http://schemas.openxmlformats.org/officeDocument/2006/relationships/hyperlink" Target="https://www.sec.gov/Archives/edgar/data/1812477/000121390024035021/ea0204332-s8_bitfarms.htm" TargetMode="External"/><Relationship Id="rId21" Type="http://schemas.openxmlformats.org/officeDocument/2006/relationships/hyperlink" Target="https://www.sec.gov/Archives/edgar/data/1812477/000121390024087834/ea0216025-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2024-12-10T16:12:31Z</dcterms:created>
  <dcterms:modified xsi:type="dcterms:W3CDTF">2024-12-10T16:12:31Z</dcterms:modified>
</cp:coreProperties>
</file>