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130" w:right="0" w:hanging="0"/>
        <w:jc w:val="left"/>
        <w:rPr>
          <w:bdr w:val="single" w:sz="16" w:space="1" w:color="000000"/>
        </w:rPr>
      </w:pPr>
      <w:bookmarkStart w:id="0" w:name="ea182685-6k_bitfarms.htm"/>
      <w:bookmarkStart w:id="1" w:name="ksea1826856k_bitfarms"/>
      <w:bookmarkEnd w:id="0"/>
      <w:bookmarkEnd w:id="1"/>
      <w:r>
        <w:rPr>
          <w:bdr w:val="single" w:sz="16" w:space="1" w:color="000000"/>
        </w:rPr>
        <w:t> </w:t>
      </w:r>
    </w:p>
    <w:p>
      <w:pPr>
        <w:pStyle w:val="TextBody"/>
        <w:bidi w:val="0"/>
        <w:ind w:left="13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2023</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King Street East, Suite 902, Toronto, Ontario, Canada M5C 1C4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0"/>
        </w:rPr>
        <w:t>Exhibits</w:t>
      </w:r>
      <w:r>
        <w:rPr>
          <w:rFonts w:ascii="Times New Roman;Times;Serif" w:hAnsi="Times New Roman;Times;Serif"/>
          <w:b w:val="false"/>
          <w:i w:val="false"/>
          <w:caps w:val="false"/>
          <w:smallCaps w:val="false"/>
          <w:sz w:val="22"/>
        </w:rPr>
        <w:t xml:space="preserve"> </w:t>
      </w:r>
    </w:p>
    <w:p>
      <w:pPr>
        <w:pStyle w:val="TextBody"/>
        <w:bidi w:val="0"/>
        <w:spacing w:before="0" w:after="283"/>
        <w:jc w:val="left"/>
        <w:rPr/>
      </w:pPr>
      <w:r>
        <w:rPr/>
        <w:t> </w:t>
      </w:r>
    </w:p>
    <w:tbl>
      <w:tblPr>
        <w:tblW w:w="4825" w:type="dxa"/>
        <w:jc w:val="left"/>
        <w:tblInd w:w="0" w:type="dxa"/>
        <w:tblLayout w:type="fixed"/>
        <w:tblCellMar>
          <w:top w:w="0" w:type="dxa"/>
          <w:left w:w="0" w:type="dxa"/>
          <w:bottom w:w="28" w:type="dxa"/>
          <w:right w:w="0" w:type="dxa"/>
        </w:tblCellMar>
      </w:tblPr>
      <w:tblGrid>
        <w:gridCol w:w="980"/>
        <w:gridCol w:w="60"/>
        <w:gridCol w:w="3785"/>
      </w:tblGrid>
      <w:tr>
        <w:trPr/>
        <w:tc>
          <w:tcPr>
            <w:tcW w:w="980" w:type="dxa"/>
            <w:tcBorders>
              <w:bottom w:val="single" w:sz="12" w:space="0" w:color="000000"/>
            </w:tcBorders>
            <w:vAlign w:val="center"/>
          </w:tcPr>
          <w:p>
            <w:pPr>
              <w:pStyle w:val="TableContents"/>
              <w:bidi w:val="0"/>
              <w:spacing w:before="0" w:after="283"/>
              <w:jc w:val="both"/>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785" w:type="dxa"/>
            <w:tcBorders>
              <w:bottom w:val="single" w:sz="12" w:space="0" w:color="000000"/>
            </w:tcBorders>
            <w:vAlign w:val="center"/>
          </w:tcPr>
          <w:p>
            <w:pPr>
              <w:pStyle w:val="TableContents"/>
              <w:bidi w:val="0"/>
              <w:spacing w:before="0" w:after="283"/>
              <w:jc w:val="both"/>
              <w:rPr>
                <w:sz w:val="20"/>
              </w:rPr>
            </w:pPr>
            <w:r>
              <w:rPr>
                <w:sz w:val="20"/>
              </w:rPr>
              <w:t>Description</w:t>
            </w:r>
          </w:p>
        </w:tc>
      </w:tr>
      <w:tr>
        <w:trPr/>
        <w:tc>
          <w:tcPr>
            <w:tcW w:w="980"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85" w:type="dxa"/>
            <w:tcBorders/>
            <w:shd w:fill="CCEEFF" w:val="clear"/>
            <w:tcMar>
              <w:bottom w:w="0" w:type="dxa"/>
            </w:tcMar>
            <w:vAlign w:val="center"/>
          </w:tcPr>
          <w:p>
            <w:pPr>
              <w:pStyle w:val="TableContents"/>
              <w:bidi w:val="0"/>
              <w:spacing w:before="0" w:after="283"/>
              <w:jc w:val="both"/>
              <w:rPr/>
            </w:pPr>
            <w:hyperlink w:anchor="ea182685ex99-1_bitfarms.htm">
              <w:r>
                <w:rPr>
                  <w:rStyle w:val="InternetLink"/>
                  <w:sz w:val="20"/>
                </w:rPr>
                <w:t>Material Change Report dated August 1, 2023</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ind w:left="979"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16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 Geoffrey Morphy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Geoffrey Morphy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2023</w:t>
      </w:r>
    </w:p>
    <w:p>
      <w:pPr>
        <w:pStyle w:val="TextBody"/>
        <w:bidi w:val="0"/>
        <w:ind w:left="160" w:right="0" w:hanging="0"/>
        <w:jc w:val="left"/>
        <w:rPr>
          <w:caps w:val="false"/>
          <w:smallCaps w:val="false"/>
        </w:rPr>
      </w:pPr>
      <w:r>
        <w:rPr>
          <w:caps w:val="false"/>
          <w:smallCaps w:val="false"/>
        </w:rPr>
        <w:t> </w:t>
      </w:r>
    </w:p>
    <w:p>
      <w:pPr>
        <w:pStyle w:val="TextBody"/>
        <w:bidi w:val="0"/>
        <w:ind w:left="16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160" w:right="0" w:hanging="0"/>
        <w:jc w:val="left"/>
        <w:rPr>
          <w:bdr w:val="single" w:sz="12" w:space="1" w:color="000000"/>
        </w:rPr>
      </w:pPr>
      <w:r>
        <w:rPr>
          <w:bdr w:val="single" w:sz="12" w:space="1" w:color="000000"/>
        </w:rPr>
        <w:t> </w:t>
      </w:r>
    </w:p>
    <w:p>
      <w:pPr>
        <w:pStyle w:val="TextBody"/>
        <w:bidi w:val="0"/>
        <w:ind w:left="1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182685ex99-1_bitfarms.htm"/>
      <w:bookmarkStart w:id="3" w:name="ksea182685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56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Company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King Street East, Suite 902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1C4</w:t>
      </w:r>
    </w:p>
    <w:p>
      <w:pPr>
        <w:pStyle w:val="TextBody"/>
        <w:bidi w:val="0"/>
        <w:spacing w:before="0" w:after="0"/>
        <w:ind w:left="720" w:right="0" w:firstLine="72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56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Material Change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2023.</w:t>
      </w:r>
    </w:p>
    <w:p>
      <w:pPr>
        <w:pStyle w:val="TextBody"/>
        <w:bidi w:val="0"/>
        <w:spacing w:before="0" w:after="0"/>
        <w:ind w:left="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56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12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News Release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August 1, 2023 by a newswire company in Canada.</w:t>
      </w:r>
    </w:p>
    <w:p>
      <w:pPr>
        <w:pStyle w:val="TextBody"/>
        <w:bidi w:val="0"/>
        <w:spacing w:before="0" w:after="0"/>
        <w:ind w:left="0" w:right="0" w:hanging="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56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6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Material Change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56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3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Description of Material Change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56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5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Reliance of subsection 7.1(2) of National Instrument 51-102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56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Omitted Information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56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Geoffrey Morphy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gmorphy@bitfarms.com</w:t>
      </w:r>
    </w:p>
    <w:p>
      <w:pPr>
        <w:pStyle w:val="TextBody"/>
        <w:bidi w:val="0"/>
        <w:spacing w:before="0" w:after="0"/>
        <w:ind w:left="0" w:right="0" w:hanging="0"/>
        <w:jc w:val="both"/>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56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2023.</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10" w:right="0" w:hanging="10"/>
        <w:jc w:val="center"/>
        <w:rPr>
          <w:caps w:val="false"/>
          <w:smallCaps w:val="false"/>
        </w:rPr>
      </w:pPr>
      <w:r>
        <w:rPr>
          <w:caps w:val="false"/>
          <w:smallCaps w:val="false"/>
        </w:rPr>
        <w:t> </w:t>
      </w:r>
    </w:p>
    <w:p>
      <w:pPr>
        <w:pStyle w:val="TextBody"/>
        <w:bidi w:val="0"/>
        <w:spacing w:before="0" w:after="0"/>
        <w:ind w:left="10" w:right="0" w:hanging="1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90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Mines 378 BTC in July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Launched expansion to nearly double hydropower capacity to 350 MW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Hosting Bitfarms Analyst Day on September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in New York City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This news release constitutes a “designated news release” for purposes of the Company’s prospectus supplement dated August 16, 2021, to its short form base shelf prospectus dated August 12, 2021.</w:t>
      </w:r>
    </w:p>
    <w:p>
      <w:pPr>
        <w:pStyle w:val="TextBody"/>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(August 1, 2023)</w:t>
      </w:r>
      <w:r>
        <w:rPr>
          <w:rFonts w:ascii="Times New Roman;Times;Serif" w:hAnsi="Times New Roman;Times;Serif"/>
          <w:b w:val="false"/>
          <w:i w:val="false"/>
          <w:caps w:val="false"/>
          <w:smallCaps w:val="false"/>
          <w:sz w:val="20"/>
        </w:rPr>
        <w:t xml:space="preserve"> - Bitfarms Ltd. (</w:t>
      </w:r>
      <w:r>
        <w:rPr>
          <w:rFonts w:ascii="Times New Roman;Times;Serif" w:hAnsi="Times New Roman;Times;Serif"/>
          <w:b w:val="false"/>
          <w:i w:val="false"/>
          <w:caps w:val="false"/>
          <w:smallCaps w:val="false"/>
          <w:sz w:val="20"/>
          <w:u w:val="single"/>
        </w:rPr>
        <w:t>NASDAQ: BITF//TSX: BITF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 global vertically integrated Bitcoin mining company</w:t>
      </w:r>
      <w:r>
        <w:rPr>
          <w:rFonts w:ascii="Times New Roman;Times;Serif" w:hAnsi="Times New Roman;Times;Serif"/>
          <w:b w:val="false"/>
          <w:i w:val="false"/>
          <w:caps w:val="false"/>
          <w:smallCaps w:val="false"/>
          <w:sz w:val="20"/>
        </w:rPr>
        <w:t>, provides a Bitcoin (BTC) production and mining operations update for July 2023.</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follow a disciplined and accretive growth strategy of securing low-cost power and investing capital wisely in highly efficient operations with compelling projected returns,” said Geoff Morphy, CEO of Bitfarms. “To this end, in July we initiated an expansion plan to nearly double our hydropower capacity to 350 MW by acquiring 150 MW of under-utilized hydropower in Paraguay. As an industry veteran of over five years with operations in four countries, Bitfarms has a proven track record of expeditiously establishing operations in new jurisdictions. Through expansion in Paraguay, the Company seeks to leverage its industry knowledge and economies of scale to drive greater production efficiency. We plan to commence construction on the first 50 MW facility here in Q3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July, we started production at our 11th farm in Baie-Comeau. It is on track to reach its first 11 MW of production in Q3 2023 with an additional 11 MW targeted to come online in 2H 2024. Upon completion, Baie-Comeau will increase our Quebec portfolio to 8 sites and 170 MW of low-cost hydro power. With miner deliveries and installations progressing smoothly in Rio Cuarto, Argentina, we are confident we will achieve our Q3 2023 target hashrate of 6.3 EH/s,” concluded Morphy.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 Chief Mining Officer of Bitfarms, said, “In July, BTC production was 378, compared to 385 BTC in June 2023 as difficulty increased another 3.3% in the month. Production was also impacted by intense weather events, including record temperatures and unprecedented wildfires that led to poor air quality in Quebec and resulted in the temporary throttling back of miners. In addition, our Magog farm went offline for 7 days because of a direct lightning strike that disabled its primary electricity transformer, although no other damage was incurred.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strategy for risk mitigation incorporates redundancy and geographic diversification. In the case of Magog, the outage impacted only a small percentage of overall production. Utilizing our highly skilled in-house electrical subsidiary and reserve equipment and parts, we were able to restore production in less than a week, rather than potentially a month or more if we needed to order parts and equipment,” added Gagnon.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BTC price rose in July to $30,100, up 9.1% from $27,600 in June. Of the 378 BTC mined, 333 BTC were sold and 45 BTC were added to treasury, which reached 594 BTC at July 31, 2023.</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Mining Review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production of 378 BTC was 1.8% lower than the 385 BTC mined in June largely due to disruptions caused by extreme weather resulting in lower average EH/s online.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increased 3.3% in July compared to June as Bitcoin miners continue to invest in capacity in anticipation of higher Bitcoin prices. Difficulty is up 48.0% year-to-date in 2023, while the BTC price is up roughly 76.5% in the same period, resulting in a 21.0% improvement in mining economics as measured by USD/TH/day.</w:t>
      </w:r>
    </w:p>
    <w:p>
      <w:pPr>
        <w:pStyle w:val="TextBody"/>
        <w:bidi w:val="0"/>
        <w:spacing w:before="0" w:after="0"/>
        <w:ind w:left="0" w:right="0" w:hanging="10"/>
        <w:jc w:val="both"/>
        <w:rPr>
          <w:caps w:val="false"/>
          <w:smallCaps w:val="false"/>
        </w:rPr>
      </w:pPr>
      <w:r>
        <w:rPr>
          <w:caps w:val="false"/>
          <w:smallCaps w:val="false"/>
        </w:rPr>
        <w:t> </w:t>
      </w:r>
    </w:p>
    <w:tbl>
      <w:tblPr>
        <w:tblW w:w="5778" w:type="dxa"/>
        <w:jc w:val="left"/>
        <w:tblInd w:w="0" w:type="dxa"/>
        <w:tblLayout w:type="fixed"/>
        <w:tblCellMar>
          <w:top w:w="0" w:type="dxa"/>
          <w:left w:w="0" w:type="dxa"/>
          <w:bottom w:w="28" w:type="dxa"/>
          <w:right w:w="0" w:type="dxa"/>
        </w:tblCellMar>
      </w:tblPr>
      <w:tblGrid>
        <w:gridCol w:w="2795"/>
        <w:gridCol w:w="60"/>
        <w:gridCol w:w="129"/>
        <w:gridCol w:w="731"/>
        <w:gridCol w:w="60"/>
        <w:gridCol w:w="60"/>
        <w:gridCol w:w="133"/>
        <w:gridCol w:w="756"/>
        <w:gridCol w:w="60"/>
        <w:gridCol w:w="60"/>
        <w:gridCol w:w="94"/>
        <w:gridCol w:w="765"/>
        <w:gridCol w:w="75"/>
      </w:tblGrid>
      <w:tr>
        <w:trPr/>
        <w:tc>
          <w:tcPr>
            <w:tcW w:w="27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2022</w:t>
            </w:r>
          </w:p>
        </w:tc>
        <w:tc>
          <w:tcPr>
            <w:tcW w:w="75"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BTC Mined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 End Operating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5"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BTC/Avg.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Capacity (MW)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75"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Hydropower MW</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75"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Watts/Terahash Efficiency (w/TH)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 Sold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8" w:right="398"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July 2023 Select Operating Highlights</w:t>
      </w:r>
    </w:p>
    <w:p>
      <w:pPr>
        <w:pStyle w:val="TextBody"/>
        <w:bidi w:val="0"/>
        <w:spacing w:before="0" w:after="0"/>
        <w:ind w:left="398" w:right="398"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EH/s online as of July 31, 2023, up 40% from July 31, 2022, and level with June 30, 2023.</w:t>
            </w:r>
          </w:p>
        </w:tc>
      </w:tr>
    </w:tbl>
    <w:p>
      <w:pPr>
        <w:pStyle w:val="TextBody"/>
        <w:bidi w:val="0"/>
        <w:spacing w:before="0" w:after="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EH/s average online, down 0.6% from June 2023.</w:t>
            </w:r>
          </w:p>
        </w:tc>
      </w:tr>
    </w:tbl>
    <w:p>
      <w:pPr>
        <w:pStyle w:val="TextBody"/>
        <w:bidi w:val="0"/>
        <w:spacing w:before="0" w:after="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 BTC/average EH/s, down 0.8% from 76.7 in June 2023.</w:t>
            </w:r>
          </w:p>
        </w:tc>
      </w:tr>
    </w:tbl>
    <w:p>
      <w:pPr>
        <w:pStyle w:val="TextBody"/>
        <w:bidi w:val="0"/>
        <w:spacing w:before="0" w:after="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 BTC mined, down 1.8% from June 2023 and down 24.4% from July 2022.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BTC mined daily on average, equivalent to about $356,240 per day and approximately $11.0 million for the month based on a BTC price of $29,200 on July 31, 2023.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Paraguay, acquired two Power Purchase Agreements for up to 150 MW of hydropower: up to 50 MW in Paso Pe, which is in close proximity to our existing operations in Villaricca, and up to 100 MW in Yguazu, a new location close to the third largest hydroelectric dam in the world.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Magog, Québec, made upgrades to electrical infrastructure for 2,900 new Bitmain miners.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Rio Cuarto, Argentina, 2,360 miners have arrived and are being processed by Argentine customs authority, with an additional 5,117 miners in transit.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Baie-Comeau, Québec, initiated 3 MW of production, increased to 5 MW by July 31, 2023, on track to reach 11 MW in Q3 2023, and positioned to add another 11 MW of planned hydropower capacity for a total of 22 MW in 2H 2024.</w:t>
            </w:r>
          </w:p>
        </w:tc>
      </w:tr>
    </w:tbl>
    <w:p>
      <w:pPr>
        <w:pStyle w:val="TextBody"/>
        <w:bidi w:val="0"/>
        <w:spacing w:before="0" w:after="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25"/>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1,300 miners now running of total 2,900 redeployed from Magog.</w:t>
            </w:r>
          </w:p>
        </w:tc>
      </w:tr>
    </w:tbl>
    <w:p>
      <w:pPr>
        <w:pStyle w:val="TextBody"/>
        <w:bidi w:val="0"/>
        <w:spacing w:before="0" w:after="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Washington State, upgraded ventilation and cooling systems, increasing average uptime.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98" w:right="398"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Bitfarms’ BTC Monthly Production</w:t>
      </w:r>
    </w:p>
    <w:p>
      <w:pPr>
        <w:pStyle w:val="TextBody"/>
        <w:bidi w:val="0"/>
        <w:spacing w:before="0" w:after="0"/>
        <w:ind w:left="398" w:right="398" w:hanging="0"/>
        <w:jc w:val="both"/>
        <w:rPr>
          <w:caps w:val="false"/>
          <w:smallCaps w:val="false"/>
        </w:rPr>
      </w:pPr>
      <w:r>
        <w:rPr>
          <w:caps w:val="false"/>
          <w:smallCaps w:val="false"/>
        </w:rPr>
        <w:t> </w:t>
      </w:r>
    </w:p>
    <w:p>
      <w:pPr>
        <w:pStyle w:val="TextBody"/>
        <w:bidi w:val="0"/>
        <w:spacing w:before="0" w:after="0"/>
        <w:ind w:left="398" w:right="39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an overview of BTC mined per month in each of the first seven months of 2023 and 2022, respectively.</w:t>
      </w:r>
    </w:p>
    <w:p>
      <w:pPr>
        <w:pStyle w:val="TextBody"/>
        <w:bidi w:val="0"/>
        <w:spacing w:before="0" w:after="0"/>
        <w:ind w:left="398" w:right="398" w:hanging="0"/>
        <w:jc w:val="both"/>
        <w:rPr>
          <w:caps w:val="false"/>
          <w:smallCaps w:val="false"/>
        </w:rPr>
      </w:pPr>
      <w:r>
        <w:rPr>
          <w:caps w:val="false"/>
          <w:smallCaps w:val="false"/>
        </w:rPr>
        <w:t> </w:t>
      </w:r>
    </w:p>
    <w:tbl>
      <w:tblPr>
        <w:tblW w:w="3913" w:type="dxa"/>
        <w:jc w:val="left"/>
        <w:tblInd w:w="0" w:type="dxa"/>
        <w:tblLayout w:type="fixed"/>
        <w:tblCellMar>
          <w:top w:w="0" w:type="dxa"/>
          <w:left w:w="0" w:type="dxa"/>
          <w:bottom w:w="28" w:type="dxa"/>
          <w:right w:w="0" w:type="dxa"/>
        </w:tblCellMar>
      </w:tblPr>
      <w:tblGrid>
        <w:gridCol w:w="1160"/>
        <w:gridCol w:w="60"/>
        <w:gridCol w:w="119"/>
        <w:gridCol w:w="1130"/>
        <w:gridCol w:w="60"/>
        <w:gridCol w:w="60"/>
        <w:gridCol w:w="119"/>
        <w:gridCol w:w="1130"/>
        <w:gridCol w:w="75"/>
      </w:tblGrid>
      <w:tr>
        <w:trPr/>
        <w:tc>
          <w:tcPr>
            <w:tcW w:w="1160" w:type="dxa"/>
            <w:tcBorders>
              <w:bottom w:val="single" w:sz="12" w:space="0" w:color="000000"/>
            </w:tcBorders>
            <w:vAlign w:val="center"/>
          </w:tcPr>
          <w:p>
            <w:pPr>
              <w:pStyle w:val="TableContents"/>
              <w:bidi w:val="0"/>
              <w:spacing w:before="0" w:after="283"/>
              <w:jc w:val="left"/>
              <w:rPr>
                <w:b/>
              </w:rPr>
            </w:pPr>
            <w:r>
              <w:rPr>
                <w:b/>
              </w:rPr>
              <w:t>Month</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12" w:space="0" w:color="000000"/>
            </w:tcBorders>
            <w:vAlign w:val="center"/>
          </w:tcPr>
          <w:p>
            <w:pPr>
              <w:pStyle w:val="TableContents"/>
              <w:bidi w:val="0"/>
              <w:spacing w:before="0" w:after="283"/>
              <w:jc w:val="center"/>
              <w:rPr>
                <w:b/>
              </w:rPr>
            </w:pPr>
            <w:r>
              <w:rPr>
                <w:b/>
              </w:rPr>
              <w:t>BTC Mined</w:t>
              <w:b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12" w:space="0" w:color="000000"/>
            </w:tcBorders>
            <w:vAlign w:val="center"/>
          </w:tcPr>
          <w:p>
            <w:pPr>
              <w:pStyle w:val="TableContents"/>
              <w:bidi w:val="0"/>
              <w:spacing w:before="0" w:after="283"/>
              <w:jc w:val="center"/>
              <w:rPr>
                <w:b/>
              </w:rPr>
            </w:pPr>
            <w:r>
              <w:rPr>
                <w:b/>
              </w:rPr>
              <w:t>BTC Mined</w:t>
              <w:br/>
              <w:t>2022</w:t>
            </w:r>
          </w:p>
        </w:tc>
        <w:tc>
          <w:tcPr>
            <w:tcW w:w="75" w:type="dxa"/>
            <w:tcBorders/>
            <w:tcMar>
              <w:bottom w:w="0" w:type="dxa"/>
            </w:tcMar>
            <w:vAlign w:val="center"/>
          </w:tcPr>
          <w:p>
            <w:pPr>
              <w:pStyle w:val="TableContents"/>
              <w:bidi w:val="0"/>
              <w:spacing w:before="0" w:after="283"/>
              <w:ind w:left="0" w:right="0" w:hanging="0"/>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pPr>
            <w:r>
              <w:rPr/>
              <w:t>January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301</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pPr>
            <w:r>
              <w:rPr/>
              <w:t>February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298</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pPr>
            <w:r>
              <w:rPr/>
              <w:t>March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363</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pPr>
            <w:r>
              <w:rPr/>
              <w:t>April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405</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pPr>
            <w:r>
              <w:rPr/>
              <w:t>May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431</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pPr>
            <w:r>
              <w:rPr/>
              <w:t>June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420</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CCEEFF" w:val="clear"/>
            <w:tcMar>
              <w:bottom w:w="0" w:type="dxa"/>
            </w:tcMar>
            <w:vAlign w:val="center"/>
          </w:tcPr>
          <w:p>
            <w:pPr>
              <w:pStyle w:val="TableContents"/>
              <w:bidi w:val="0"/>
              <w:spacing w:before="0" w:after="283"/>
              <w:jc w:val="left"/>
              <w:rPr/>
            </w:pPr>
            <w:r>
              <w:rPr/>
              <w:t>July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500</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160" w:type="dxa"/>
            <w:tcBorders/>
            <w:shd w:fill="FFFFFF" w:val="clear"/>
            <w:tcMar>
              <w:bottom w:w="0" w:type="dxa"/>
            </w:tcMar>
            <w:vAlign w:val="center"/>
          </w:tcPr>
          <w:p>
            <w:pPr>
              <w:pStyle w:val="TableContents"/>
              <w:bidi w:val="0"/>
              <w:spacing w:before="0" w:after="283"/>
              <w:jc w:val="left"/>
              <w:rPr>
                <w:b/>
              </w:rPr>
            </w:pPr>
            <w:r>
              <w:rPr>
                <w:b/>
              </w:rPr>
              <w:t>Total YTD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double" w:sz="10" w:space="0" w:color="000000"/>
            </w:tcBorders>
            <w:shd w:fill="FFFFFF" w:val="clear"/>
            <w:vAlign w:val="center"/>
          </w:tcPr>
          <w:p>
            <w:pPr>
              <w:pStyle w:val="TableContents"/>
              <w:bidi w:val="0"/>
              <w:spacing w:before="0" w:after="283"/>
              <w:jc w:val="left"/>
              <w:rPr/>
            </w:pPr>
            <w:r>
              <w:rPr/>
              <w:t> </w:t>
            </w:r>
          </w:p>
        </w:tc>
        <w:tc>
          <w:tcPr>
            <w:tcW w:w="1130" w:type="dxa"/>
            <w:tcBorders>
              <w:bottom w:val="double" w:sz="10" w:space="0" w:color="000000"/>
            </w:tcBorders>
            <w:shd w:fill="FFFFFF" w:val="clear"/>
            <w:vAlign w:val="center"/>
          </w:tcPr>
          <w:p>
            <w:pPr>
              <w:pStyle w:val="TableContents"/>
              <w:bidi w:val="0"/>
              <w:spacing w:before="0" w:after="283"/>
              <w:jc w:val="right"/>
              <w:rPr>
                <w:b/>
              </w:rPr>
            </w:pPr>
            <w:r>
              <w:rPr>
                <w:b/>
              </w:rPr>
              <w:t>2,898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double" w:sz="10" w:space="0" w:color="000000"/>
            </w:tcBorders>
            <w:shd w:fill="FFFFFF" w:val="clear"/>
            <w:vAlign w:val="center"/>
          </w:tcPr>
          <w:p>
            <w:pPr>
              <w:pStyle w:val="TableContents"/>
              <w:bidi w:val="0"/>
              <w:spacing w:before="0" w:after="283"/>
              <w:jc w:val="left"/>
              <w:rPr/>
            </w:pPr>
            <w:r>
              <w:rPr/>
              <w:t> </w:t>
            </w:r>
          </w:p>
        </w:tc>
        <w:tc>
          <w:tcPr>
            <w:tcW w:w="1130" w:type="dxa"/>
            <w:tcBorders>
              <w:bottom w:val="double" w:sz="10" w:space="0" w:color="000000"/>
            </w:tcBorders>
            <w:shd w:fill="FFFFFF" w:val="clear"/>
            <w:vAlign w:val="center"/>
          </w:tcPr>
          <w:p>
            <w:pPr>
              <w:pStyle w:val="TableContents"/>
              <w:bidi w:val="0"/>
              <w:spacing w:before="0" w:after="283"/>
              <w:jc w:val="right"/>
              <w:rPr>
                <w:b/>
              </w:rPr>
            </w:pPr>
            <w:r>
              <w:rPr>
                <w:b/>
              </w:rPr>
              <w:t>2,718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98" w:right="398" w:hanging="0"/>
        <w:jc w:val="both"/>
        <w:rPr>
          <w:caps w:val="false"/>
          <w:smallCaps w:val="false"/>
        </w:rPr>
      </w:pPr>
      <w:r>
        <w:rPr>
          <w:caps w:val="false"/>
          <w:smallCaps w:val="false"/>
        </w:rPr>
        <w:t> </w:t>
      </w:r>
    </w:p>
    <w:p>
      <w:pPr>
        <w:pStyle w:val="TextBody"/>
        <w:bidi w:val="0"/>
        <w:spacing w:before="0" w:after="0"/>
        <w:ind w:left="398" w:right="398"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July 2023 Financial Update</w:t>
      </w:r>
    </w:p>
    <w:p>
      <w:pPr>
        <w:pStyle w:val="TextBody"/>
        <w:bidi w:val="0"/>
        <w:spacing w:before="0" w:after="0"/>
        <w:ind w:left="398" w:right="398"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 333 BTC of the 378 BTC mined, generating total proceeds of $9.9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51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total outstanding indebtedness by $1.8 million, resulting in a remaining balance of $13.7 million at July 31,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45 BTC to treasury, increasing custody to 594 BTC, representing approximately $17.3 million based on a BTC price of $29,200 at July 31,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 w:right="398" w:hanging="1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Conferences and Events</w:t>
      </w:r>
    </w:p>
    <w:p>
      <w:pPr>
        <w:pStyle w:val="TextBody"/>
        <w:bidi w:val="0"/>
        <w:spacing w:before="0" w:after="0"/>
        <w:ind w:left="10" w:right="398" w:hanging="10"/>
        <w:jc w:val="both"/>
        <w:rPr>
          <w:caps w:val="false"/>
          <w:smallCaps w:val="false"/>
        </w:rPr>
      </w:pPr>
      <w:r>
        <w:rPr>
          <w:caps w:val="false"/>
          <w:smallCaps w:val="false"/>
        </w:rPr>
        <w:t> </w:t>
      </w:r>
    </w:p>
    <w:p>
      <w:pPr>
        <w:pStyle w:val="TextBody"/>
        <w:bidi w:val="0"/>
        <w:spacing w:before="0" w:after="0"/>
        <w:ind w:left="10" w:right="39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plans to attend the following upcoming events:</w:t>
      </w:r>
    </w:p>
    <w:p>
      <w:pPr>
        <w:pStyle w:val="TextBody"/>
        <w:bidi w:val="0"/>
        <w:spacing w:before="0" w:after="0"/>
        <w:ind w:left="10" w:right="398"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9-10, Canaccord 43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Annual Growth Conference, Boston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7,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Annual Needham Virtual Crypto Conference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11-13, HC Wainwright Conference, New York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6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Bitfarms Analyst Day, New York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25-27, POW (Proof of Work) Summit, Prague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5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11-12, Bitcoin Amsterdam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EFEFE" w:val="clear"/>
        <w:bidi w:val="0"/>
        <w:spacing w:before="0" w:after="0"/>
        <w:ind w:left="11" w:right="0" w:hanging="1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hd w:fill="FEFEFE" w:val="clear"/>
        <w:bidi w:val="0"/>
        <w:spacing w:before="0" w:after="0"/>
        <w:ind w:left="11" w:right="0" w:hanging="11"/>
        <w:jc w:val="left"/>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shd w:fill="FEFEFE" w:val="clear"/>
        <w:bidi w:val="0"/>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pStyle w:val="TextBody"/>
        <w:shd w:fill="FEFEFE" w:val="clear"/>
        <w:bidi w:val="0"/>
        <w:spacing w:before="0" w:after="0"/>
        <w:ind w:left="11" w:right="0" w:hanging="11"/>
        <w:jc w:val="left"/>
        <w:rPr>
          <w:caps w:val="false"/>
          <w:smallCaps w:val="false"/>
        </w:rPr>
      </w:pPr>
      <w:r>
        <w:rPr>
          <w:caps w:val="false"/>
          <w:smallCaps w:val="false"/>
        </w:rPr>
        <w:t> </w:t>
      </w:r>
    </w:p>
    <w:p>
      <w:pPr>
        <w:pStyle w:val="TextBody"/>
        <w:shd w:fill="FEFEFE"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bidi w:val="0"/>
        <w:spacing w:before="0" w:after="0"/>
        <w:ind w:left="10" w:right="0" w:hanging="10"/>
        <w:jc w:val="left"/>
        <w:rPr>
          <w:caps w:val="false"/>
          <w:smallCaps w:val="false"/>
        </w:rPr>
      </w:pPr>
      <w:r>
        <w:rPr>
          <w:caps w:val="false"/>
          <w:smallCaps w:val="false"/>
        </w:rPr>
        <w:t> </w:t>
      </w:r>
    </w:p>
    <w:p>
      <w:pPr>
        <w:pStyle w:val="TextBody"/>
        <w:shd w:fill="FEFEFE"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www.bitfarms.com</w:t>
      </w:r>
    </w:p>
    <w:p>
      <w:pPr>
        <w:pStyle w:val="TextBody"/>
        <w:shd w:fill="FEFEFE" w:val="clear"/>
        <w:bidi w:val="0"/>
        <w:spacing w:before="0" w:after="0"/>
        <w:ind w:left="10" w:right="0" w:hanging="10"/>
        <w:jc w:val="left"/>
        <w:rPr>
          <w:caps w:val="false"/>
          <w:smallCaps w:val="false"/>
        </w:rPr>
      </w:pPr>
      <w:r>
        <w:rPr>
          <w:caps w:val="false"/>
          <w:smallCaps w:val="false"/>
        </w:rPr>
        <w:t> </w:t>
      </w:r>
    </w:p>
    <w:p>
      <w:pPr>
        <w:pStyle w:val="TextBody"/>
        <w:shd w:fill="FEFEFE"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br/>
        <w:t>https://twitter.com/Bitfarms_io</w:t>
        <w:br/>
        <w:t>https://www.instagram.com/bitfarms/</w:t>
        <w:br/>
        <w:t>https://www.linkedin.com/company/bitfarms/</w:t>
      </w:r>
    </w:p>
    <w:p>
      <w:pPr>
        <w:pStyle w:val="TextBody"/>
        <w:shd w:fill="FEFEFE" w:val="clear"/>
        <w:bidi w:val="0"/>
        <w:spacing w:before="0" w:after="0"/>
        <w:ind w:left="10" w:right="0" w:hanging="10"/>
        <w:jc w:val="left"/>
        <w:rPr>
          <w:caps w:val="false"/>
          <w:smallCaps w:val="false"/>
        </w:rPr>
      </w:pPr>
      <w:r>
        <w:rPr>
          <w:caps w:val="false"/>
          <w:smallCaps w:val="false"/>
        </w:rPr>
        <w:t> </w:t>
      </w:r>
    </w:p>
    <w:p>
      <w:pPr>
        <w:pStyle w:val="TextBody"/>
        <w:shd w:fill="FEFEFE" w:val="clear"/>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shd w:fill="FEFEFE" w:val="clear"/>
        <w:bidi w:val="0"/>
        <w:spacing w:before="0" w:after="0"/>
        <w:ind w:left="10" w:right="0" w:hanging="10"/>
        <w:jc w:val="both"/>
        <w:rPr>
          <w:caps w:val="false"/>
          <w:smallCaps w:val="false"/>
        </w:rPr>
      </w:pPr>
      <w:r>
        <w:rPr>
          <w:caps w:val="false"/>
          <w:smallCaps w:val="false"/>
        </w:rPr>
        <w:t> </w:t>
      </w:r>
    </w:p>
    <w:tbl>
      <w:tblPr>
        <w:tblW w:w="3723" w:type="dxa"/>
        <w:jc w:val="left"/>
        <w:tblInd w:w="0" w:type="dxa"/>
        <w:shd w:fill="FEFEFE" w:val="clear"/>
        <w:tblLayout w:type="fixed"/>
        <w:tblCellMar>
          <w:top w:w="0" w:type="dxa"/>
          <w:left w:w="0" w:type="dxa"/>
          <w:bottom w:w="0" w:type="dxa"/>
          <w:right w:w="0" w:type="dxa"/>
        </w:tblCellMar>
      </w:tblPr>
      <w:tblGrid>
        <w:gridCol w:w="38"/>
        <w:gridCol w:w="170"/>
        <w:gridCol w:w="3515"/>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3515" w:type="dxa"/>
            <w:tcBorders/>
            <w:shd w:fill="FEFEFE"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BTC BTC/day = Bitcoin or Bitcoin per day</w:t>
            </w:r>
          </w:p>
        </w:tc>
      </w:tr>
    </w:tbl>
    <w:tbl>
      <w:tblPr>
        <w:tblW w:w="3963" w:type="dxa"/>
        <w:jc w:val="left"/>
        <w:tblInd w:w="0" w:type="dxa"/>
        <w:shd w:fill="FEFEFE" w:val="clear"/>
        <w:tblLayout w:type="fixed"/>
        <w:tblCellMar>
          <w:top w:w="0" w:type="dxa"/>
          <w:left w:w="0" w:type="dxa"/>
          <w:bottom w:w="0" w:type="dxa"/>
          <w:right w:w="0" w:type="dxa"/>
        </w:tblCellMar>
      </w:tblPr>
      <w:tblGrid>
        <w:gridCol w:w="38"/>
        <w:gridCol w:w="170"/>
        <w:gridCol w:w="3755"/>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3755" w:type="dxa"/>
            <w:tcBorders/>
            <w:shd w:fill="FEFEFE"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EH or EH/s = Exahash or exahash per second</w:t>
            </w:r>
          </w:p>
        </w:tc>
      </w:tr>
    </w:tbl>
    <w:tbl>
      <w:tblPr>
        <w:tblW w:w="3903" w:type="dxa"/>
        <w:jc w:val="left"/>
        <w:tblInd w:w="0" w:type="dxa"/>
        <w:shd w:fill="FEFEFE" w:val="clear"/>
        <w:tblLayout w:type="fixed"/>
        <w:tblCellMar>
          <w:top w:w="0" w:type="dxa"/>
          <w:left w:w="0" w:type="dxa"/>
          <w:bottom w:w="0" w:type="dxa"/>
          <w:right w:w="0" w:type="dxa"/>
        </w:tblCellMar>
      </w:tblPr>
      <w:tblGrid>
        <w:gridCol w:w="38"/>
        <w:gridCol w:w="170"/>
        <w:gridCol w:w="3695"/>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3695" w:type="dxa"/>
            <w:tcBorders/>
            <w:shd w:fill="FEFEFE"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MW or MWh = Megawatts or megawatt hour</w:t>
            </w:r>
          </w:p>
        </w:tc>
      </w:tr>
    </w:tbl>
    <w:tbl>
      <w:tblPr>
        <w:tblW w:w="4098" w:type="dxa"/>
        <w:jc w:val="left"/>
        <w:tblInd w:w="0" w:type="dxa"/>
        <w:shd w:fill="FEFEFE" w:val="clear"/>
        <w:tblLayout w:type="fixed"/>
        <w:tblCellMar>
          <w:top w:w="0" w:type="dxa"/>
          <w:left w:w="0" w:type="dxa"/>
          <w:bottom w:w="0" w:type="dxa"/>
          <w:right w:w="0" w:type="dxa"/>
        </w:tblCellMar>
      </w:tblPr>
      <w:tblGrid>
        <w:gridCol w:w="38"/>
        <w:gridCol w:w="170"/>
        <w:gridCol w:w="3890"/>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3890" w:type="dxa"/>
            <w:tcBorders/>
            <w:shd w:fill="FEFEFE"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 or PH/s = Petahash or petahash per second</w:t>
            </w:r>
          </w:p>
        </w:tc>
      </w:tr>
    </w:tbl>
    <w:tbl>
      <w:tblPr>
        <w:tblW w:w="4038" w:type="dxa"/>
        <w:jc w:val="left"/>
        <w:tblInd w:w="0" w:type="dxa"/>
        <w:shd w:fill="FEFEFE" w:val="clear"/>
        <w:tblLayout w:type="fixed"/>
        <w:tblCellMar>
          <w:top w:w="0" w:type="dxa"/>
          <w:left w:w="0" w:type="dxa"/>
          <w:bottom w:w="0" w:type="dxa"/>
          <w:right w:w="0" w:type="dxa"/>
        </w:tblCellMar>
      </w:tblPr>
      <w:tblGrid>
        <w:gridCol w:w="38"/>
        <w:gridCol w:w="170"/>
        <w:gridCol w:w="3830"/>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3830" w:type="dxa"/>
            <w:tcBorders/>
            <w:shd w:fill="FEFEFE"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 or TH/s = Terahash or terahash per second</w:t>
            </w:r>
          </w:p>
        </w:tc>
      </w:tr>
    </w:tbl>
    <w:p>
      <w:pPr>
        <w:pStyle w:val="TextBody"/>
        <w:bidi w:val="0"/>
        <w:spacing w:before="0" w:after="0"/>
        <w:jc w:val="left"/>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10" w:right="0" w:hanging="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shd w:fill="FEFEFE" w:val="clear"/>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EFEFE" w:val="clear"/>
        <w:bidi w:val="0"/>
        <w:spacing w:before="0" w:after="0"/>
        <w:ind w:left="10" w:right="0" w:hanging="10"/>
        <w:jc w:val="both"/>
        <w:rPr>
          <w:caps w:val="false"/>
          <w:smallCaps w:val="false"/>
        </w:rPr>
      </w:pPr>
      <w:r>
        <w:rPr>
          <w:caps w:val="false"/>
          <w:smallCaps w:val="false"/>
        </w:rPr>
        <w:t> </w:t>
      </w:r>
    </w:p>
    <w:p>
      <w:pPr>
        <w:pStyle w:val="TextBody"/>
        <w:shd w:fill="FEFEFE" w:val="clear"/>
        <w:bidi w:val="0"/>
        <w:spacing w:before="0" w:after="0"/>
        <w:ind w:left="10" w:right="0" w:hanging="1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EFEFE" w:val="clear"/>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EFEFE" w:val="clear"/>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enhancement of mining facilities, geographic diversification, growth opportunities and prospects, including as to the Company’s </w:t>
      </w:r>
      <w:r>
        <w:rPr>
          <w:rFonts w:ascii="Times New Roman;Times;Serif" w:hAnsi="Times New Roman;Times;Serif"/>
          <w:b w:val="false"/>
          <w:i/>
          <w:caps w:val="false"/>
          <w:smallCaps w:val="false"/>
          <w:sz w:val="20"/>
        </w:rPr>
        <w:t>plans to increase hydropower capacity, establish operations in Paraguay and complete the Baie-Comeau farm</w:t>
      </w:r>
      <w:r>
        <w:rPr>
          <w:rFonts w:ascii="Times New Roman;Times;Serif" w:hAnsi="Times New Roman;Times;Serif"/>
          <w:b w:val="false"/>
          <w:i/>
          <w:caps w:val="false"/>
          <w:smallCaps w:val="false"/>
          <w:sz w:val="20"/>
          <w:shd w:fill="FEFEFE" w:val="clear"/>
        </w:rPr>
        <w:t>, the expansion of operating capacity, upgrading and deployment of miners as well as the timing therefor, improved financial performance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caps w:val="false"/>
          <w:smallCaps w:val="false"/>
          <w:sz w:val="20"/>
          <w:shd w:fill="FEFEFE" w:val="clear"/>
        </w:rPr>
      </w:pPr>
      <w:r>
        <w:rPr>
          <w:rFonts w:ascii="Times New Roman;Times;Serif" w:hAnsi="Times New Roman;Times;Serif"/>
          <w:b w:val="false"/>
          <w:i/>
          <w:caps w:val="false"/>
          <w:smallCaps w:val="false"/>
          <w:sz w:val="20"/>
          <w:shd w:fill="FEFEFE" w:val="clear"/>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caps w:val="false"/>
          <w:smallCaps w:val="false"/>
          <w:sz w:val="20"/>
          <w:shd w:fill="FEFEFE" w:val="clear"/>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Times;Serif" w:hAnsi="Times New Roman;Times;Serif"/>
          <w:b w:val="false"/>
          <w:i w:val="false"/>
          <w:caps w:val="false"/>
          <w:smallCaps w:val="false"/>
          <w:sz w:val="20"/>
          <w:shd w:fill="FEFEFE" w:val="clear"/>
        </w:rPr>
        <w:t xml:space="preserve">-ended December 31, 2022, filed on March 21, 2023. The </w:t>
      </w:r>
      <w:r>
        <w:rPr>
          <w:rFonts w:ascii="Times New Roman;Times;Serif" w:hAnsi="Times New Roman;Times;Serif"/>
          <w:b w:val="false"/>
          <w:i/>
          <w:caps w:val="false"/>
          <w:smallCaps w:val="false"/>
          <w:sz w:val="20"/>
          <w:shd w:fill="FEFEFE" w:val="clear"/>
        </w:rPr>
        <w:t>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bidi w:val="0"/>
        <w:spacing w:before="0" w:after="0"/>
        <w:ind w:left="10" w:right="0" w:hanging="10"/>
        <w:jc w:val="left"/>
        <w:rPr>
          <w:caps w:val="false"/>
          <w:smallCaps w:val="false"/>
        </w:rPr>
      </w:pPr>
      <w:r>
        <w:rPr>
          <w:caps w:val="false"/>
          <w:smallCaps w:val="false"/>
        </w:rPr>
        <w:t> </w:t>
      </w:r>
    </w:p>
    <w:p>
      <w:pPr>
        <w:pStyle w:val="TextBody"/>
        <w:shd w:fill="FFFFFF" w:val="clear"/>
        <w:bidi w:val="0"/>
        <w:spacing w:before="0" w:after="0"/>
        <w:ind w:left="1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LHA Investor Relations</w:t>
      </w:r>
    </w:p>
    <w:p>
      <w:pPr>
        <w:pStyle w:val="TextBody"/>
        <w:shd w:fill="FFFFFF" w:val="clear"/>
        <w:bidi w:val="0"/>
        <w:spacing w:before="0" w:after="0"/>
        <w:ind w:left="10" w:right="0" w:hanging="10"/>
        <w:jc w:val="left"/>
        <w:rPr>
          <w:caps w:val="false"/>
          <w:smallCaps w:val="false"/>
        </w:rPr>
      </w:pPr>
      <w:r>
        <w:rPr>
          <w:caps w:val="false"/>
          <w:smallCaps w:val="false"/>
        </w:rPr>
        <w:t> </w:t>
      </w:r>
    </w:p>
    <w:p>
      <w:pPr>
        <w:pStyle w:val="TextBody"/>
        <w:shd w:fill="FFFFFF"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w:t>
      </w:r>
    </w:p>
    <w:p>
      <w:pPr>
        <w:pStyle w:val="TextBody"/>
        <w:shd w:fill="FFFFFF"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Investors@bitfarms.com</w:t>
      </w:r>
    </w:p>
    <w:p>
      <w:pPr>
        <w:pStyle w:val="TextBody"/>
        <w:shd w:fill="FFFFFF" w:val="clear"/>
        <w:bidi w:val="0"/>
        <w:spacing w:before="0" w:after="0"/>
        <w:ind w:left="10" w:right="0" w:hanging="10"/>
        <w:jc w:val="left"/>
        <w:rPr>
          <w:caps w:val="false"/>
          <w:smallCaps w:val="false"/>
        </w:rPr>
      </w:pPr>
      <w:r>
        <w:rPr>
          <w:caps w:val="false"/>
          <w:smallCaps w:val="false"/>
        </w:rPr>
        <w:t> </w:t>
      </w:r>
    </w:p>
    <w:p>
      <w:pPr>
        <w:pStyle w:val="TextBody"/>
        <w:shd w:fill="FFFFFF" w:val="clear"/>
        <w:bidi w:val="0"/>
        <w:spacing w:before="0" w:after="0"/>
        <w:ind w:left="1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 Agency</w:t>
      </w:r>
    </w:p>
    <w:p>
      <w:pPr>
        <w:pStyle w:val="TextBody"/>
        <w:shd w:fill="FFFFFF" w:val="clear"/>
        <w:bidi w:val="0"/>
        <w:spacing w:before="0" w:after="0"/>
        <w:ind w:left="10" w:right="0" w:hanging="10"/>
        <w:jc w:val="left"/>
        <w:rPr>
          <w:caps w:val="false"/>
          <w:smallCaps w:val="false"/>
        </w:rPr>
      </w:pPr>
      <w:r>
        <w:rPr>
          <w:caps w:val="false"/>
          <w:smallCaps w:val="false"/>
        </w:rPr>
        <w:t> </w:t>
      </w:r>
    </w:p>
    <w:p>
      <w:pPr>
        <w:pStyle w:val="TextBody"/>
        <w:shd w:fill="FFFFFF"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Khushboo Chaudhary</w:t>
      </w:r>
    </w:p>
    <w:p>
      <w:pPr>
        <w:pStyle w:val="TextBody"/>
        <w:shd w:fill="FFFFFF"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+1 646-373-9946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mediarelations@bitfarms.com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 Media: 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shd w:fill="FFFFFF" w:val="clear"/>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lmleclerc@tactconseil.ca</w:t>
      </w:r>
    </w:p>
    <w:p>
      <w:pPr>
        <w:pStyle w:val="TextBody"/>
        <w:shd w:fill="FEFEFE" w:val="clear"/>
        <w:bidi w:val="0"/>
        <w:spacing w:before="0" w:after="0"/>
        <w:ind w:left="10" w:right="0" w:hanging="10"/>
        <w:jc w:val="both"/>
        <w:rPr>
          <w:caps w:val="false"/>
          <w:smallCaps w:val="false"/>
        </w:rPr>
      </w:pPr>
      <w:r>
        <w:rPr>
          <w:caps w:val="false"/>
          <w:smallCaps w:val="false"/>
        </w:rPr>
        <w:t> </w:t>
      </w:r>
    </w:p>
    <w:p>
      <w:pPr>
        <w:pStyle w:val="TextBody"/>
        <w:shd w:fill="FEFEFE" w:val="clear"/>
        <w:bidi w:val="0"/>
        <w:spacing w:before="0" w:after="0"/>
        <w:ind w:left="10" w:right="0" w:hanging="10"/>
        <w:jc w:val="both"/>
        <w:rPr>
          <w:caps w:val="false"/>
          <w:smallCaps w:val="false"/>
        </w:rPr>
      </w:pPr>
      <w:r>
        <w:rPr>
          <w:caps w:val="false"/>
          <w:smallCaps w:val="false"/>
        </w:rPr>
        <w:t> </w:t>
      </w:r>
    </w:p>
    <w:p>
      <w:pPr>
        <w:pStyle w:val="TextBody"/>
        <w:shd w:fill="FEFEFE"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10" w:right="0" w:hanging="10"/>
        <w:jc w:val="left"/>
        <w:rPr>
          <w:bdr w:val="single" w:sz="12" w:space="1" w:color="000000"/>
        </w:rPr>
      </w:pPr>
      <w:r>
        <w:rPr>
          <w:bdr w:val="single" w:sz="12" w:space="1" w:color="000000"/>
        </w:rPr>
        <w:t> </w:t>
      </w:r>
    </w:p>
    <w:p>
      <w:pPr>
        <w:pStyle w:val="TextBody"/>
        <w:shd w:fill="FEFEFE" w:val="clear"/>
        <w:bidi w:val="0"/>
        <w:spacing w:before="0" w:after="0"/>
        <w:ind w:left="10" w:right="0" w:hanging="1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2802</Words>
  <Characters>15616</Characters>
  <CharactersWithSpaces>18492</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