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25,675,522.00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25,675,522.00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25,675,522.00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22 to Schedule 13D ("Amendment No. 22")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Amendment No. 14 dated April 9, 2025, Amendment No. 15 dated June 6, 2025, Amendment No. 16 dated June 20, 2025, Amendment No. 17 dated July 1, 2025, Amendment No. 18 dated July 8, 2025, Amendment No. 19 dated July 16, 2025, Amendment No. 20 dated July 23, 2025 and Amendment No. 21 dated August 8, 2025, the "Schedule 13D") by Riot Platforms, Inc., a Nevada corporation (the "Reporting Person"), relating to the Common Shares, no par value per share (the "Common Shares"), of Bitfarms Ltd., a corporation incorporated under the Canada Business Corporations</w:t>
      </w:r>
    </w:p>
    <w:p>
      <w:pPr>
        <w:sectPr>
          <w:pgSz w:w="11900" w:h="16838" w:orient="portrait"/>
          <w:cols w:equalWidth="0" w:num="1">
            <w:col w:w="11160"/>
          </w:cols>
          <w:pgMar w:left="360" w:top="126" w:right="379" w:bottom="0" w:gutter="0" w:footer="0" w:header="0"/>
          <w:type w:val="continuous"/>
        </w:sectPr>
      </w:pPr>
    </w:p>
    <w:bookmarkStart w:id="2" w:name="page3"/>
    <w:bookmarkEnd w:id="2"/>
    <w:p>
      <w:pPr>
        <w:jc w:val="both"/>
        <w:ind w:left="960"/>
        <w:spacing w:after="0" w:line="238" w:lineRule="auto"/>
        <w:rPr>
          <w:sz w:val="20"/>
          <w:szCs w:val="20"/>
          <w:color w:val="auto"/>
        </w:rPr>
      </w:pPr>
      <w:r>
        <w:rPr>
          <w:rFonts w:ascii="Times New Roman" w:cs="Times New Roman" w:eastAsia="Times New Roman" w:hAnsi="Times New Roman"/>
          <w:sz w:val="22"/>
          <w:szCs w:val="22"/>
          <w:color w:val="auto"/>
        </w:rPr>
        <w:t>Act and continued under the Business Corporations Act (Ontario) (the "Company"), whose principal executive offices are located at 110 Yonge Street, Suite 1601, Toronto, Ontario, M5C 1T4. As a result of the transactions described herein, the filing of this Amendment No. 22 represents the final amendment to the Schedule 13D and constitutes an exit filing for the Reporting Person. Except as specifically amended by this Amendment No. 22, the Schedule 13D is unchanged.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spacing w:after="0" w:line="249" w:lineRule="auto"/>
        <w:rPr>
          <w:sz w:val="20"/>
          <w:szCs w:val="20"/>
          <w:color w:val="auto"/>
        </w:rPr>
      </w:pPr>
      <w:r>
        <w:rPr>
          <w:rFonts w:ascii="Times New Roman" w:cs="Times New Roman" w:eastAsia="Times New Roman" w:hAnsi="Times New Roman"/>
          <w:sz w:val="21"/>
          <w:szCs w:val="21"/>
          <w:color w:val="auto"/>
        </w:rPr>
        <w:t>Item 5(a) and (b) of the Schedule 13D is hereby amended and restated to read in full as follows: The aggregate number and percentage of the Common Shares that are beneficially owned by the Reporting Person and as to which the Reporting Person has sole voting power, shared voting power, sole dispositive power and shared dispositive</w:t>
      </w:r>
    </w:p>
    <w:p>
      <w:pPr>
        <w:spacing w:after="0" w:line="1" w:lineRule="exact"/>
        <w:rPr>
          <w:sz w:val="20"/>
          <w:szCs w:val="20"/>
          <w:color w:val="auto"/>
        </w:rPr>
      </w:pPr>
    </w:p>
    <w:p>
      <w:pPr>
        <w:ind w:left="920" w:right="60" w:hanging="912"/>
        <w:spacing w:after="0" w:line="234"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are set forth on the cover page of this Statement, and such information is incorporated herein by reference. The percentage used herein is calculated based on an aggregate of 552,599,613 Common Shares outstanding, based on the information contained in the Company's management's discussion and analysis for the three and six months ended June 30, 2025, filed as Exhibit 99.2 to the Company's Form 6-K on August 12, 2025.</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22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since the Reporting Person's last filing on</w:t>
      </w:r>
    </w:p>
    <w:p>
      <w:pPr>
        <w:spacing w:after="0" w:line="25" w:lineRule="exact"/>
        <w:rPr>
          <w:rFonts w:ascii="Times New Roman" w:cs="Times New Roman" w:eastAsia="Times New Roman" w:hAnsi="Times New Roman"/>
          <w:sz w:val="22"/>
          <w:szCs w:val="22"/>
          <w:color w:val="auto"/>
        </w:rPr>
      </w:pPr>
    </w:p>
    <w:p>
      <w:pPr>
        <w:jc w:val="both"/>
        <w:ind w:left="920" w:right="3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set forth in Schedule A hereto and is incorporated herein by reference. Except as described in this Amendment No. 22, none of the Reporting Person nor any director or officer of the Reporting Person has effected any transactions in the Common Shares since the Reporting Person's last filing on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 August 18, 2025, the Reporting Person ceased to be the beneficial owner of more than five percent of the Company's Common Shares. As a result, this Amendment No. 22 serves as an exit filing for the Reporting Person.</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 to Item 5 of this Amendment No. 22</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p>
      <w:pPr>
        <w:sectPr>
          <w:pgSz w:w="11900" w:h="16838" w:orient="portrait"/>
          <w:cols w:equalWidth="0" w:num="1">
            <w:col w:w="11160"/>
          </w:cols>
          <w:pgMar w:left="360" w:top="11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since the Reporting Person’s last filing on Schedule 13D on August 8, 2025,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 Price</w:t>
            </w:r>
          </w:p>
        </w:tc>
        <w:tc>
          <w:tcPr>
            <w:tcW w:w="2580" w:type="dxa"/>
            <w:vAlign w:val="bottom"/>
          </w:tcPr>
          <w:p>
            <w:pPr>
              <w:spacing w:after="0"/>
              <w:rPr>
                <w:sz w:val="18"/>
                <w:szCs w:val="18"/>
                <w:color w:val="auto"/>
              </w:rPr>
            </w:pPr>
          </w:p>
        </w:tc>
      </w:tr>
      <w:tr>
        <w:trPr>
          <w:trHeight w:val="238"/>
        </w:trPr>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 Share (US$)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1.30 - 1.31</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8/12/2025</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1,671,845</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1.20 - 1.28</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8/13/2025</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711,042</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1.31</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1.30 - 1.33</w:t>
            </w:r>
          </w:p>
        </w:tc>
      </w:tr>
      <w:tr>
        <w:trPr>
          <w:trHeight w:val="198"/>
        </w:trPr>
        <w:tc>
          <w:tcPr>
            <w:tcW w:w="2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8/15/2025</w:t>
            </w:r>
          </w:p>
        </w:tc>
        <w:tc>
          <w:tcPr>
            <w:tcW w:w="120" w:type="dxa"/>
            <w:vAlign w:val="bottom"/>
          </w:tcPr>
          <w:p>
            <w:pPr>
              <w:spacing w:after="0"/>
              <w:rPr>
                <w:sz w:val="17"/>
                <w:szCs w:val="17"/>
                <w:color w:val="auto"/>
              </w:rPr>
            </w:pPr>
          </w:p>
        </w:tc>
        <w:tc>
          <w:tcPr>
            <w:tcW w:w="2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655,458</w:t>
            </w:r>
          </w:p>
        </w:tc>
        <w:tc>
          <w:tcPr>
            <w:tcW w:w="100" w:type="dxa"/>
            <w:vAlign w:val="bottom"/>
          </w:tcPr>
          <w:p>
            <w:pPr>
              <w:spacing w:after="0"/>
              <w:rPr>
                <w:sz w:val="17"/>
                <w:szCs w:val="17"/>
                <w:color w:val="auto"/>
              </w:rPr>
            </w:pPr>
          </w:p>
        </w:tc>
        <w:tc>
          <w:tcPr>
            <w:tcW w:w="2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1.27</w:t>
            </w:r>
          </w:p>
        </w:tc>
        <w:tc>
          <w:tcPr>
            <w:tcW w:w="100" w:type="dxa"/>
            <w:vAlign w:val="bottom"/>
          </w:tcPr>
          <w:p>
            <w:pPr>
              <w:spacing w:after="0"/>
              <w:rPr>
                <w:sz w:val="17"/>
                <w:szCs w:val="17"/>
                <w:color w:val="auto"/>
              </w:rPr>
            </w:pPr>
          </w:p>
        </w:tc>
        <w:tc>
          <w:tcPr>
            <w:tcW w:w="2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1.27 - 1.29</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8/18/2025</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11,105,035</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1.36</w:t>
            </w: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1.30 - 1.40</w:t>
            </w:r>
          </w:p>
        </w:tc>
      </w:tr>
      <w:tr>
        <w:trPr>
          <w:trHeight w:val="702"/>
        </w:trPr>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2025-08-18T18:03:03Z</dcterms:created>
  <dcterms:modified xsi:type="dcterms:W3CDTF">2025-08-18T18:03:03Z</dcterms:modified>
</cp:coreProperties>
</file>