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205105</wp:posOffset>
            </wp:positionH>
            <wp:positionV relativeFrom="page">
              <wp:posOffset>154305</wp:posOffset>
            </wp:positionV>
            <wp:extent cx="713803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179070</wp:posOffset>
            </wp:positionV>
            <wp:extent cx="7138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035" cy="8255"/>
                    </a:xfrm>
                    <a:prstGeom prst="rect">
                      <a:avLst/>
                    </a:prstGeom>
                    <a:noFill/>
                  </pic:spPr>
                </pic:pic>
              </a:graphicData>
            </a:graphic>
          </wp:anchor>
        </w:drawing>
        <w:t>UNITED STATES</w:t>
      </w:r>
    </w:p>
    <w:p>
      <w:pPr>
        <w:spacing w:after="0" w:line="3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326390</wp:posOffset>
            </wp:positionV>
            <wp:extent cx="713803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31"/>
          <w:szCs w:val="31"/>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73025</wp:posOffset>
            </wp:positionV>
            <wp:extent cx="713803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w:t>
      </w:r>
    </w:p>
    <w:p>
      <w:pPr>
        <w:spacing w:after="0" w:line="3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15d-16</w:t>
      </w:r>
    </w:p>
    <w:p>
      <w:pPr>
        <w:spacing w:after="0" w:line="1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For the month of May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340360</wp:posOffset>
            </wp:positionV>
            <wp:extent cx="713803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53340</wp:posOffset>
            </wp:positionV>
            <wp:extent cx="713803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31"/>
          <w:szCs w:val="31"/>
          <w:b w:val="1"/>
          <w:bCs w:val="1"/>
          <w:color w:val="auto"/>
        </w:rPr>
        <w:t>BITFARMS LTD.</w:t>
      </w:r>
    </w:p>
    <w:p>
      <w:pPr>
        <w:spacing w:after="0" w:line="39"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302260</wp:posOffset>
            </wp:positionV>
            <wp:extent cx="713803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110 Yonge Street, Suite 1601, Toronto, Ontario, Canada M5C 1T4</w:t>
      </w:r>
    </w:p>
    <w:p>
      <w:pPr>
        <w:spacing w:after="0" w:line="32"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40005</wp:posOffset>
            </wp:positionV>
            <wp:extent cx="713803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80" w:lineRule="exact"/>
        <w:rPr>
          <w:sz w:val="24"/>
          <w:szCs w:val="24"/>
          <w:color w:val="auto"/>
        </w:rPr>
      </w:pPr>
    </w:p>
    <w:p>
      <w:pPr>
        <w:ind w:left="4520"/>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wp:posOffset>
            </wp:positionH>
            <wp:positionV relativeFrom="paragraph">
              <wp:posOffset>610235</wp:posOffset>
            </wp:positionV>
            <wp:extent cx="713803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6510"/>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635000</wp:posOffset>
            </wp:positionV>
            <wp:extent cx="71380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8255"/>
                    </a:xfrm>
                    <a:prstGeom prst="rect">
                      <a:avLst/>
                    </a:prstGeom>
                    <a:noFill/>
                  </pic:spPr>
                </pic:pic>
              </a:graphicData>
            </a:graphic>
          </wp:anchor>
        </w:drawing>
        <w:drawing>
          <wp:anchor simplePos="0" relativeHeight="251657728" behindDoc="1" locked="0" layoutInCell="0" allowOverlap="1">
            <wp:simplePos x="0" y="0"/>
            <wp:positionH relativeFrom="column">
              <wp:posOffset>-86360</wp:posOffset>
            </wp:positionH>
            <wp:positionV relativeFrom="paragraph">
              <wp:posOffset>708660</wp:posOffset>
            </wp:positionV>
            <wp:extent cx="713803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9999"/>
          </w:cols>
          <w:pgMar w:left="460" w:top="586"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INCLUDED AS PART OF THIS FORM 6-K</w:t>
      </w:r>
    </w:p>
    <w:p>
      <w:pPr>
        <w:spacing w:after="0" w:line="220" w:lineRule="exact"/>
        <w:rPr>
          <w:sz w:val="20"/>
          <w:szCs w:val="20"/>
          <w:color w:val="auto"/>
        </w:rPr>
      </w:pPr>
    </w:p>
    <w:p>
      <w:pPr>
        <w:jc w:val="both"/>
        <w:spacing w:after="0" w:line="272" w:lineRule="auto"/>
        <w:rPr>
          <w:rFonts w:ascii="Times New Roman" w:cs="Times New Roman" w:eastAsia="Times New Roman" w:hAnsi="Times New Roman"/>
          <w:sz w:val="17"/>
          <w:szCs w:val="17"/>
          <w:color w:val="0000EE"/>
        </w:rPr>
      </w:pPr>
      <w:hyperlink r:id="rId19">
        <w:r>
          <w:rPr>
            <w:rFonts w:ascii="Times New Roman" w:cs="Times New Roman" w:eastAsia="Times New Roman" w:hAnsi="Times New Roman"/>
            <w:sz w:val="17"/>
            <w:szCs w:val="17"/>
            <w:color w:val="auto"/>
          </w:rPr>
          <w:t>Exhibit 99.1 to this Report on Form 6-K shall be deemed to be incorporated by reference into the Registration Statement of Bitfarms Ltd. on Form F-10 (</w:t>
        </w:r>
        <w:r>
          <w:rPr>
            <w:rFonts w:ascii="Times New Roman" w:cs="Times New Roman" w:eastAsia="Times New Roman" w:hAnsi="Times New Roman"/>
            <w:sz w:val="17"/>
            <w:szCs w:val="17"/>
            <w:u w:val="single" w:color="auto"/>
            <w:color w:val="0000EE"/>
          </w:rPr>
          <w:t>File No.</w:t>
        </w:r>
      </w:hyperlink>
      <w:r>
        <w:rPr>
          <w:rFonts w:ascii="Times New Roman" w:cs="Times New Roman" w:eastAsia="Times New Roman" w:hAnsi="Times New Roman"/>
          <w:sz w:val="17"/>
          <w:szCs w:val="17"/>
          <w:color w:val="auto"/>
        </w:rPr>
        <w:t xml:space="preserve"> </w:t>
      </w:r>
      <w:hyperlink r:id="rId19">
        <w:r>
          <w:rPr>
            <w:rFonts w:ascii="Times New Roman" w:cs="Times New Roman" w:eastAsia="Times New Roman" w:hAnsi="Times New Roman"/>
            <w:sz w:val="17"/>
            <w:szCs w:val="17"/>
            <w:u w:val="single" w:color="auto"/>
            <w:color w:val="0000EE"/>
          </w:rPr>
          <w:t>333-272989</w:t>
        </w:r>
        <w:r>
          <w:rPr>
            <w:rFonts w:ascii="Times New Roman" w:cs="Times New Roman" w:eastAsia="Times New Roman" w:hAnsi="Times New Roman"/>
            <w:sz w:val="17"/>
            <w:szCs w:val="17"/>
            <w:color w:val="000000"/>
          </w:rPr>
          <w:t>) and the Registration Statement of Bitfarms Ltd. on Form S-8 (</w:t>
        </w:r>
      </w:hyperlink>
      <w:hyperlink r:id="rId20">
        <w:r>
          <w:rPr>
            <w:rFonts w:ascii="Times New Roman" w:cs="Times New Roman" w:eastAsia="Times New Roman" w:hAnsi="Times New Roman"/>
            <w:sz w:val="17"/>
            <w:szCs w:val="17"/>
            <w:u w:val="single" w:color="auto"/>
            <w:color w:val="0000EE"/>
          </w:rPr>
          <w:t>File No. 333-278868</w:t>
        </w:r>
      </w:hyperlink>
      <w:hyperlink r:id="rId19">
        <w:r>
          <w:rPr>
            <w:rFonts w:ascii="Times New Roman" w:cs="Times New Roman" w:eastAsia="Times New Roman" w:hAnsi="Times New Roman"/>
            <w:sz w:val="17"/>
            <w:szCs w:val="17"/>
            <w:color w:val="000000"/>
          </w:rPr>
          <w:t>) and to be a part thereof from the date on which this report was</w:t>
        </w:r>
      </w:hyperlink>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furnished, to the extent not superseded by documents or reports subsequently filed or furnished.</w:t>
      </w:r>
    </w:p>
    <w:p>
      <w:pPr>
        <w:spacing w:after="0" w:line="163" w:lineRule="exact"/>
        <w:rPr>
          <w:rFonts w:ascii="Times New Roman" w:cs="Times New Roman" w:eastAsia="Times New Roman" w:hAnsi="Times New Roman"/>
          <w:sz w:val="17"/>
          <w:szCs w:val="17"/>
          <w:color w:val="0000EE"/>
        </w:rPr>
      </w:pPr>
    </w:p>
    <w:p>
      <w:pPr>
        <w:spacing w:after="0"/>
        <w:rPr>
          <w:sz w:val="20"/>
          <w:szCs w:val="20"/>
          <w:color w:val="auto"/>
        </w:rPr>
      </w:pPr>
      <w:r>
        <w:rPr>
          <w:rFonts w:ascii="Times New Roman" w:cs="Times New Roman" w:eastAsia="Times New Roman" w:hAnsi="Times New Roman"/>
          <w:sz w:val="17"/>
          <w:szCs w:val="17"/>
          <w:color w:val="auto"/>
        </w:rPr>
        <w:t>See the Exhibits listed below.</w:t>
      </w:r>
    </w:p>
    <w:p>
      <w:pPr>
        <w:spacing w:after="0" w:line="216" w:lineRule="exact"/>
        <w:rPr>
          <w:rFonts w:ascii="Times New Roman" w:cs="Times New Roman" w:eastAsia="Times New Roman" w:hAnsi="Times New Roman"/>
          <w:sz w:val="17"/>
          <w:szCs w:val="17"/>
          <w:color w:val="0000EE"/>
        </w:rPr>
      </w:pPr>
    </w:p>
    <w:tbl>
      <w:tblPr>
        <w:tblLayout w:type="fixed"/>
        <w:tblInd w:w="0" w:type="dxa"/>
        <w:tblCellMar>
          <w:top w:w="0" w:type="dxa"/>
          <w:left w:w="0" w:type="dxa"/>
          <w:bottom w:w="0" w:type="dxa"/>
          <w:right w:w="0" w:type="dxa"/>
        </w:tblCellMar>
      </w:tblPr>
      <w:tr>
        <w:trPr>
          <w:trHeight w:val="228"/>
        </w:trPr>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Exhibit No.</w:t>
            </w:r>
          </w:p>
        </w:tc>
        <w:tc>
          <w:tcPr>
            <w:tcW w:w="9880" w:type="dxa"/>
            <w:vAlign w:val="bottom"/>
            <w:gridSpan w:val="5"/>
          </w:tcPr>
          <w:p>
            <w:pPr>
              <w:ind w:left="100"/>
              <w:spacing w:after="0"/>
              <w:rPr>
                <w:sz w:val="20"/>
                <w:szCs w:val="20"/>
                <w:color w:val="auto"/>
              </w:rPr>
            </w:pPr>
            <w:r>
              <w:rPr>
                <w:rFonts w:ascii="Times New Roman" w:cs="Times New Roman" w:eastAsia="Times New Roman" w:hAnsi="Times New Roman"/>
                <w:sz w:val="17"/>
                <w:szCs w:val="17"/>
                <w:color w:val="auto"/>
              </w:rPr>
              <w:t>Description</w:t>
            </w: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380" w:type="dxa"/>
            <w:vAlign w:val="bottom"/>
            <w:tcBorders>
              <w:top w:val="single" w:sz="8" w:color="auto"/>
            </w:tcBorders>
          </w:tcPr>
          <w:p>
            <w:pPr>
              <w:spacing w:after="0"/>
              <w:rPr>
                <w:sz w:val="17"/>
                <w:szCs w:val="17"/>
                <w:color w:val="auto"/>
              </w:rPr>
            </w:pPr>
          </w:p>
        </w:tc>
        <w:tc>
          <w:tcPr>
            <w:tcW w:w="18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1340" w:type="dxa"/>
            <w:vAlign w:val="bottom"/>
            <w:tcBorders>
              <w:bottom w:val="single" w:sz="8" w:color="CCEEFF"/>
            </w:tcBorders>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auto"/>
              </w:rPr>
              <w:t>99.1</w:t>
            </w:r>
          </w:p>
        </w:tc>
        <w:tc>
          <w:tcPr>
            <w:tcW w:w="100" w:type="dxa"/>
            <w:vAlign w:val="bottom"/>
            <w:tcBorders>
              <w:bottom w:val="single" w:sz="8" w:color="CCEEFF"/>
            </w:tcBorders>
            <w:shd w:val="clear" w:color="auto" w:fill="CCEEFF"/>
          </w:tcPr>
          <w:p>
            <w:pPr>
              <w:spacing w:after="0"/>
              <w:rPr>
                <w:sz w:val="16"/>
                <w:szCs w:val="16"/>
                <w:color w:val="auto"/>
              </w:rPr>
            </w:pPr>
          </w:p>
        </w:tc>
        <w:tc>
          <w:tcPr>
            <w:tcW w:w="6980" w:type="dxa"/>
            <w:vAlign w:val="bottom"/>
            <w:tcBorders>
              <w:bottom w:val="single" w:sz="8" w:color="0000EE"/>
            </w:tcBorders>
            <w:gridSpan w:val="3"/>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Notice of Annual General and Special Meeting of Shareholders &amp; Management Information Circular</w:t>
            </w:r>
          </w:p>
        </w:tc>
        <w:tc>
          <w:tcPr>
            <w:tcW w:w="28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40" w:type="dxa"/>
            <w:vAlign w:val="bottom"/>
          </w:tcPr>
          <w:p>
            <w:pPr>
              <w:spacing w:after="0" w:line="168" w:lineRule="exact"/>
              <w:rPr>
                <w:sz w:val="20"/>
                <w:szCs w:val="20"/>
                <w:color w:val="auto"/>
              </w:rPr>
            </w:pPr>
            <w:r>
              <w:rPr>
                <w:rFonts w:ascii="Times New Roman" w:cs="Times New Roman" w:eastAsia="Times New Roman" w:hAnsi="Times New Roman"/>
                <w:sz w:val="17"/>
                <w:szCs w:val="17"/>
                <w:color w:val="auto"/>
              </w:rPr>
              <w:t>99.2</w:t>
            </w:r>
          </w:p>
        </w:tc>
        <w:tc>
          <w:tcPr>
            <w:tcW w:w="100" w:type="dxa"/>
            <w:vAlign w:val="bottom"/>
          </w:tcPr>
          <w:p>
            <w:pPr>
              <w:spacing w:after="0"/>
              <w:rPr>
                <w:sz w:val="14"/>
                <w:szCs w:val="14"/>
                <w:color w:val="auto"/>
              </w:rPr>
            </w:pPr>
          </w:p>
        </w:tc>
        <w:tc>
          <w:tcPr>
            <w:tcW w:w="6220" w:type="dxa"/>
            <w:vAlign w:val="bottom"/>
            <w:tcBorders>
              <w:bottom w:val="single" w:sz="8" w:color="0000EE"/>
            </w:tcBorders>
            <w:gridSpan w:val="2"/>
          </w:tcPr>
          <w:p>
            <w:pPr>
              <w:spacing w:after="0" w:line="168" w:lineRule="exact"/>
              <w:rPr>
                <w:sz w:val="20"/>
                <w:szCs w:val="20"/>
                <w:color w:val="auto"/>
              </w:rPr>
            </w:pPr>
            <w:r>
              <w:rPr>
                <w:rFonts w:ascii="Times New Roman" w:cs="Times New Roman" w:eastAsia="Times New Roman" w:hAnsi="Times New Roman"/>
                <w:sz w:val="17"/>
                <w:szCs w:val="17"/>
                <w:color w:val="0000EE"/>
              </w:rPr>
              <w:t>Form of Proxy for Annual General and Special Meeting of Shareholders on May 31, 2024</w:t>
            </w:r>
          </w:p>
        </w:tc>
        <w:tc>
          <w:tcPr>
            <w:tcW w:w="35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color w:val="auto"/>
              </w:rPr>
              <w:t>99.3</w:t>
            </w:r>
          </w:p>
        </w:tc>
        <w:tc>
          <w:tcPr>
            <w:tcW w:w="9880" w:type="dxa"/>
            <w:vAlign w:val="bottom"/>
            <w:gridSpan w:val="5"/>
            <w:shd w:val="clear" w:color="auto" w:fill="CCEEFF"/>
          </w:tcPr>
          <w:p>
            <w:pPr>
              <w:ind w:left="100"/>
              <w:spacing w:after="0" w:line="187" w:lineRule="exact"/>
              <w:rPr>
                <w:sz w:val="20"/>
                <w:szCs w:val="20"/>
                <w:color w:val="auto"/>
              </w:rPr>
            </w:pPr>
            <w:r>
              <w:rPr>
                <w:rFonts w:ascii="Times New Roman" w:cs="Times New Roman" w:eastAsia="Times New Roman" w:hAnsi="Times New Roman"/>
                <w:sz w:val="17"/>
                <w:szCs w:val="17"/>
                <w:color w:val="0000EE"/>
              </w:rPr>
              <w:t>Notice of Annual General and Special Meeting of Shareholders</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4380" w:type="dxa"/>
            <w:vAlign w:val="bottom"/>
            <w:tcBorders>
              <w:top w:val="single" w:sz="8" w:color="0000EE"/>
              <w:bottom w:val="single" w:sz="8" w:color="auto"/>
            </w:tcBorders>
          </w:tcPr>
          <w:p>
            <w:pPr>
              <w:spacing w:after="0"/>
              <w:rPr>
                <w:sz w:val="24"/>
                <w:szCs w:val="24"/>
                <w:color w:val="auto"/>
              </w:rPr>
            </w:pPr>
          </w:p>
        </w:tc>
        <w:tc>
          <w:tcPr>
            <w:tcW w:w="18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8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9" w:right="339" w:bottom="1440" w:gutter="0" w:footer="0" w:header="0"/>
        </w:sectPr>
      </w:pPr>
    </w:p>
    <w:bookmarkStart w:id="2" w:name="page3"/>
    <w:bookmarkEnd w:id="2"/>
    <w:p>
      <w:pPr>
        <w:jc w:val="center"/>
        <w:ind w:right="140"/>
        <w:spacing w:after="0"/>
        <w:rPr>
          <w:sz w:val="20"/>
          <w:szCs w:val="20"/>
          <w:color w:val="auto"/>
        </w:rPr>
      </w:pPr>
      <w:r>
        <w:rPr>
          <w:rFonts w:ascii="Times New Roman" w:cs="Times New Roman" w:eastAsia="Times New Roman" w:hAnsi="Times New Roman"/>
          <w:sz w:val="17"/>
          <w:szCs w:val="17"/>
          <w:color w:val="auto"/>
        </w:rPr>
        <w:t>SIGNATURE</w:t>
      </w:r>
    </w:p>
    <w:p>
      <w:pPr>
        <w:spacing w:after="0" w:line="21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19050</wp:posOffset>
            </wp:positionV>
            <wp:extent cx="256286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62860" cy="16510"/>
                    </a:xfrm>
                    <a:prstGeom prst="rect">
                      <a:avLst/>
                    </a:prstGeom>
                    <a:noFill/>
                  </pic:spPr>
                </pic:pic>
              </a:graphicData>
            </a:graphic>
          </wp:anchor>
        </w:drawing>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7"/>
          <w:szCs w:val="17"/>
          <w:color w:val="auto"/>
        </w:rPr>
        <w:t>Name: L. Geoffrey Morphy</w:t>
      </w:r>
    </w:p>
    <w:p>
      <w:pPr>
        <w:spacing w:after="0" w:line="24" w:lineRule="exact"/>
        <w:rPr>
          <w:sz w:val="20"/>
          <w:szCs w:val="20"/>
          <w:color w:val="auto"/>
        </w:rPr>
      </w:pPr>
    </w:p>
    <w:p>
      <w:pPr>
        <w:ind w:left="7060"/>
        <w:spacing w:after="0"/>
        <w:tabs>
          <w:tab w:leader="none" w:pos="756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215900</wp:posOffset>
            </wp:positionV>
            <wp:extent cx="713803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100"/>
          </w:cols>
          <w:pgMar w:left="460" w:top="8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1673225</wp:posOffset>
            </wp:positionH>
            <wp:positionV relativeFrom="paragraph">
              <wp:posOffset>151765</wp:posOffset>
            </wp:positionV>
            <wp:extent cx="2365375" cy="4927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2365375"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NOTICE OF ANNUAL GENERAL AND SPECIAL MEETING</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OF SHAREHOLDERS &amp; MANAGEMENT INFORMATION CIRCULAR</w:t>
      </w:r>
    </w:p>
    <w:p>
      <w:pPr>
        <w:spacing w:after="0" w:line="20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May 31, 2024 at 10:00 a.m. (EST)</w:t>
      </w:r>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To be held virtually at</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https://virtual-meetings.tsxtrust.com/en/1648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1075055</wp:posOffset>
            </wp:positionV>
            <wp:extent cx="713803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 Yonge Street, Suite 1601, Toronto, ON M5C 1T4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AND SPECIAL MEETING OF SHAREHOLDERS</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the annual general and special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of common shares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of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will be held virtually at the following web link: https://virtual-meetings.tsxtrust.com/en/1648 on May 31, 2024,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10:00 a.m. (EST) for the following purposes, all as more particularly described in the enclosed management information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1240" w:hanging="616"/>
        <w:spacing w:after="0" w:line="291" w:lineRule="auto"/>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the Corporation’s consolidated financial statements for the years ended December 31, 2023, and December 31, 2022, and the report of the auditors thereon;</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directors of the Corporation for the ensuing year;</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appoint the auditors and to authorize the directors to fix their remuneration;</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if deemed advisable, pass an ordinary resolution, the full text of which is set forth in the accompanying Circular, to approve the renewal of the Corporation’s long term equity incentive plan and the unallocated entitlements thereunder; and</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further and other business as may be properly brought before the Meeting or any adjournment or postponement thereof.</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fixed </w:t>
      </w:r>
      <w:r>
        <w:rPr>
          <w:rFonts w:ascii="Times New Roman" w:cs="Times New Roman" w:eastAsia="Times New Roman" w:hAnsi="Times New Roman"/>
          <w:sz w:val="17"/>
          <w:szCs w:val="17"/>
          <w:b w:val="1"/>
          <w:bCs w:val="1"/>
          <w:color w:val="auto"/>
        </w:rPr>
        <w:t>April 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2024</w:t>
      </w:r>
      <w:r>
        <w:rPr>
          <w:rFonts w:ascii="Times New Roman" w:cs="Times New Roman" w:eastAsia="Times New Roman" w:hAnsi="Times New Roman"/>
          <w:sz w:val="17"/>
          <w:szCs w:val="17"/>
          <w:color w:val="auto"/>
        </w:rPr>
        <w:t xml:space="preserve">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We are inviting Shareholders to participate in the Meeting by accessing the virtual meeting platform at URL </w:t>
      </w:r>
      <w:r>
        <w:rPr>
          <w:rFonts w:ascii="Times New Roman" w:cs="Times New Roman" w:eastAsia="Times New Roman" w:hAnsi="Times New Roman"/>
          <w:sz w:val="17"/>
          <w:szCs w:val="17"/>
          <w:color w:val="auto"/>
        </w:rPr>
        <w:t>https://virtual-meetings.tsxtrust.com/en/1648</w:t>
      </w:r>
      <w:r>
        <w:rPr>
          <w:rFonts w:ascii="Times New Roman" w:cs="Times New Roman" w:eastAsia="Times New Roman" w:hAnsi="Times New Roman"/>
          <w:sz w:val="17"/>
          <w:szCs w:val="17"/>
          <w:b w:val="1"/>
          <w:bCs w:val="1"/>
          <w:color w:val="auto"/>
        </w:rPr>
        <w:t>, Password: bitfarms2024 (case sensitive). Participants should join at least ten (10) minutes prior to the scheduled start time. Shareholders will have an equal opportunity to participate at the Meeting through this method regardless of their geographic location.</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All Shareholders may attend the Meeting virtually or be represented by proxy. Shareholders are requested to complete, date and sign the enclosed form of proxy and return it in the envelope provided. </w:t>
      </w:r>
      <w:r>
        <w:rPr>
          <w:rFonts w:ascii="Times New Roman" w:cs="Times New Roman" w:eastAsia="Times New Roman" w:hAnsi="Times New Roman"/>
          <w:sz w:val="17"/>
          <w:szCs w:val="17"/>
          <w:color w:val="auto"/>
        </w:rPr>
        <w:t>To be effective, the enclosed form of proxy or voting instruction form must be deposited with TSX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by mail delivery at 301 – 100 Adelaide Street West, Toronto, Ontario M5H 1S3, or by facsimile at (416) 595-9593. In order to be valid and acted upon at the Meeting, the duly completed form of proxy must be received prior to 10:00 a.m. (Toronto time) on May 29, 2024 (the “</w:t>
      </w:r>
      <w:r>
        <w:rPr>
          <w:rFonts w:ascii="Times New Roman" w:cs="Times New Roman" w:eastAsia="Times New Roman" w:hAnsi="Times New Roman"/>
          <w:sz w:val="17"/>
          <w:szCs w:val="17"/>
          <w:b w:val="1"/>
          <w:bCs w:val="1"/>
          <w:color w:val="auto"/>
        </w:rPr>
        <w:t>Proxy Deadline</w:t>
      </w:r>
      <w:r>
        <w:rPr>
          <w:rFonts w:ascii="Times New Roman" w:cs="Times New Roman" w:eastAsia="Times New Roman" w:hAnsi="Times New Roman"/>
          <w:sz w:val="17"/>
          <w:szCs w:val="17"/>
          <w:color w:val="auto"/>
        </w:rPr>
        <w:t>”), or be deposited with the Secretary of the Corporation before the commencement of the Meeting or of any adjournment thereof. Notwithstanding the foregoing, the Chair of the Meeting has the discretion to accept proxies received after such deadline.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are reminded to review the Circular before voting.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April 16, 2024.</w:t>
      </w:r>
    </w:p>
    <w:p>
      <w:pPr>
        <w:spacing w:after="0" w:line="2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(Signed) “Nicolas Bonta”</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Nicolas Bonta</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417830</wp:posOffset>
            </wp:positionV>
            <wp:extent cx="713803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 INFORMATION CIRCULAR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SOLICITATION OF PROXIES BY MANAGEMENT</w:t>
      </w:r>
    </w:p>
    <w:p>
      <w:pPr>
        <w:spacing w:after="0" w:line="2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This Management Information Circular (this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 is furnished in connection with the solicitation by the management of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of proxies to be used at the annual general and special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of common shares of the Corporation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xml:space="preserve">”) to be held at the time and place and for the purposes set out in the Notice of Meeting. It is expected that the solicitation will be made primarily by mail. However, officers and employees of the Corporation may also solicit proxies by telephone, e-mail or in person. These persons will receive no compensation for such solicitation, other than their ordinary salaries or fees. The total cost of solicitation of proxies will be borne by the Corporation. Pursuant to National Instrument 54-101 – </w:t>
      </w:r>
      <w:r>
        <w:rPr>
          <w:rFonts w:ascii="Times New Roman" w:cs="Times New Roman" w:eastAsia="Times New Roman" w:hAnsi="Times New Roman"/>
          <w:sz w:val="17"/>
          <w:szCs w:val="17"/>
          <w:i w:val="1"/>
          <w:iCs w:val="1"/>
          <w:color w:val="auto"/>
        </w:rPr>
        <w:t>Communication with Beneficial Owners of Securities of a Reporting 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NI 54-101</w:t>
      </w:r>
      <w:r>
        <w:rPr>
          <w:rFonts w:ascii="Times New Roman" w:cs="Times New Roman" w:eastAsia="Times New Roman" w:hAnsi="Times New Roman"/>
          <w:sz w:val="17"/>
          <w:szCs w:val="17"/>
          <w:color w:val="auto"/>
        </w:rPr>
        <w:t>”), arrangements have been made with clearing agencies, brokerage houses and other financial intermediaries to forward proxy-related materials to the beneficial owners of the Common Shares. See “</w:t>
      </w:r>
      <w:r>
        <w:rPr>
          <w:rFonts w:ascii="Times New Roman" w:cs="Times New Roman" w:eastAsia="Times New Roman" w:hAnsi="Times New Roman"/>
          <w:sz w:val="17"/>
          <w:szCs w:val="17"/>
          <w:i w:val="1"/>
          <w:iCs w:val="1"/>
          <w:color w:val="auto"/>
        </w:rPr>
        <w:t>Appointment and Revocation of Proxies – Notice to Beneficial Holders of Shares</w:t>
      </w:r>
      <w:r>
        <w:rPr>
          <w:rFonts w:ascii="Times New Roman" w:cs="Times New Roman" w:eastAsia="Times New Roman" w:hAnsi="Times New Roman"/>
          <w:sz w:val="17"/>
          <w:szCs w:val="17"/>
          <w:color w:val="auto"/>
        </w:rPr>
        <w:t>” below. The Corporation will provide, without cost to such person, upon request to the Secretary of the Corporation, additional copies of the foregoing documents for this purpose.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AND ACCESS</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Corporation has elected to use the notice-and-access process (“</w:t>
      </w:r>
      <w:r>
        <w:rPr>
          <w:rFonts w:ascii="Times New Roman" w:cs="Times New Roman" w:eastAsia="Times New Roman" w:hAnsi="Times New Roman"/>
          <w:sz w:val="17"/>
          <w:szCs w:val="17"/>
          <w:b w:val="1"/>
          <w:bCs w:val="1"/>
          <w:color w:val="auto"/>
        </w:rPr>
        <w:t>Notice-and-Access</w:t>
      </w:r>
      <w:r>
        <w:rPr>
          <w:rFonts w:ascii="Times New Roman" w:cs="Times New Roman" w:eastAsia="Times New Roman" w:hAnsi="Times New Roman"/>
          <w:sz w:val="17"/>
          <w:szCs w:val="17"/>
          <w:color w:val="auto"/>
        </w:rPr>
        <w:t xml:space="preserve">”) that came into effect on February 11, 2013 under NI 54-101 – </w:t>
      </w:r>
      <w:r>
        <w:rPr>
          <w:rFonts w:ascii="Times New Roman" w:cs="Times New Roman" w:eastAsia="Times New Roman" w:hAnsi="Times New Roman"/>
          <w:sz w:val="17"/>
          <w:szCs w:val="17"/>
          <w:i w:val="1"/>
          <w:iCs w:val="1"/>
          <w:color w:val="auto"/>
        </w:rPr>
        <w:t xml:space="preserve">Communications with Beneficial Owners of Securities of a Reporting Issuer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NI 54-101</w:t>
      </w:r>
      <w:r>
        <w:rPr>
          <w:rFonts w:ascii="Times New Roman" w:cs="Times New Roman" w:eastAsia="Times New Roman" w:hAnsi="Times New Roman"/>
          <w:sz w:val="17"/>
          <w:szCs w:val="17"/>
          <w:color w:val="auto"/>
        </w:rPr>
        <w:t>”) and National Instrument 51-102 –</w:t>
      </w:r>
      <w:r>
        <w:rPr>
          <w:rFonts w:ascii="Times New Roman" w:cs="Times New Roman" w:eastAsia="Times New Roman" w:hAnsi="Times New Roman"/>
          <w:sz w:val="17"/>
          <w:szCs w:val="17"/>
          <w:i w:val="1"/>
          <w:iCs w:val="1"/>
          <w:color w:val="auto"/>
        </w:rPr>
        <w:t xml:space="preserve"> Continuous Disclosure Obligations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distribution of this Circular and other meeting materials to registered Shareholders of the Corporation and Non-Registered Holders (as defined herein).</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Notice-and-Access allows issuers to post electronic versions of meeting materials, including circulars, annual financial statements and management discussion and analysis, online, via SEDAR+ and one other website, rather than mailing paper copies of such meeting materials to Shareholders. The Corporation anticipates that utilizing the Notice-and-Access process will substantially reduce both postage and printing costs.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Meeting materials including the Circular and the Corporation’s consolidated financial statements for the years ended December 31, 2023 and 2022 and the Corporation’s management discussion and analysis for the year ended December 31, 2023 and the year ended December 31, 2022 are available on the Corporation’s website at https://investor.bitfarms.com/financial-information, on the Corporation’s SEDAR+ profile at www.sedarplus.ca, on the U.S. Securities and Exchange Commission’s EDGAR website at www.sec.gov/EDGAR and on the website of the Corporation’s registrar and transfer agent at https://docs.tsxtrust.com/2253. For more information regarding the Corporation, please also refer to the Annual Information Form, available on the Corporation’s SEDAR+ profile and on EDGAR.</w:t>
      </w:r>
    </w:p>
    <w:p>
      <w:pPr>
        <w:spacing w:after="0" w:line="38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Although the Circular and related materials (collectively, the “</w:t>
      </w:r>
      <w:r>
        <w:rPr>
          <w:rFonts w:ascii="Times New Roman" w:cs="Times New Roman" w:eastAsia="Times New Roman" w:hAnsi="Times New Roman"/>
          <w:sz w:val="17"/>
          <w:szCs w:val="17"/>
          <w:b w:val="1"/>
          <w:bCs w:val="1"/>
          <w:color w:val="auto"/>
        </w:rPr>
        <w:t>Meeting Materials</w:t>
      </w:r>
      <w:r>
        <w:rPr>
          <w:rFonts w:ascii="Times New Roman" w:cs="Times New Roman" w:eastAsia="Times New Roman" w:hAnsi="Times New Roman"/>
          <w:sz w:val="17"/>
          <w:szCs w:val="17"/>
          <w:color w:val="auto"/>
        </w:rPr>
        <w:t>”) will be posted electronically online, as noted above, the registered Shareholders and Non-Registered Holders (subject to the provisions set out below under the heading “</w:t>
      </w:r>
      <w:r>
        <w:rPr>
          <w:rFonts w:ascii="Times New Roman" w:cs="Times New Roman" w:eastAsia="Times New Roman" w:hAnsi="Times New Roman"/>
          <w:sz w:val="17"/>
          <w:szCs w:val="17"/>
          <w:b w:val="1"/>
          <w:bCs w:val="1"/>
          <w:color w:val="auto"/>
        </w:rPr>
        <w:t>Voting by Beneficial Holders of Shares of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will receive a “notice package” (the “</w:t>
      </w:r>
      <w:r>
        <w:rPr>
          <w:rFonts w:ascii="Times New Roman" w:cs="Times New Roman" w:eastAsia="Times New Roman" w:hAnsi="Times New Roman"/>
          <w:sz w:val="17"/>
          <w:szCs w:val="17"/>
          <w:b w:val="1"/>
          <w:bCs w:val="1"/>
          <w:color w:val="auto"/>
        </w:rPr>
        <w:t>Notice-and-Access Notification”</w:t>
      </w:r>
      <w:r>
        <w:rPr>
          <w:rFonts w:ascii="Times New Roman" w:cs="Times New Roman" w:eastAsia="Times New Roman" w:hAnsi="Times New Roman"/>
          <w:sz w:val="17"/>
          <w:szCs w:val="17"/>
          <w:color w:val="auto"/>
        </w:rPr>
        <w:t>), by prepaid mail, which includes the information prescribed by NI 54-101, and a proxy form or voting instruction form from their respective intermediaries. Shareholders should follow the instructions for completion and delivery contained in the proxy or voting instruction form. Shareholders are reminded to review the Circular before voting.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Management of the Corporation intends to pay for intermediaries to forward the Notice-and-Access Notification to OBOs (as defined herein) under NI 54-101.</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Shareholders will not receive a paper copy of the Meeting Materials unless they request paper copies from the Corporation. In order to receive a paper copy in time to vote before the meeting, requests for paper copies should be received by the Corporation’s registrar and transfer agent, TSX Trust Company (“</w:t>
      </w:r>
      <w:r>
        <w:rPr>
          <w:rFonts w:ascii="Times New Roman" w:cs="Times New Roman" w:eastAsia="Times New Roman" w:hAnsi="Times New Roman"/>
          <w:sz w:val="17"/>
          <w:szCs w:val="17"/>
          <w:b w:val="1"/>
          <w:bCs w:val="1"/>
          <w:color w:val="auto"/>
        </w:rPr>
        <w:t>TSX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Trust</w:t>
      </w:r>
      <w:r>
        <w:rPr>
          <w:rFonts w:ascii="Times New Roman" w:cs="Times New Roman" w:eastAsia="Times New Roman" w:hAnsi="Times New Roman"/>
          <w:sz w:val="17"/>
          <w:szCs w:val="17"/>
          <w:color w:val="auto"/>
        </w:rPr>
        <w:t>”) by 10:00 a.m. on May 17, 2024. Shareholders who wish to receive paper copies of the Meeting Materials, or who have questions about Notice-and Access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may contact TSX Trust toll free at 1 (866) 600-5869 or email tsxtis@tmx.com.</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 RESPECTING THE MEETING</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No person has been authorized to give any information or make any representations in connection with the matters being considered herein other than those contained in this Circular, and, if given or made, any such information or representations should be considered not to have been authorized by the Corporation. This Circular does not constitute the solicitation of a proxy by any person in any jurisdiction in which such solicitation is not authorized or in which the person making such solicitation is not qualified to do so or to any person to whom it is unlawful to make such solicitation.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References in this Circular to the Meeting include any adjournment(s) or postponement(s) thereof.</w:t>
      </w:r>
    </w:p>
    <w:p>
      <w:pPr>
        <w:spacing w:after="0" w:line="21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Corporation’s consolidated financial statements are reported in United States dollars, the functional currency. In this Circular, unless otherwise indicated, all dollar amounts (“$” or “C$”) are expressed in Canadian dollars and references to “US$” or “US” are to United States dollars.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where otherwise indicated, the information contained herein is stated as of April 16, 2024.</w:t>
      </w:r>
    </w:p>
    <w:p>
      <w:pPr>
        <w:spacing w:after="0" w:line="2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Electronic copies of this Circular, consolidated financial statements of the Corporation for the years ended December 31, 2023 and December 31, 2022 (the “</w:t>
      </w:r>
      <w:r>
        <w:rPr>
          <w:rFonts w:ascii="Times New Roman" w:cs="Times New Roman" w:eastAsia="Times New Roman" w:hAnsi="Times New Roman"/>
          <w:sz w:val="17"/>
          <w:szCs w:val="17"/>
          <w:b w:val="1"/>
          <w:bCs w:val="1"/>
          <w:color w:val="auto"/>
        </w:rPr>
        <w:t>Financial Statements</w:t>
      </w:r>
      <w:r>
        <w:rPr>
          <w:rFonts w:ascii="Times New Roman" w:cs="Times New Roman" w:eastAsia="Times New Roman" w:hAnsi="Times New Roman"/>
          <w:sz w:val="17"/>
          <w:szCs w:val="17"/>
          <w:color w:val="auto"/>
        </w:rPr>
        <w:t>”) and management discussion and analysis for 2023 and 2022 (the “</w:t>
      </w:r>
      <w:r>
        <w:rPr>
          <w:rFonts w:ascii="Times New Roman" w:cs="Times New Roman" w:eastAsia="Times New Roman" w:hAnsi="Times New Roman"/>
          <w:sz w:val="17"/>
          <w:szCs w:val="17"/>
          <w:b w:val="1"/>
          <w:bCs w:val="1"/>
          <w:color w:val="auto"/>
        </w:rPr>
        <w:t>MD&amp;A</w:t>
      </w:r>
      <w:r>
        <w:rPr>
          <w:rFonts w:ascii="Times New Roman" w:cs="Times New Roman" w:eastAsia="Times New Roman" w:hAnsi="Times New Roman"/>
          <w:sz w:val="17"/>
          <w:szCs w:val="17"/>
          <w:color w:val="auto"/>
        </w:rPr>
        <w:t>”) may be found on the Corporation’s SEDAR+ profile at www.sedarplus.ca and on the U.S. Securities and Exchange Commission’s EDGAR website at www.sec.gov/EDGAR.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are reminded to review this Circular before voting.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may also obtain paper copies of the Financial Statements and the MD&amp;A free of charge by contacting TSX Trust Company at (416) 342-1091 or 1</w:t>
      </w:r>
    </w:p>
    <w:p>
      <w:pPr>
        <w:spacing w:after="0" w:line="30" w:lineRule="exact"/>
        <w:rPr>
          <w:sz w:val="20"/>
          <w:szCs w:val="20"/>
          <w:color w:val="auto"/>
        </w:rPr>
      </w:pPr>
    </w:p>
    <w:p>
      <w:pPr>
        <w:ind w:firstLine="3"/>
        <w:spacing w:after="0" w:line="268" w:lineRule="auto"/>
        <w:tabs>
          <w:tab w:leader="none" w:pos="43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600-5869 or upon request to the Vice President &amp; Corporate Secretary at legal@bitfarms.com. Further information on the Corporation is available in the Annual Information Form, available on the Corporation’s SEDAR+ profile and on EDGAR.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AT THE VIRTUAL MEETING</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Meeting will be hosted virtually via live audio webcast at https://virtual-meetings.tsxtrust.com/en/1648.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Registered Shareholders entitled to vote at the Meeting may attend and vote at the Meeting virtually by following the steps listed below:</w:t>
      </w:r>
    </w:p>
    <w:p>
      <w:pPr>
        <w:spacing w:after="0" w:line="218" w:lineRule="exact"/>
        <w:rPr>
          <w:sz w:val="20"/>
          <w:szCs w:val="20"/>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in https://virtual-meetings.tsxtrust.com/en/1648 on your browser at least 15 minutes before the Meeting starts.</w:t>
      </w:r>
    </w:p>
    <w:p>
      <w:pPr>
        <w:spacing w:after="0" w:line="24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on “</w:t>
      </w:r>
      <w:r>
        <w:rPr>
          <w:rFonts w:ascii="Times New Roman" w:cs="Times New Roman" w:eastAsia="Times New Roman" w:hAnsi="Times New Roman"/>
          <w:sz w:val="17"/>
          <w:szCs w:val="17"/>
          <w:b w:val="1"/>
          <w:bCs w:val="1"/>
          <w:color w:val="auto"/>
        </w:rPr>
        <w:t>I have a control number/ meeting access number</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your 12-digit control number (on your proxy form) as your Username.</w:t>
      </w:r>
    </w:p>
    <w:p>
      <w:pPr>
        <w:spacing w:after="0" w:line="24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the password: </w:t>
      </w:r>
      <w:r>
        <w:rPr>
          <w:rFonts w:ascii="Times New Roman" w:cs="Times New Roman" w:eastAsia="Times New Roman" w:hAnsi="Times New Roman"/>
          <w:sz w:val="17"/>
          <w:szCs w:val="17"/>
          <w:b w:val="1"/>
          <w:bCs w:val="1"/>
          <w:color w:val="auto"/>
        </w:rPr>
        <w:t>bitfarms2024</w:t>
      </w:r>
      <w:r>
        <w:rPr>
          <w:rFonts w:ascii="Times New Roman" w:cs="Times New Roman" w:eastAsia="Times New Roman" w:hAnsi="Times New Roman"/>
          <w:sz w:val="17"/>
          <w:szCs w:val="17"/>
          <w:color w:val="auto"/>
        </w:rPr>
        <w:t xml:space="preserve"> (case sensitive).</w:t>
      </w:r>
    </w:p>
    <w:p>
      <w:pPr>
        <w:spacing w:after="0" w:line="244" w:lineRule="exact"/>
        <w:rPr>
          <w:rFonts w:ascii="Times New Roman" w:cs="Times New Roman" w:eastAsia="Times New Roman" w:hAnsi="Times New Roman"/>
          <w:sz w:val="17"/>
          <w:szCs w:val="17"/>
          <w:color w:val="auto"/>
        </w:rPr>
      </w:pPr>
    </w:p>
    <w:p>
      <w:pPr>
        <w:ind w:left="620" w:hanging="306"/>
        <w:spacing w:after="0" w:line="293" w:lineRule="auto"/>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When the polls are opened, click on the “Voting” icon. To vote, simply select your voting direction from the options shown on screen and click </w:t>
      </w:r>
      <w:r>
        <w:rPr>
          <w:rFonts w:ascii="Times New Roman" w:cs="Times New Roman" w:eastAsia="Times New Roman" w:hAnsi="Times New Roman"/>
          <w:sz w:val="17"/>
          <w:szCs w:val="17"/>
          <w:b w:val="1"/>
          <w:bCs w:val="1"/>
          <w:color w:val="auto"/>
        </w:rPr>
        <w:t>Submit</w:t>
      </w:r>
      <w:r>
        <w:rPr>
          <w:rFonts w:ascii="Times New Roman" w:cs="Times New Roman" w:eastAsia="Times New Roman" w:hAnsi="Times New Roman"/>
          <w:sz w:val="17"/>
          <w:szCs w:val="17"/>
          <w:color w:val="auto"/>
        </w:rPr>
        <w:t>. A confirmation message will appear to show your vote has been received.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 Shareholders entitled to vote at the Meeting may vote at the Meeting virtually by following the steps listed below:</w:t>
      </w:r>
    </w:p>
    <w:p>
      <w:pPr>
        <w:spacing w:after="0" w:line="218" w:lineRule="exact"/>
        <w:rPr>
          <w:sz w:val="20"/>
          <w:szCs w:val="20"/>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yourself as proxyholder by writing your name in the space provided on the form of proxy or VIF.</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 and send it to your intermediary, following the voting deadline and submission instructions on the VIF.</w:t>
      </w:r>
    </w:p>
    <w:p>
      <w:pPr>
        <w:spacing w:after="0" w:line="244"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 control number by contacting TSX Trust Company by emailing tsxtrustproxyvoting@tmx.com the “Request for Control Number” form, which can be found here https://tsxtrust.com/resource/en/75.</w:t>
      </w:r>
    </w:p>
    <w:p>
      <w:pPr>
        <w:spacing w:after="0" w:line="17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in https://virtual-meetings.tsxtrust.com/en/1648 on your browser at least 15 minutes before the Meeting starts.</w:t>
      </w:r>
    </w:p>
    <w:p>
      <w:pPr>
        <w:spacing w:after="0" w:line="24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on “</w:t>
      </w:r>
      <w:r>
        <w:rPr>
          <w:rFonts w:ascii="Times New Roman" w:cs="Times New Roman" w:eastAsia="Times New Roman" w:hAnsi="Times New Roman"/>
          <w:sz w:val="17"/>
          <w:szCs w:val="17"/>
          <w:b w:val="1"/>
          <w:bCs w:val="1"/>
          <w:color w:val="auto"/>
        </w:rPr>
        <w:t>I have a control number/ meeting access number</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the control number provided by tsxtrustproxyvoting@tmx.com</w:t>
      </w:r>
    </w:p>
    <w:p>
      <w:pPr>
        <w:spacing w:after="0" w:line="24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Enter the password: </w:t>
      </w:r>
      <w:r>
        <w:rPr>
          <w:rFonts w:ascii="Times New Roman" w:cs="Times New Roman" w:eastAsia="Times New Roman" w:hAnsi="Times New Roman"/>
          <w:sz w:val="17"/>
          <w:szCs w:val="17"/>
          <w:b w:val="1"/>
          <w:bCs w:val="1"/>
          <w:color w:val="auto"/>
        </w:rPr>
        <w:t>bitfarms2024</w:t>
      </w:r>
      <w:r>
        <w:rPr>
          <w:rFonts w:ascii="Times New Roman" w:cs="Times New Roman" w:eastAsia="Times New Roman" w:hAnsi="Times New Roman"/>
          <w:sz w:val="17"/>
          <w:szCs w:val="17"/>
          <w:color w:val="auto"/>
        </w:rPr>
        <w:t xml:space="preserve"> (case sensitive).</w:t>
      </w:r>
    </w:p>
    <w:p>
      <w:pPr>
        <w:spacing w:after="0" w:line="244" w:lineRule="exact"/>
        <w:rPr>
          <w:rFonts w:ascii="Times New Roman" w:cs="Times New Roman" w:eastAsia="Times New Roman" w:hAnsi="Times New Roman"/>
          <w:sz w:val="17"/>
          <w:szCs w:val="17"/>
          <w:color w:val="auto"/>
        </w:rPr>
      </w:pPr>
    </w:p>
    <w:p>
      <w:pPr>
        <w:ind w:left="620" w:hanging="306"/>
        <w:spacing w:after="0" w:line="293" w:lineRule="auto"/>
        <w:tabs>
          <w:tab w:leader="none" w:pos="6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When the polls are opened, click on the “Voting” icon. To vote, simply select your voting direction from the options shown on screen and click </w:t>
      </w:r>
      <w:r>
        <w:rPr>
          <w:rFonts w:ascii="Times New Roman" w:cs="Times New Roman" w:eastAsia="Times New Roman" w:hAnsi="Times New Roman"/>
          <w:sz w:val="17"/>
          <w:szCs w:val="17"/>
          <w:b w:val="1"/>
          <w:bCs w:val="1"/>
          <w:color w:val="auto"/>
        </w:rPr>
        <w:t>Submit</w:t>
      </w:r>
      <w:r>
        <w:rPr>
          <w:rFonts w:ascii="Times New Roman" w:cs="Times New Roman" w:eastAsia="Times New Roman" w:hAnsi="Times New Roman"/>
          <w:sz w:val="17"/>
          <w:szCs w:val="17"/>
          <w:color w:val="auto"/>
        </w:rPr>
        <w:t>. A confirmation message will appear to show your vote has been received.</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7" w:name="page8"/>
    <w:bookmarkEnd w:id="7"/>
    <w:p>
      <w:pPr>
        <w:jc w:val="both"/>
        <w:spacing w:after="0" w:line="272" w:lineRule="auto"/>
        <w:rPr>
          <w:sz w:val="20"/>
          <w:szCs w:val="20"/>
          <w:color w:val="auto"/>
        </w:rPr>
      </w:pPr>
      <w:r>
        <w:rPr>
          <w:rFonts w:ascii="Times New Roman" w:cs="Times New Roman" w:eastAsia="Times New Roman" w:hAnsi="Times New Roman"/>
          <w:sz w:val="17"/>
          <w:szCs w:val="17"/>
          <w:color w:val="auto"/>
        </w:rPr>
        <w:t>If you are a registered shareholder and you want to appoint someone else (other than the Management nominees) to vote online at the Meeting, you must first submit your proxy indicating who you are appointing. You or your appointee must then register with TSX Trust in advance of the Meeting by emailing tsxtrustproxyvoting@tmx.com the “Request for Control Number” form, which can be found here https://tsxtrust.com/resource/en/75.</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If you are a non-registered shareholder and want to vote online at the Meeting, you must appoint yourself as proxyholder and register with TSX Trust in advance of the Meeting by emailing tsxtrustproxyvoting@tmx.com the “Request for Control Number” form, which can be found here https://tsxtrust.com/resource/en/75.</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Guests can also listen to the Meeting by following the steps below:</w:t>
      </w:r>
    </w:p>
    <w:p>
      <w:pPr>
        <w:spacing w:after="0" w:line="218" w:lineRule="exact"/>
        <w:rPr>
          <w:sz w:val="20"/>
          <w:szCs w:val="20"/>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in https://virtual-meetings.tsxtrust.com/en/1648 on your browser at least 15 minutes before the Meeting starts. Please do not do a Google Search.</w:t>
      </w:r>
    </w:p>
    <w:p>
      <w:pPr>
        <w:spacing w:after="0" w:line="24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Click on “</w:t>
      </w:r>
      <w:r>
        <w:rPr>
          <w:rFonts w:ascii="Times New Roman" w:cs="Times New Roman" w:eastAsia="Times New Roman" w:hAnsi="Times New Roman"/>
          <w:sz w:val="17"/>
          <w:szCs w:val="17"/>
          <w:b w:val="1"/>
          <w:bCs w:val="1"/>
          <w:color w:val="auto"/>
        </w:rPr>
        <w:t>I am a Guest</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If you have any questions or require further information with regard to voting your Shares, please contact TSX Trust Company toll-free in North America at 1-866-600-5869 or by email at tsxtis@tmx.com.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APPOINTMENT AND REVOCATION OF PROXIES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Appointment of Proxy</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Shareholder who does not plan on attending the Meeting in person is requested to complete and sign the enclosed form of proxy and to deliver it to TSX Trust Company: (i) by mail delivery to 301 – 100 Adelaide Street West, Toronto, Ontario M5H 1S3; or (ii) by facsimile at (416) 595-9593. In order to be valid and acted upon at the Meeting, the form of proxy must be received no later than 10:00 a.m. (Toronto time) on May 29, 2024 or be deposited with the Secretary of the Corporation before the commencement of the Meeting or any adjournment thereof. The deadline for the deposit of proxies may be waived or extended by the Chair of the Meeting at his discretion, without notice.</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document appointing a proxy must be in writing and executed by the Shareholder or his attorney authorized in writing or, if the Shareholder is a corporation, under its corporate seal or by an officer or attorney thereof duly authorized.</w:t>
      </w:r>
    </w:p>
    <w:p>
      <w:pPr>
        <w:spacing w:after="0" w:line="14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color w:val="auto"/>
        </w:rPr>
        <w:t>A Shareholder submitting a form of proxy has the right to appoint a person (who need not be a Shareholder) to represent him or her at the Meeting other than the persons designated in the form of proxy furnished by the Corporation. To exercise that right, the name of the Shareholder’s appointee should be legibly printed in the blank space provided. In addition, the Shareholder should notify the appointee of the appointment, obtain his or her consent to act as appointee and instruct the appointee on how the Shareholder’s Common Shares are to be voted.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 who are not registered shareholders of the Corporation should refer to “</w:t>
      </w:r>
      <w:r>
        <w:rPr>
          <w:rFonts w:ascii="Times New Roman" w:cs="Times New Roman" w:eastAsia="Times New Roman" w:hAnsi="Times New Roman"/>
          <w:sz w:val="17"/>
          <w:szCs w:val="17"/>
          <w:i w:val="1"/>
          <w:iCs w:val="1"/>
          <w:color w:val="auto"/>
        </w:rPr>
        <w:t>Notice to Beneficial Holders of Common Shares</w:t>
      </w:r>
      <w:r>
        <w:rPr>
          <w:rFonts w:ascii="Times New Roman" w:cs="Times New Roman" w:eastAsia="Times New Roman" w:hAnsi="Times New Roman"/>
          <w:sz w:val="17"/>
          <w:szCs w:val="17"/>
          <w:color w:val="auto"/>
        </w:rPr>
        <w:t>” below.</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Revocation of Proxy</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 Shareholder who has submitted a form of proxy as directed hereunder may revoke it at any time prior to the exercise thereof. If a person who has given a proxy personally attends the Meeting at which that proxy is to be voted, that person may revoke the proxy and vote in person. In addition to the revocation in any other manner permitted by law, a proxy may be revoked by instrument in writing executed by the Shareholder or his attorney or authorized agent and deposited with TSX Trust Company at any time up to 10:00 a.m. (Toronto time) on May 29, 2024: (i) by mail delivery to Suite 301 – 100 Adelaide Street West, Toronto, Ontario M5H 1S3; or (ii) by facsimile to (416) 595-9593, or deposited with the Secretary of the Corporation before the commencement of the Meeting, or any adjournment thereof, and upon either of those deposits, the proxy will be revoked.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Notice to Beneficial Holders of Common Shares</w:t>
      </w:r>
    </w:p>
    <w:p>
      <w:pPr>
        <w:spacing w:after="0" w:line="2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color w:val="auto"/>
        </w:rPr>
        <w:t xml:space="preserve">Only registered Shareholders or proxyholders duly appointed by registered Shareholders are permitted to vote at the Meeting. Most Shareholders of the Corporation are “non-registered” shareholders because the Common Shares they own are not registered in their names but are instead registered in the name of a brokerage firm, bank or other intermediary or in the name of a clearing agency. Shareholders who do not hold their Common Shares in their own name (referred to herein as “Beneficial Shareholders”) should note that only registered Shareholders are entitled to vote at the Meeting. If Common Shares are listed in an account statement provided to a Shareholder by </w:t>
      </w:r>
      <w:r>
        <w:rPr>
          <w:rFonts w:ascii="Times New Roman" w:cs="Times New Roman" w:eastAsia="Times New Roman" w:hAnsi="Times New Roman"/>
          <w:sz w:val="17"/>
          <w:szCs w:val="17"/>
          <w:color w:val="auto"/>
        </w:rPr>
        <w:t>a broker, then in almost all cases those Common Shares will not be registered in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Shareholder’s name on the records of the Corporation. Such Common Shares will more likely be registered under the name of the Shareholder’s broker or an agent of that broker. In Canada, the vast majority of such Common Shares are registered under the name of CDS &amp; Co. (the registration name for CDS Clearing and Depositary Services Inc., which company acts as nominee for many Canadian brokerage firms). In the United States, the majority of such Common Shares are registered in the name of Cede &amp; Co., the nominee for the Depository Corporation Company, which is the United States equivalent of CDS Clearing and Depository Services Inc. Common Shares held by brokers (or their agents or nominees) on behalf of a broker’s client can only be voted (for or against resolutions) at the direction of the Beneficial Shareholder. Without specific instructions, brokers and their agents and nominees are prohibited from voting Common Shares for the brokers’ clients. Therefore, each Beneficial Shareholder should ensure that voting instructions are communicated to the appropriate person well in advance of the Meeting.</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Regulatory policy requires brokers and other intermediaries to seek voting instructions from Beneficial Shareholders in advance of Shareholders’ meetings. The various brokers and other intermediaries have their own mailing procedures and provide their own return instructions to clients, which should be carefully followed by Beneficial Shareholders in order to ensure that their Common Shares are voted at the Meeting. Often the form of proxy supplied to a Beneficial Shareholder by its broker is identical to the form of proxy provided by the Corporation to the registered Shareholders. However, its purpose is limited to instructing the registered Shareholder (i.e. the broker or agent of the broker) how to vote on behalf of the Beneficial Shareholder. The majority of brokers now delegate the responsibility for obtaining instructions from clients to Broadridge Financial Solutions Inc. (“</w:t>
      </w:r>
      <w:r>
        <w:rPr>
          <w:rFonts w:ascii="Times New Roman" w:cs="Times New Roman" w:eastAsia="Times New Roman" w:hAnsi="Times New Roman"/>
          <w:sz w:val="17"/>
          <w:szCs w:val="17"/>
          <w:b w:val="1"/>
          <w:bCs w:val="1"/>
          <w:color w:val="auto"/>
        </w:rPr>
        <w:t>Broadridge</w:t>
      </w:r>
      <w:r>
        <w:rPr>
          <w:rFonts w:ascii="Times New Roman" w:cs="Times New Roman" w:eastAsia="Times New Roman" w:hAnsi="Times New Roman"/>
          <w:sz w:val="17"/>
          <w:szCs w:val="17"/>
          <w:color w:val="auto"/>
        </w:rPr>
        <w:t xml:space="preserve">”). Broadridge typically prepares a machine-readable voting instruction form, mails those forms to the Beneficial Shareholders and asks Beneficial Shareholders to return the forms to Broadridge, or otherwise communicate voting instructions to Broadridge (by way of the internet or telephone, for example). Broadridge then tabulates the results of all instructions received and provides appropriate instructions respecting the voting of Common Shares to be represented at the Meeting. </w:t>
      </w:r>
      <w:r>
        <w:rPr>
          <w:rFonts w:ascii="Times New Roman" w:cs="Times New Roman" w:eastAsia="Times New Roman" w:hAnsi="Times New Roman"/>
          <w:sz w:val="17"/>
          <w:szCs w:val="17"/>
          <w:b w:val="1"/>
          <w:bCs w:val="1"/>
          <w:color w:val="auto"/>
        </w:rPr>
        <w:t>A Beneficial Shareholder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who receives a Broadridge voting instruction form cannot use that form to vote Common Shares directly at the Meeting. The voting instruction form must be returned to Broadridge (or instructions respecting the voting of Common Shares must be communicated to Broadridge well in advance of the Meeting) in order to have the Common Shares voted.</w:t>
      </w:r>
    </w:p>
    <w:p>
      <w:pPr>
        <w:spacing w:after="0" w:line="17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notice-and-Access Notification is being sent to both registered Shareholders and indirectly to Beneficial Shareholders. Beneficial Shareholders fall into two categories – those who object to their identity being known to the issuers of securities which they own (“</w:t>
      </w:r>
      <w:r>
        <w:rPr>
          <w:rFonts w:ascii="Times New Roman" w:cs="Times New Roman" w:eastAsia="Times New Roman" w:hAnsi="Times New Roman"/>
          <w:sz w:val="17"/>
          <w:szCs w:val="17"/>
          <w:b w:val="1"/>
          <w:bCs w:val="1"/>
          <w:color w:val="auto"/>
        </w:rPr>
        <w:t>Objecting Beneficial Owners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OBOs</w:t>
      </w:r>
      <w:r>
        <w:rPr>
          <w:rFonts w:ascii="Times New Roman" w:cs="Times New Roman" w:eastAsia="Times New Roman" w:hAnsi="Times New Roman"/>
          <w:sz w:val="17"/>
          <w:szCs w:val="17"/>
          <w:color w:val="auto"/>
        </w:rPr>
        <w:t>”) and those who do not object to their identity being made known to the issuers of the securities they own (“</w:t>
      </w:r>
      <w:r>
        <w:rPr>
          <w:rFonts w:ascii="Times New Roman" w:cs="Times New Roman" w:eastAsia="Times New Roman" w:hAnsi="Times New Roman"/>
          <w:sz w:val="17"/>
          <w:szCs w:val="17"/>
          <w:b w:val="1"/>
          <w:bCs w:val="1"/>
          <w:color w:val="auto"/>
        </w:rPr>
        <w:t>Non-Objecting Beneficial Owners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NOBOs</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Although Beneficial Shareholders may not be recognized directly at the Meeting for the purposes of voting Common Shares registered in the name of their broker, a Beneficial Shareholder may attend the Meeting as proxyholder for the registered Shareholder and vote the Common Shares in that capacity. </w:t>
      </w:r>
      <w:r>
        <w:rPr>
          <w:rFonts w:ascii="Times New Roman" w:cs="Times New Roman" w:eastAsia="Times New Roman" w:hAnsi="Times New Roman"/>
          <w:sz w:val="17"/>
          <w:szCs w:val="17"/>
          <w:b w:val="1"/>
          <w:bCs w:val="1"/>
          <w:color w:val="auto"/>
        </w:rPr>
        <w:t>Beneficial</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Shareholders who wish to attend the Meeting and indirectly vote their Common Shares as proxyholder for the registered Shareholder should enter their own names in the blank space on the proxy or voting instruction card provided to them and return the same to their broker (or the broker’s agent) in accordance with the instructions provided by such broker.</w:t>
      </w:r>
    </w:p>
    <w:p>
      <w:pPr>
        <w:spacing w:after="0" w:line="17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All references to Shareholders in this Circular, instrument of proxy and Notice of Meeting are to registered shareholders of the Corporation unless specifically stated otherwise.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Common Shares represented by any properly executed proxy in the accompanying form will be voted for or against, or withheld from voting, as the case may be, on any ballot that may be called for in accordance with the instructions given by the Shareholder. </w:t>
      </w:r>
      <w:r>
        <w:rPr>
          <w:rFonts w:ascii="Times New Roman" w:cs="Times New Roman" w:eastAsia="Times New Roman" w:hAnsi="Times New Roman"/>
          <w:sz w:val="17"/>
          <w:szCs w:val="17"/>
          <w:b w:val="1"/>
          <w:bCs w:val="1"/>
          <w:color w:val="auto"/>
        </w:rPr>
        <w:t>In the absence of such direction, such Common Shares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be voted in favour of the matters set out herein.</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accompanying form of proxy confers discretionary authority on the persons named in it with respect to amendments or variations to matters identified in the Notice of Meeting or other matters that may properly come before the Meeting. As of the date hereof, management of the Corporation is not aware of any such amendments, variations or other matters which may come before the Meeting. In the event that other matters come before the Meeting, then the management designees intend to vote in accordance with the judgment of management of the Corporation.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INTEREST OF CERTAIN PERSONS IN MATTERS TO BE ACTED UPON</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No person who has been a director or an executive officer of the Corporation at any time since the beginning of its last completed financial year, no proposed nominee for election as a director of the Corporation nor any associate of any such director, director nominee or officer has any material interest, direct or indirect, by way of beneficial ownership of securities or otherwise, in any matter to be acted upon at the Meeting, except as disclosed in this Circular.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VOTING SHARES AND PRINCIPAL HOLDERS THEREOF</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authorized share capital of the Corporation consists of an unlimited number of Common Shares without par value and an unlimited number of Class A Preferred Shares without par value. The Corporation’s Common Shares are listed on the TSX and on the Nasdaq Stock Market under the symbol “BITF”.</w:t>
      </w:r>
    </w:p>
    <w:p>
      <w:pPr>
        <w:spacing w:after="0" w:line="147"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As at April 16, 2024, there are 375,693,875 Common Shares issued and outstanding and nil Class A Preferred Shares outstanding. Each Common Share entitles the holder thereof to one vote on all matters to be acted upon at the Meeting.</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Corporation has fixed the close of business on April 16, 2024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as the record date. Shareholders whose names have been entered in the register of Shareholders at the close of business on the Record Date will be entitled to receive notice of, and to vote, at the Meeting or any adjournments or postponements thereof. Persons registered on the books of the Corporation at the close of business on the Record Date and persons who are transferees of any Common Shares acquired after such Record Date and who have produced properly endorsed certificates evidencing such Common Shares or who otherwise establish ownership thereof and demand, not later than ten (10) days before the Meeting, that their names be included in the list of Shareholders, are entitled to vote at the Meeting.</w:t>
      </w:r>
    </w:p>
    <w:p>
      <w:pPr>
        <w:spacing w:after="0" w:line="17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To the knowledge of the directors and officers of the Corporation, as at the date of this Circular, no person or corporation beneficially owns, directly or indirectly, or exercises control or direction over, 10% or more of the Common Shares.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PARTICULARS OF MATTERS TO BE ACTED UPON</w:t>
      </w:r>
    </w:p>
    <w:p>
      <w:pPr>
        <w:spacing w:after="0" w:line="2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To the knowledge of the board of directors of the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the only matters to be brought before the Meeting are those matters set forth in the accompanying Notice of Meeting.</w:t>
      </w:r>
    </w:p>
    <w:p>
      <w:pPr>
        <w:spacing w:after="0" w:line="144" w:lineRule="exact"/>
        <w:rPr>
          <w:sz w:val="20"/>
          <w:szCs w:val="20"/>
          <w:color w:val="auto"/>
        </w:rPr>
      </w:pPr>
    </w:p>
    <w:p>
      <w:pPr>
        <w:ind w:left="320" w:hanging="317"/>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Receipt of Financial Statements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financial statements of the Corporation for the fiscal years ended December 31, 2023 and December 31, 2022 and the report of the auditors thereon, will be submitted to the Meeting. Receipt at the Meeting of the auditor’s report and the Corporation’s audited financial statements for the fiscal years ended December 31, 2023 and December 31, 2022 will not constitute approval or disapproval of any matters referred to therein.</w:t>
      </w:r>
    </w:p>
    <w:p>
      <w:pPr>
        <w:spacing w:after="0" w:line="161" w:lineRule="exact"/>
        <w:rPr>
          <w:sz w:val="20"/>
          <w:szCs w:val="20"/>
          <w:color w:val="auto"/>
        </w:rPr>
      </w:pPr>
    </w:p>
    <w:p>
      <w:pPr>
        <w:ind w:left="320" w:hanging="317"/>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Election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Corporation’s articles provide that the Board will consist of a minimum of one (1) and a maximum of ten (10) directors. The Board currently consists of six</w:t>
      </w:r>
    </w:p>
    <w:p>
      <w:pPr>
        <w:spacing w:after="0" w:line="30" w:lineRule="exact"/>
        <w:rPr>
          <w:sz w:val="20"/>
          <w:szCs w:val="20"/>
          <w:color w:val="auto"/>
        </w:rPr>
      </w:pPr>
    </w:p>
    <w:p>
      <w:pPr>
        <w:jc w:val="both"/>
        <w:ind w:firstLine="3"/>
        <w:spacing w:after="0" w:line="258" w:lineRule="auto"/>
        <w:tabs>
          <w:tab w:leader="none" w:pos="2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At the Meeting, Shareholders will be asked to consider, and, if thought fit, approve with or without variation a resolution electing five (5) persons named below: Nicolas Bonta, Andres Finkielsztain, Emiliano Grodzki, Edith Hofmeister and Brian Howlett. All nominated directors have each previously been elected as a director of the Corporation at a shareholders’ meeting for which a circular was issued. Due to an executive transition following which Geoffrey Morphy will be departing as Chief Executive Officer of the Corporation, the Board will not nominate Mr. Morphy for re-election.</w:t>
      </w:r>
    </w:p>
    <w:p>
      <w:pPr>
        <w:spacing w:after="0" w:line="17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 xml:space="preserve">It is intended that each of the directors will hold office until the next annual meeting of Shareholders or until his or her successor is elected or appointed, unless such office is earlier vacated in accordance with the provisions of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 (the “</w:t>
      </w:r>
      <w:r>
        <w:rPr>
          <w:rFonts w:ascii="Times New Roman" w:cs="Times New Roman" w:eastAsia="Times New Roman" w:hAnsi="Times New Roman"/>
          <w:sz w:val="17"/>
          <w:szCs w:val="17"/>
          <w:b w:val="1"/>
          <w:bCs w:val="1"/>
          <w:color w:val="auto"/>
        </w:rPr>
        <w:t>OBCA</w:t>
      </w:r>
      <w:r>
        <w:rPr>
          <w:rFonts w:ascii="Times New Roman" w:cs="Times New Roman" w:eastAsia="Times New Roman" w:hAnsi="Times New Roman"/>
          <w:sz w:val="17"/>
          <w:szCs w:val="17"/>
          <w:color w:val="auto"/>
        </w:rPr>
        <w: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0" w:name="page11"/>
    <w:bookmarkEnd w:id="10"/>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Shareholders have the option to (i) vote for all of the directors of the Corporation listed in the table below; (ii) vote for some of the directors and withhold for others; or (iii) withhold for all of the directors. </w:t>
      </w:r>
      <w:r>
        <w:rPr>
          <w:rFonts w:ascii="Times New Roman" w:cs="Times New Roman" w:eastAsia="Times New Roman" w:hAnsi="Times New Roman"/>
          <w:sz w:val="17"/>
          <w:szCs w:val="17"/>
          <w:b w:val="1"/>
          <w:bCs w:val="1"/>
          <w:color w:val="auto"/>
        </w:rPr>
        <w:t>Unless otherwise instructed, proxies and voting instructions given pursuant to this solicitation by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management of the Corporation will be voted FOR the election of each of the proposed nominees set forth in the table below.</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Management has no reason to believe that any of the nominees will be unable to serve as a director. However, if any proposed nominee is unable to serve as a director, the individuals named in the enclosed form of proxy will be voted in favour of the remaining nominees, and may be voted in favour of a substitute nominee unless the Shareholder has specified in the proxy that the Common Shares represented thereby are to be withheld from voting in respect of the election of directors.</w:t>
      </w:r>
    </w:p>
    <w:p>
      <w:pPr>
        <w:spacing w:after="0" w:line="37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table states the name of each person nominated by management for election as directors, such person’s principal occupation or employment, period of service as a director of the Corporation, and the approximate number of voting securities of the Corporation that such person beneficially owns, or over which such person exercises direction or control:</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400" w:type="dxa"/>
            <w:vAlign w:val="bottom"/>
            <w:tcBorders>
              <w:top w:val="single" w:sz="8" w:color="auto"/>
              <w:left w:val="single" w:sz="8" w:color="auto"/>
            </w:tcBorders>
          </w:tcPr>
          <w:p>
            <w:pPr>
              <w:spacing w:after="0"/>
              <w:rPr>
                <w:sz w:val="24"/>
                <w:szCs w:val="24"/>
                <w:color w:val="auto"/>
              </w:rPr>
            </w:pPr>
          </w:p>
        </w:tc>
        <w:tc>
          <w:tcPr>
            <w:tcW w:w="166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Name, and</w:t>
            </w:r>
          </w:p>
        </w:tc>
        <w:tc>
          <w:tcPr>
            <w:tcW w:w="6620" w:type="dxa"/>
            <w:vAlign w:val="bottom"/>
            <w:tcBorders>
              <w:top w:val="single" w:sz="8" w:color="auto"/>
              <w:right w:val="single" w:sz="8" w:color="auto"/>
            </w:tcBorders>
          </w:tcPr>
          <w:p>
            <w:pPr>
              <w:spacing w:after="0"/>
              <w:rPr>
                <w:sz w:val="24"/>
                <w:szCs w:val="24"/>
                <w:color w:val="auto"/>
              </w:rPr>
            </w:pPr>
          </w:p>
        </w:tc>
        <w:tc>
          <w:tcPr>
            <w:tcW w:w="1120" w:type="dxa"/>
            <w:vAlign w:val="bottom"/>
            <w:tcBorders>
              <w:top w:val="single" w:sz="8" w:color="auto"/>
              <w:righ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0" w:type="dxa"/>
            <w:vAlign w:val="bottom"/>
          </w:tcPr>
          <w:p>
            <w:pPr>
              <w:spacing w:after="0"/>
              <w:rPr>
                <w:sz w:val="1"/>
                <w:szCs w:val="1"/>
                <w:color w:val="auto"/>
              </w:rPr>
            </w:pPr>
          </w:p>
        </w:tc>
      </w:tr>
      <w:tr>
        <w:trPr>
          <w:trHeight w:val="207"/>
        </w:trPr>
        <w:tc>
          <w:tcPr>
            <w:tcW w:w="400" w:type="dxa"/>
            <w:vAlign w:val="bottom"/>
            <w:tcBorders>
              <w:left w:val="single" w:sz="8" w:color="auto"/>
            </w:tcBorders>
          </w:tcPr>
          <w:p>
            <w:pPr>
              <w:spacing w:after="0"/>
              <w:rPr>
                <w:sz w:val="17"/>
                <w:szCs w:val="17"/>
                <w:color w:val="auto"/>
              </w:rPr>
            </w:pPr>
          </w:p>
        </w:tc>
        <w:tc>
          <w:tcPr>
            <w:tcW w:w="16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Province and</w:t>
            </w:r>
          </w:p>
        </w:tc>
        <w:tc>
          <w:tcPr>
            <w:tcW w:w="6620" w:type="dxa"/>
            <w:vAlign w:val="bottom"/>
            <w:tcBorders>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7"/>
                <w:szCs w:val="17"/>
                <w:b w:val="1"/>
                <w:bCs w:val="1"/>
                <w:color w:val="auto"/>
              </w:rPr>
              <w:t>Principal Occupation During the Last Five Years</w:t>
            </w:r>
            <w:r>
              <w:rPr>
                <w:rFonts w:ascii="Times New Roman" w:cs="Times New Roman" w:eastAsia="Times New Roman" w:hAnsi="Times New Roman"/>
                <w:sz w:val="28"/>
                <w:szCs w:val="28"/>
                <w:b w:val="1"/>
                <w:bCs w:val="1"/>
                <w:color w:val="auto"/>
                <w:vertAlign w:val="superscript"/>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Director</w:t>
            </w: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0" w:type="dxa"/>
            <w:vAlign w:val="bottom"/>
          </w:tcPr>
          <w:p>
            <w:pPr>
              <w:spacing w:after="0"/>
              <w:rPr>
                <w:sz w:val="1"/>
                <w:szCs w:val="1"/>
                <w:color w:val="auto"/>
              </w:rPr>
            </w:pPr>
          </w:p>
        </w:tc>
      </w:tr>
      <w:tr>
        <w:trPr>
          <w:trHeight w:val="189"/>
        </w:trPr>
        <w:tc>
          <w:tcPr>
            <w:tcW w:w="400" w:type="dxa"/>
            <w:vAlign w:val="bottom"/>
            <w:tcBorders>
              <w:left w:val="single" w:sz="8" w:color="auto"/>
            </w:tcBorders>
          </w:tcPr>
          <w:p>
            <w:pPr>
              <w:spacing w:after="0"/>
              <w:rPr>
                <w:sz w:val="16"/>
                <w:szCs w:val="16"/>
                <w:color w:val="auto"/>
              </w:rPr>
            </w:pPr>
          </w:p>
        </w:tc>
        <w:tc>
          <w:tcPr>
            <w:tcW w:w="166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7"/>
                <w:szCs w:val="17"/>
                <w:b w:val="1"/>
                <w:bCs w:val="1"/>
                <w:color w:val="auto"/>
              </w:rPr>
              <w:t>Country of</w:t>
            </w:r>
          </w:p>
        </w:tc>
        <w:tc>
          <w:tcPr>
            <w:tcW w:w="662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Since</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Owned or</w:t>
            </w:r>
          </w:p>
        </w:tc>
        <w:tc>
          <w:tcPr>
            <w:tcW w:w="0" w:type="dxa"/>
            <w:vAlign w:val="bottom"/>
          </w:tcPr>
          <w:p>
            <w:pPr>
              <w:spacing w:after="0"/>
              <w:rPr>
                <w:sz w:val="1"/>
                <w:szCs w:val="1"/>
                <w:color w:val="auto"/>
              </w:rPr>
            </w:pPr>
          </w:p>
        </w:tc>
      </w:tr>
      <w:tr>
        <w:trPr>
          <w:trHeight w:val="22"/>
        </w:trPr>
        <w:tc>
          <w:tcPr>
            <w:tcW w:w="400" w:type="dxa"/>
            <w:vAlign w:val="bottom"/>
            <w:tcBorders>
              <w:left w:val="single" w:sz="8" w:color="auto"/>
            </w:tcBorders>
          </w:tcPr>
          <w:p>
            <w:pPr>
              <w:spacing w:after="0" w:line="20" w:lineRule="exact"/>
              <w:rPr>
                <w:sz w:val="1"/>
                <w:szCs w:val="1"/>
                <w:color w:val="auto"/>
              </w:rPr>
            </w:pPr>
          </w:p>
        </w:tc>
        <w:tc>
          <w:tcPr>
            <w:tcW w:w="1660" w:type="dxa"/>
            <w:vAlign w:val="bottom"/>
            <w:tcBorders>
              <w:right w:val="single" w:sz="8" w:color="auto"/>
            </w:tcBorders>
            <w:vMerge w:val="continue"/>
          </w:tcPr>
          <w:p>
            <w:pPr>
              <w:spacing w:after="0" w:line="20" w:lineRule="exact"/>
              <w:rPr>
                <w:sz w:val="1"/>
                <w:szCs w:val="1"/>
                <w:color w:val="auto"/>
              </w:rPr>
            </w:pPr>
          </w:p>
        </w:tc>
        <w:tc>
          <w:tcPr>
            <w:tcW w:w="6620" w:type="dxa"/>
            <w:vAlign w:val="bottom"/>
            <w:tcBorders>
              <w:right w:val="single" w:sz="8" w:color="auto"/>
            </w:tcBorders>
          </w:tcPr>
          <w:p>
            <w:pPr>
              <w:spacing w:after="0" w:line="20" w:lineRule="exact"/>
              <w:rPr>
                <w:sz w:val="1"/>
                <w:szCs w:val="1"/>
                <w:color w:val="auto"/>
              </w:rPr>
            </w:pPr>
          </w:p>
        </w:tc>
        <w:tc>
          <w:tcPr>
            <w:tcW w:w="1120" w:type="dxa"/>
            <w:vAlign w:val="bottom"/>
            <w:tcBorders>
              <w:right w:val="single" w:sz="8" w:color="auto"/>
            </w:tcBorders>
            <w:vMerge w:val="continue"/>
          </w:tcPr>
          <w:p>
            <w:pPr>
              <w:spacing w:after="0" w:line="20" w:lineRule="exact"/>
              <w:rPr>
                <w:sz w:val="1"/>
                <w:szCs w:val="1"/>
                <w:color w:val="auto"/>
              </w:rPr>
            </w:pPr>
          </w:p>
        </w:tc>
        <w:tc>
          <w:tcPr>
            <w:tcW w:w="14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400" w:type="dxa"/>
            <w:vAlign w:val="bottom"/>
            <w:tcBorders>
              <w:left w:val="single" w:sz="8" w:color="auto"/>
              <w:bottom w:val="single" w:sz="8" w:color="auto"/>
            </w:tcBorders>
          </w:tcPr>
          <w:p>
            <w:pPr>
              <w:spacing w:after="0"/>
              <w:rPr>
                <w:sz w:val="23"/>
                <w:szCs w:val="23"/>
                <w:color w:val="auto"/>
              </w:rPr>
            </w:pPr>
          </w:p>
        </w:tc>
        <w:tc>
          <w:tcPr>
            <w:tcW w:w="166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Residence</w:t>
            </w:r>
          </w:p>
        </w:tc>
        <w:tc>
          <w:tcPr>
            <w:tcW w:w="6620" w:type="dxa"/>
            <w:vAlign w:val="bottom"/>
            <w:tcBorders>
              <w:bottom w:val="single" w:sz="8" w:color="auto"/>
              <w:right w:val="single" w:sz="8" w:color="auto"/>
            </w:tcBorders>
          </w:tcPr>
          <w:p>
            <w:pPr>
              <w:spacing w:after="0"/>
              <w:rPr>
                <w:sz w:val="23"/>
                <w:szCs w:val="23"/>
                <w:color w:val="auto"/>
              </w:rPr>
            </w:pPr>
          </w:p>
        </w:tc>
        <w:tc>
          <w:tcPr>
            <w:tcW w:w="1120" w:type="dxa"/>
            <w:vAlign w:val="bottom"/>
            <w:tcBorders>
              <w:bottom w:val="single" w:sz="8" w:color="auto"/>
              <w:right w:val="single" w:sz="8" w:color="auto"/>
            </w:tcBorders>
          </w:tcPr>
          <w:p>
            <w:pPr>
              <w:spacing w:after="0"/>
              <w:rPr>
                <w:sz w:val="23"/>
                <w:szCs w:val="23"/>
                <w:color w:val="auto"/>
              </w:rPr>
            </w:pPr>
          </w:p>
        </w:tc>
        <w:tc>
          <w:tcPr>
            <w:tcW w:w="1440" w:type="dxa"/>
            <w:vAlign w:val="bottom"/>
            <w:tcBorders>
              <w:bottom w:val="single" w:sz="8" w:color="auto"/>
              <w:right w:val="single" w:sz="8" w:color="auto"/>
            </w:tcBorders>
          </w:tcPr>
          <w:p>
            <w:pPr>
              <w:jc w:val="center"/>
              <w:spacing w:after="0" w:line="262" w:lineRule="exact"/>
              <w:rPr>
                <w:sz w:val="20"/>
                <w:szCs w:val="20"/>
                <w:color w:val="auto"/>
              </w:rPr>
            </w:pPr>
            <w:r>
              <w:rPr>
                <w:rFonts w:ascii="Times New Roman" w:cs="Times New Roman" w:eastAsia="Times New Roman" w:hAnsi="Times New Roman"/>
                <w:sz w:val="17"/>
                <w:szCs w:val="17"/>
                <w:b w:val="1"/>
                <w:bCs w:val="1"/>
                <w:color w:val="auto"/>
                <w:w w:val="95"/>
              </w:rPr>
              <w:t>Controlled</w:t>
            </w:r>
            <w:r>
              <w:rPr>
                <w:rFonts w:ascii="Times New Roman" w:cs="Times New Roman" w:eastAsia="Times New Roman" w:hAnsi="Times New Roman"/>
                <w:sz w:val="28"/>
                <w:szCs w:val="28"/>
                <w:b w:val="1"/>
                <w:bCs w:val="1"/>
                <w:color w:val="auto"/>
                <w:w w:val="95"/>
                <w:vertAlign w:val="superscript"/>
              </w:rPr>
              <w:t>(1)</w:t>
            </w:r>
          </w:p>
        </w:tc>
        <w:tc>
          <w:tcPr>
            <w:tcW w:w="0" w:type="dxa"/>
            <w:vAlign w:val="bottom"/>
          </w:tcPr>
          <w:p>
            <w:pPr>
              <w:spacing w:after="0"/>
              <w:rPr>
                <w:sz w:val="1"/>
                <w:szCs w:val="1"/>
                <w:color w:val="auto"/>
              </w:rPr>
            </w:pPr>
          </w:p>
        </w:tc>
      </w:tr>
      <w:tr>
        <w:trPr>
          <w:trHeight w:val="238"/>
        </w:trPr>
        <w:tc>
          <w:tcPr>
            <w:tcW w:w="20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Nicolas Bonta</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Chairman of the Board and Founder of the Corporation (2018 – present); Executive Chairman</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11,</w:t>
            </w: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5"/>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Buenos Aires,</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of the Corporation (2020-2022); Founder and Chief Executive Officer of Own Hotels (2006 –</w:t>
            </w:r>
          </w:p>
        </w:tc>
        <w:tc>
          <w:tcPr>
            <w:tcW w:w="1120" w:type="dxa"/>
            <w:vAlign w:val="bottom"/>
            <w:tcBorders>
              <w:right w:val="single" w:sz="8" w:color="auto"/>
            </w:tcBorders>
            <w:vMerge w:val="continue"/>
          </w:tcPr>
          <w:p>
            <w:pPr>
              <w:spacing w:after="0"/>
              <w:rPr>
                <w:sz w:val="9"/>
                <w:szCs w:val="9"/>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8,625,452</w:t>
            </w:r>
          </w:p>
        </w:tc>
        <w:tc>
          <w:tcPr>
            <w:tcW w:w="0" w:type="dxa"/>
            <w:vAlign w:val="bottom"/>
          </w:tcPr>
          <w:p>
            <w:pPr>
              <w:spacing w:after="0"/>
              <w:rPr>
                <w:sz w:val="1"/>
                <w:szCs w:val="1"/>
                <w:color w:val="auto"/>
              </w:rPr>
            </w:pPr>
          </w:p>
        </w:tc>
      </w:tr>
      <w:tr>
        <w:trPr>
          <w:trHeight w:val="101"/>
        </w:trPr>
        <w:tc>
          <w:tcPr>
            <w:tcW w:w="2060" w:type="dxa"/>
            <w:vAlign w:val="bottom"/>
            <w:tcBorders>
              <w:left w:val="single" w:sz="8" w:color="auto"/>
              <w:right w:val="single" w:sz="8" w:color="auto"/>
            </w:tcBorders>
            <w:gridSpan w:val="2"/>
            <w:vMerge w:val="continue"/>
          </w:tcPr>
          <w:p>
            <w:pPr>
              <w:spacing w:after="0"/>
              <w:rPr>
                <w:sz w:val="8"/>
                <w:szCs w:val="8"/>
                <w:color w:val="auto"/>
              </w:rPr>
            </w:pPr>
          </w:p>
        </w:tc>
        <w:tc>
          <w:tcPr>
            <w:tcW w:w="66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Argentina</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Present).</w:t>
            </w:r>
          </w:p>
        </w:tc>
        <w:tc>
          <w:tcPr>
            <w:tcW w:w="11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60" w:type="dxa"/>
            <w:vAlign w:val="bottom"/>
            <w:tcBorders>
              <w:left w:val="single" w:sz="8" w:color="auto"/>
              <w:right w:val="single" w:sz="8" w:color="auto"/>
            </w:tcBorders>
            <w:gridSpan w:val="2"/>
            <w:vMerge w:val="continue"/>
          </w:tcPr>
          <w:p>
            <w:pPr>
              <w:spacing w:after="0"/>
              <w:rPr>
                <w:sz w:val="8"/>
                <w:szCs w:val="8"/>
                <w:color w:val="auto"/>
              </w:rPr>
            </w:pPr>
          </w:p>
        </w:tc>
        <w:tc>
          <w:tcPr>
            <w:tcW w:w="66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66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Andres</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Independent Director of the Corporation (2020 – present); Founding managing partner of</w:t>
            </w:r>
          </w:p>
        </w:tc>
        <w:tc>
          <w:tcPr>
            <w:tcW w:w="112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ind w:left="80"/>
              <w:spacing w:after="0" w:line="216" w:lineRule="exact"/>
              <w:rPr>
                <w:sz w:val="20"/>
                <w:szCs w:val="20"/>
                <w:color w:val="auto"/>
              </w:rPr>
            </w:pPr>
            <w:r>
              <w:rPr>
                <w:rFonts w:ascii="Times New Roman" w:cs="Times New Roman" w:eastAsia="Times New Roman" w:hAnsi="Times New Roman"/>
                <w:sz w:val="16"/>
                <w:szCs w:val="16"/>
                <w:color w:val="auto"/>
              </w:rPr>
              <w:t>Finkielsztain</w:t>
            </w:r>
            <w:r>
              <w:rPr>
                <w:rFonts w:ascii="Times New Roman" w:cs="Times New Roman" w:eastAsia="Times New Roman" w:hAnsi="Times New Roman"/>
                <w:sz w:val="25"/>
                <w:szCs w:val="25"/>
                <w:color w:val="auto"/>
                <w:vertAlign w:val="superscript"/>
              </w:rPr>
              <w:t>(2)(3)(4)</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FINK LLC (2011 – present); Managing member of Finkwald LLC (2017 – present); Director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31,</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8"/>
              </w:rPr>
              <w:t>50,000</w:t>
            </w: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Buenos Aires,</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of Goldmoney Inc. (TSX: XAU) (2018 – present); and Director of Mene Inc. (TSXV:MENE)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4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auto"/>
            </w:tcBorders>
            <w:gridSpan w:val="2"/>
            <w:vMerge w:val="continue"/>
          </w:tcPr>
          <w:p>
            <w:pPr>
              <w:spacing w:after="0"/>
              <w:rPr>
                <w:sz w:val="7"/>
                <w:szCs w:val="7"/>
                <w:color w:val="auto"/>
              </w:rPr>
            </w:pPr>
          </w:p>
        </w:tc>
        <w:tc>
          <w:tcPr>
            <w:tcW w:w="66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i w:val="1"/>
                <w:iCs w:val="1"/>
                <w:color w:val="auto"/>
              </w:rPr>
              <w:t>Argentina</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(2022 – present).</w:t>
            </w:r>
          </w:p>
        </w:tc>
        <w:tc>
          <w:tcPr>
            <w:tcW w:w="112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66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60" w:type="dxa"/>
            <w:vAlign w:val="bottom"/>
            <w:tcBorders>
              <w:left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color w:val="auto"/>
              </w:rPr>
              <w:t>Emiliano Joel</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Founder and Director of the Corporation (2018 – present); CEO of the Corporation (2020–</w:t>
            </w:r>
          </w:p>
        </w:tc>
        <w:tc>
          <w:tcPr>
            <w:tcW w:w="1120" w:type="dxa"/>
            <w:vAlign w:val="bottom"/>
            <w:tcBorders>
              <w:right w:val="single" w:sz="8" w:color="auto"/>
            </w:tcBorders>
          </w:tcPr>
          <w:p>
            <w:pPr>
              <w:spacing w:after="0"/>
              <w:rPr>
                <w:sz w:val="21"/>
                <w:szCs w:val="21"/>
                <w:color w:val="auto"/>
              </w:rPr>
            </w:pPr>
          </w:p>
        </w:tc>
        <w:tc>
          <w:tcPr>
            <w:tcW w:w="14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3"/>
        </w:trPr>
        <w:tc>
          <w:tcPr>
            <w:tcW w:w="2060" w:type="dxa"/>
            <w:vAlign w:val="bottom"/>
            <w:tcBorders>
              <w:left w:val="single" w:sz="8" w:color="auto"/>
              <w:right w:val="single" w:sz="8" w:color="auto"/>
            </w:tcBorders>
            <w:gridSpan w:val="2"/>
            <w:vMerge w:val="restart"/>
          </w:tcPr>
          <w:p>
            <w:pPr>
              <w:ind w:left="80"/>
              <w:spacing w:after="0" w:line="216" w:lineRule="exact"/>
              <w:rPr>
                <w:sz w:val="20"/>
                <w:szCs w:val="20"/>
                <w:color w:val="auto"/>
              </w:rPr>
            </w:pPr>
            <w:r>
              <w:rPr>
                <w:rFonts w:ascii="Times New Roman" w:cs="Times New Roman" w:eastAsia="Times New Roman" w:hAnsi="Times New Roman"/>
                <w:sz w:val="25"/>
                <w:szCs w:val="25"/>
                <w:color w:val="auto"/>
                <w:vertAlign w:val="subscript"/>
              </w:rPr>
              <w:t>Grodzki</w:t>
            </w:r>
            <w:r>
              <w:rPr>
                <w:rFonts w:ascii="Times New Roman" w:cs="Times New Roman" w:eastAsia="Times New Roman" w:hAnsi="Times New Roman"/>
                <w:sz w:val="12"/>
                <w:szCs w:val="12"/>
                <w:color w:val="auto"/>
              </w:rPr>
              <w:t>(3)(4)(5)</w:t>
            </w:r>
          </w:p>
        </w:tc>
        <w:tc>
          <w:tcPr>
            <w:tcW w:w="662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October 11,</w:t>
            </w:r>
          </w:p>
        </w:tc>
        <w:tc>
          <w:tcPr>
            <w:tcW w:w="1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60" w:type="dxa"/>
            <w:vAlign w:val="bottom"/>
            <w:tcBorders>
              <w:left w:val="single" w:sz="8" w:color="auto"/>
              <w:right w:val="single" w:sz="8" w:color="auto"/>
            </w:tcBorders>
            <w:gridSpan w:val="2"/>
            <w:vMerge w:val="continue"/>
          </w:tcPr>
          <w:p>
            <w:pPr>
              <w:spacing w:after="0"/>
              <w:rPr>
                <w:sz w:val="8"/>
                <w:szCs w:val="8"/>
                <w:color w:val="auto"/>
              </w:rPr>
            </w:pP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2022); Consultant in the cryptocurrency sector; Founder and Director of cripto247 (2018 –</w:t>
            </w:r>
          </w:p>
        </w:tc>
        <w:tc>
          <w:tcPr>
            <w:tcW w:w="112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Buenos Aires,</w:t>
            </w:r>
          </w:p>
        </w:tc>
        <w:tc>
          <w:tcPr>
            <w:tcW w:w="66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2018</w:t>
            </w: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6,698,443</w:t>
            </w:r>
          </w:p>
        </w:tc>
        <w:tc>
          <w:tcPr>
            <w:tcW w:w="0" w:type="dxa"/>
            <w:vAlign w:val="bottom"/>
          </w:tcPr>
          <w:p>
            <w:pPr>
              <w:spacing w:after="0"/>
              <w:rPr>
                <w:sz w:val="1"/>
                <w:szCs w:val="1"/>
                <w:color w:val="auto"/>
              </w:rPr>
            </w:pPr>
          </w:p>
        </w:tc>
      </w:tr>
      <w:tr>
        <w:trPr>
          <w:trHeight w:val="127"/>
        </w:trPr>
        <w:tc>
          <w:tcPr>
            <w:tcW w:w="2060" w:type="dxa"/>
            <w:vAlign w:val="bottom"/>
            <w:tcBorders>
              <w:left w:val="single" w:sz="8" w:color="auto"/>
              <w:right w:val="single" w:sz="8" w:color="auto"/>
            </w:tcBorders>
            <w:gridSpan w:val="2"/>
            <w:vMerge w:val="continue"/>
          </w:tcPr>
          <w:p>
            <w:pPr>
              <w:spacing w:after="0"/>
              <w:rPr>
                <w:sz w:val="11"/>
                <w:szCs w:val="11"/>
                <w:color w:val="auto"/>
              </w:rPr>
            </w:pP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present); Founder and Commercial Director of My Urban Foods (2012 –2015).</w:t>
            </w:r>
          </w:p>
        </w:tc>
        <w:tc>
          <w:tcPr>
            <w:tcW w:w="1120" w:type="dxa"/>
            <w:vAlign w:val="bottom"/>
            <w:tcBorders>
              <w:right w:val="single" w:sz="8" w:color="auto"/>
            </w:tcBorders>
            <w:vMerge w:val="continue"/>
          </w:tcPr>
          <w:p>
            <w:pPr>
              <w:spacing w:after="0"/>
              <w:rPr>
                <w:sz w:val="11"/>
                <w:szCs w:val="11"/>
                <w:color w:val="auto"/>
              </w:rPr>
            </w:pPr>
          </w:p>
        </w:tc>
        <w:tc>
          <w:tcPr>
            <w:tcW w:w="144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Argentina</w:t>
            </w:r>
          </w:p>
        </w:tc>
        <w:tc>
          <w:tcPr>
            <w:tcW w:w="66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4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60" w:type="dxa"/>
            <w:vAlign w:val="bottom"/>
            <w:tcBorders>
              <w:left w:val="single" w:sz="8" w:color="auto"/>
              <w:right w:val="single" w:sz="8" w:color="auto"/>
            </w:tcBorders>
            <w:gridSpan w:val="2"/>
            <w:vMerge w:val="continue"/>
          </w:tcPr>
          <w:p>
            <w:pPr>
              <w:spacing w:after="0"/>
              <w:rPr>
                <w:sz w:val="11"/>
                <w:szCs w:val="11"/>
                <w:color w:val="auto"/>
              </w:rPr>
            </w:pPr>
          </w:p>
        </w:tc>
        <w:tc>
          <w:tcPr>
            <w:tcW w:w="662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14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66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 xml:space="preserve">Edith M. Hofmeister </w:t>
            </w:r>
            <w:r>
              <w:rPr>
                <w:rFonts w:ascii="Times New Roman" w:cs="Times New Roman" w:eastAsia="Times New Roman" w:hAnsi="Times New Roman"/>
                <w:sz w:val="28"/>
                <w:szCs w:val="28"/>
                <w:color w:val="auto"/>
                <w:vertAlign w:val="superscript"/>
              </w:rPr>
              <w:t>(2) (4)</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Independent Director of the Corporation (2022 – present); Director of STLLR Gold Inc.</w:t>
            </w:r>
          </w:p>
        </w:tc>
        <w:tc>
          <w:tcPr>
            <w:tcW w:w="11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2060" w:type="dxa"/>
            <w:vAlign w:val="bottom"/>
            <w:tcBorders>
              <w:left w:val="single" w:sz="8" w:color="auto"/>
              <w:right w:val="single" w:sz="8" w:color="auto"/>
            </w:tcBorders>
            <w:gridSpan w:val="2"/>
            <w:vMerge w:val="continue"/>
          </w:tcPr>
          <w:p>
            <w:pPr>
              <w:spacing w:after="0"/>
              <w:rPr>
                <w:sz w:val="17"/>
                <w:szCs w:val="17"/>
                <w:color w:val="auto"/>
              </w:rPr>
            </w:pP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(2024-present); Director of Osisko Gold Royalties (2022 – present); Director of Prime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November</w:t>
            </w:r>
          </w:p>
        </w:tc>
        <w:tc>
          <w:tcPr>
            <w:tcW w:w="14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400" w:type="dxa"/>
            <w:vAlign w:val="bottom"/>
            <w:tcBorders>
              <w:lef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color w:val="auto"/>
              </w:rPr>
              <w:t>(5)</w:t>
            </w:r>
          </w:p>
        </w:tc>
        <w:tc>
          <w:tcPr>
            <w:tcW w:w="1660" w:type="dxa"/>
            <w:vAlign w:val="bottom"/>
            <w:tcBorders>
              <w:right w:val="single" w:sz="8" w:color="auto"/>
            </w:tcBorders>
          </w:tcPr>
          <w:p>
            <w:pPr>
              <w:spacing w:after="0"/>
              <w:rPr>
                <w:sz w:val="8"/>
                <w:szCs w:val="8"/>
                <w:color w:val="auto"/>
              </w:rPr>
            </w:pP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Mining Corp. (2021 – present); Director of Nighthawk Gold Corp. (2022 – 2024); Director of</w:t>
            </w:r>
          </w:p>
        </w:tc>
        <w:tc>
          <w:tcPr>
            <w:tcW w:w="1120" w:type="dxa"/>
            <w:vAlign w:val="bottom"/>
            <w:tcBorders>
              <w:right w:val="single" w:sz="8" w:color="auto"/>
            </w:tcBorders>
            <w:vMerge w:val="continue"/>
          </w:tcPr>
          <w:p>
            <w:pPr>
              <w:spacing w:after="0"/>
              <w:rPr>
                <w:sz w:val="8"/>
                <w:szCs w:val="8"/>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103"/>
        </w:trPr>
        <w:tc>
          <w:tcPr>
            <w:tcW w:w="400" w:type="dxa"/>
            <w:vAlign w:val="bottom"/>
            <w:tcBorders>
              <w:left w:val="single" w:sz="8" w:color="auto"/>
            </w:tcBorders>
            <w:vMerge w:val="continue"/>
          </w:tcPr>
          <w:p>
            <w:pPr>
              <w:spacing w:after="0"/>
              <w:rPr>
                <w:sz w:val="8"/>
                <w:szCs w:val="8"/>
                <w:color w:val="auto"/>
              </w:rPr>
            </w:pPr>
          </w:p>
        </w:tc>
        <w:tc>
          <w:tcPr>
            <w:tcW w:w="1660" w:type="dxa"/>
            <w:vAlign w:val="bottom"/>
            <w:tcBorders>
              <w:right w:val="single" w:sz="8" w:color="auto"/>
            </w:tcBorders>
          </w:tcPr>
          <w:p>
            <w:pPr>
              <w:spacing w:after="0"/>
              <w:rPr>
                <w:sz w:val="8"/>
                <w:szCs w:val="8"/>
                <w:color w:val="auto"/>
              </w:rPr>
            </w:pPr>
          </w:p>
        </w:tc>
        <w:tc>
          <w:tcPr>
            <w:tcW w:w="66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16, 2022</w:t>
            </w:r>
          </w:p>
        </w:tc>
        <w:tc>
          <w:tcPr>
            <w:tcW w:w="1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400" w:type="dxa"/>
            <w:vAlign w:val="bottom"/>
            <w:tcBorders>
              <w:lef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Minto Metals Corp. (2021 – 2023); Executive Vice-President &amp; General Counsel of Tahoe</w:t>
            </w:r>
          </w:p>
        </w:tc>
        <w:tc>
          <w:tcPr>
            <w:tcW w:w="11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00" w:type="dxa"/>
            <w:vAlign w:val="bottom"/>
            <w:tcBorders>
              <w:lef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66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Resources (2010 – 2019).</w:t>
            </w:r>
          </w:p>
        </w:tc>
        <w:tc>
          <w:tcPr>
            <w:tcW w:w="112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66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color w:val="auto"/>
              </w:rPr>
              <w:t>Brian Howlett, CPA,</w:t>
            </w: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Lead Director of the Corporation (2020 – present); President and CEO of Hemlo Explorers</w:t>
            </w:r>
          </w:p>
        </w:tc>
        <w:tc>
          <w:tcPr>
            <w:tcW w:w="1120" w:type="dxa"/>
            <w:vAlign w:val="bottom"/>
            <w:tcBorders>
              <w:right w:val="single" w:sz="8" w:color="auto"/>
            </w:tcBorders>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060" w:type="dxa"/>
            <w:vAlign w:val="bottom"/>
            <w:tcBorders>
              <w:left w:val="single" w:sz="8" w:color="auto"/>
              <w:right w:val="single" w:sz="8" w:color="auto"/>
            </w:tcBorders>
            <w:gridSpan w:val="2"/>
            <w:vMerge w:val="continue"/>
          </w:tcPr>
          <w:p>
            <w:pPr>
              <w:spacing w:after="0"/>
              <w:rPr>
                <w:sz w:val="16"/>
                <w:szCs w:val="16"/>
                <w:color w:val="auto"/>
              </w:rPr>
            </w:pPr>
          </w:p>
        </w:tc>
        <w:tc>
          <w:tcPr>
            <w:tcW w:w="6620" w:type="dxa"/>
            <w:vAlign w:val="bottom"/>
            <w:tcBorders>
              <w:right w:val="single" w:sz="8" w:color="auto"/>
            </w:tcBorders>
          </w:tcPr>
          <w:p>
            <w:pPr>
              <w:ind w:left="60"/>
              <w:spacing w:after="0" w:line="185" w:lineRule="exact"/>
              <w:rPr>
                <w:sz w:val="20"/>
                <w:szCs w:val="20"/>
                <w:color w:val="auto"/>
              </w:rPr>
            </w:pPr>
            <w:r>
              <w:rPr>
                <w:rFonts w:ascii="Times New Roman" w:cs="Times New Roman" w:eastAsia="Times New Roman" w:hAnsi="Times New Roman"/>
                <w:sz w:val="17"/>
                <w:szCs w:val="17"/>
                <w:color w:val="auto"/>
              </w:rPr>
              <w:t>Inc. (2020 – present); President and CEO of Voyageur Mineral Explorers Corp. (2020 –</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April 17,</w:t>
            </w:r>
          </w:p>
        </w:tc>
        <w:tc>
          <w:tcPr>
            <w:tcW w:w="14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60" w:type="dxa"/>
            <w:vAlign w:val="bottom"/>
            <w:tcBorders>
              <w:left w:val="single" w:sz="8" w:color="auto"/>
              <w:right w:val="single" w:sz="8" w:color="auto"/>
            </w:tcBorders>
            <w:gridSpan w:val="2"/>
            <w:vMerge w:val="restart"/>
          </w:tcPr>
          <w:p>
            <w:pPr>
              <w:ind w:left="80"/>
              <w:spacing w:after="0" w:line="228" w:lineRule="exact"/>
              <w:rPr>
                <w:sz w:val="20"/>
                <w:szCs w:val="20"/>
                <w:color w:val="auto"/>
              </w:rPr>
            </w:pPr>
            <w:r>
              <w:rPr>
                <w:rFonts w:ascii="Times New Roman" w:cs="Times New Roman" w:eastAsia="Times New Roman" w:hAnsi="Times New Roman"/>
                <w:sz w:val="26"/>
                <w:szCs w:val="26"/>
                <w:color w:val="auto"/>
                <w:vertAlign w:val="subscript"/>
              </w:rPr>
              <w:t>CMA</w:t>
            </w:r>
            <w:r>
              <w:rPr>
                <w:rFonts w:ascii="Times New Roman" w:cs="Times New Roman" w:eastAsia="Times New Roman" w:hAnsi="Times New Roman"/>
                <w:sz w:val="12"/>
                <w:szCs w:val="12"/>
                <w:color w:val="auto"/>
              </w:rPr>
              <w:t>(2)(3)(4)(5)</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2021); Director of Nighthawk Gold Corp. (2016 – 2024); President and CEO of Dundee</w:t>
            </w:r>
          </w:p>
        </w:tc>
        <w:tc>
          <w:tcPr>
            <w:tcW w:w="11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5,500</w:t>
            </w:r>
          </w:p>
        </w:tc>
        <w:tc>
          <w:tcPr>
            <w:tcW w:w="0" w:type="dxa"/>
            <w:vAlign w:val="bottom"/>
          </w:tcPr>
          <w:p>
            <w:pPr>
              <w:spacing w:after="0"/>
              <w:rPr>
                <w:sz w:val="1"/>
                <w:szCs w:val="1"/>
                <w:color w:val="auto"/>
              </w:rPr>
            </w:pPr>
          </w:p>
        </w:tc>
      </w:tr>
      <w:tr>
        <w:trPr>
          <w:trHeight w:val="103"/>
        </w:trPr>
        <w:tc>
          <w:tcPr>
            <w:tcW w:w="2060" w:type="dxa"/>
            <w:vAlign w:val="bottom"/>
            <w:tcBorders>
              <w:left w:val="single" w:sz="8" w:color="auto"/>
              <w:right w:val="single" w:sz="8" w:color="auto"/>
            </w:tcBorders>
            <w:gridSpan w:val="2"/>
            <w:vMerge w:val="continue"/>
          </w:tcPr>
          <w:p>
            <w:pPr>
              <w:spacing w:after="0"/>
              <w:rPr>
                <w:sz w:val="8"/>
                <w:szCs w:val="8"/>
                <w:color w:val="auto"/>
              </w:rPr>
            </w:pPr>
          </w:p>
        </w:tc>
        <w:tc>
          <w:tcPr>
            <w:tcW w:w="662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4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60" w:type="dxa"/>
            <w:vAlign w:val="bottom"/>
            <w:tcBorders>
              <w:left w:val="single" w:sz="8" w:color="auto"/>
              <w:right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Ontario, Canada</w:t>
            </w:r>
          </w:p>
        </w:tc>
        <w:tc>
          <w:tcPr>
            <w:tcW w:w="66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color w:val="auto"/>
              </w:rPr>
              <w:t>Sustainable Technologies Inc. (2015 – 2020); President and CEO of Copper Road Resources</w:t>
            </w:r>
          </w:p>
        </w:tc>
        <w:tc>
          <w:tcPr>
            <w:tcW w:w="1120" w:type="dxa"/>
            <w:vAlign w:val="bottom"/>
            <w:tcBorders>
              <w:right w:val="single" w:sz="8" w:color="auto"/>
            </w:tcBorders>
            <w:vMerge w:val="continue"/>
          </w:tcPr>
          <w:p>
            <w:pPr>
              <w:spacing w:after="0"/>
              <w:rPr>
                <w:sz w:val="10"/>
                <w:szCs w:val="10"/>
                <w:color w:val="auto"/>
              </w:rPr>
            </w:pPr>
          </w:p>
        </w:tc>
        <w:tc>
          <w:tcPr>
            <w:tcW w:w="14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60" w:type="dxa"/>
            <w:vAlign w:val="bottom"/>
            <w:tcBorders>
              <w:left w:val="single" w:sz="8" w:color="auto"/>
              <w:right w:val="single" w:sz="8" w:color="auto"/>
            </w:tcBorders>
            <w:gridSpan w:val="2"/>
            <w:vMerge w:val="continue"/>
          </w:tcPr>
          <w:p>
            <w:pPr>
              <w:spacing w:after="0"/>
              <w:rPr>
                <w:sz w:val="7"/>
                <w:szCs w:val="7"/>
                <w:color w:val="auto"/>
              </w:rPr>
            </w:pPr>
          </w:p>
        </w:tc>
        <w:tc>
          <w:tcPr>
            <w:tcW w:w="662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tcPr>
          <w:p>
            <w:pPr>
              <w:spacing w:after="0"/>
              <w:rPr>
                <w:sz w:val="7"/>
                <w:szCs w:val="7"/>
                <w:color w:val="auto"/>
              </w:rPr>
            </w:pPr>
          </w:p>
        </w:tc>
        <w:tc>
          <w:tcPr>
            <w:tcW w:w="14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400" w:type="dxa"/>
            <w:vAlign w:val="bottom"/>
            <w:tcBorders>
              <w:lef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6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Inc. (formerly ‘Stone Gold Inc.’ (2014 – 2021).</w:t>
            </w:r>
          </w:p>
        </w:tc>
        <w:tc>
          <w:tcPr>
            <w:tcW w:w="1120" w:type="dxa"/>
            <w:vAlign w:val="bottom"/>
            <w:tcBorders>
              <w:right w:val="single" w:sz="8" w:color="auto"/>
            </w:tcBorders>
          </w:tcPr>
          <w:p>
            <w:pPr>
              <w:spacing w:after="0"/>
              <w:rPr>
                <w:sz w:val="19"/>
                <w:szCs w:val="19"/>
                <w:color w:val="auto"/>
              </w:rPr>
            </w:pPr>
          </w:p>
        </w:tc>
        <w:tc>
          <w:tcPr>
            <w:tcW w:w="1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auto"/>
              <w:bottom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662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2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w:t>
            </w:r>
          </w:p>
        </w:tc>
        <w:tc>
          <w:tcPr>
            <w:tcW w:w="6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620" w:hanging="617"/>
        <w:spacing w:after="0" w:line="259" w:lineRule="auto"/>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principal occupation, business or employment, not being within the knowledge of the Corporation, has been furnished by respective persons set forth above. The information with respect to the Common Shares beneficially owned, controlled or directed is not within the direct knowledge of the Corporation and has been obtained from SEDI or furnished by the respective individuals. This table does not include Common Shares underlying unexercised stock options, warrants and RSU’s.</w:t>
      </w:r>
    </w:p>
    <w:p>
      <w:pPr>
        <w:spacing w:after="0" w:line="2"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As of May 24, 2023, Brian Howlett serves as Chair.</w:t>
      </w:r>
    </w:p>
    <w:p>
      <w:pPr>
        <w:spacing w:after="0" w:line="1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Andres Finkielsztain serves as Chair.</w:t>
      </w:r>
    </w:p>
    <w:p>
      <w:pPr>
        <w:spacing w:after="0" w:line="1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Governance and Nominating Committee. Edith Hofmeister serves as Chair.</w:t>
      </w:r>
    </w:p>
    <w:p>
      <w:pPr>
        <w:spacing w:after="0" w:line="1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Environmental and Social Responsibility Committee. Edith Hofmeister serves as Chair.</w:t>
      </w:r>
    </w:p>
    <w:p>
      <w:pPr>
        <w:spacing w:after="0" w:line="195"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Nicolas Bonta</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Nicolas Bonta serves as the Chairman of the Board. Mr. Bonta is an Argentinian hotelier, real estate investor and a co-founder of the Corporation. In 1998, he founded one of the first boutique hotel companies in Argentina named “Own Hotels” which has grown to six locations in the cities of Buenos Aires and Montevideo, Uruguay. Mr. Bonta has a bachelor’s degree in Hospitality from Glion Institute of Higher Education in Switzerland.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Andres Finkielsztain</w:t>
      </w:r>
    </w:p>
    <w:p>
      <w:pPr>
        <w:spacing w:after="0" w:line="2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Andres Finkielsztain serves as Independent Director of the Corporation, Chair of the Compensation Committee and member of the Audit Committee and the Governance and Nominating Committee. Mr. Finkielsztain is the Founding Managing Partner of FINK LLC, a private investment office specializing in private equity, real estate, media and technology. He was also the co-head of the Special Situations division at Banco Industrial in Argentina, where he analysed and provided financing solutions to Argentine-based companies and institutions from 2017 to 2023. Mr. Finkielsztain previously served, until February 2018, as a portfolio manager and financial advisor for Soros Brothers Investments (“</w:t>
      </w:r>
      <w:r>
        <w:rPr>
          <w:rFonts w:ascii="Times New Roman" w:cs="Times New Roman" w:eastAsia="Times New Roman" w:hAnsi="Times New Roman"/>
          <w:sz w:val="17"/>
          <w:szCs w:val="17"/>
          <w:b w:val="1"/>
          <w:bCs w:val="1"/>
          <w:color w:val="auto"/>
        </w:rPr>
        <w:t>SBI</w:t>
      </w:r>
      <w:r>
        <w:rPr>
          <w:rFonts w:ascii="Times New Roman" w:cs="Times New Roman" w:eastAsia="Times New Roman" w:hAnsi="Times New Roman"/>
          <w:sz w:val="17"/>
          <w:szCs w:val="17"/>
          <w:color w:val="auto"/>
        </w:rPr>
        <w:t>”), a private investment office founded in 2011 by Alexander and Gregory Soros and as an analyst for Emerging Markets at Soros Fund Management LLC. Mr. Finkielsztain also worked at J.P. Morgan for over 10 years in various capacities within Asset Management, including the role of Global Investment Opportunity and Emerging Markets Specialist. Mr. Finkielsztain graduated with a BA in Economics from Bard College where he served as the President of a Latin American organization.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Emiliano Joel Grodzki</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Emiliano Joel Grodzki serves as a Director of the Corporation and member of the Compensation Committee, the Governance and Nominating Committee and the Environmental and Social Responsibility Committee. Mr. Grodzki is an Argentinian entrepreneur, businessman and a co-founder of the Corporation. He has been a business builder and innovator since his early teens, founding, incubating and exiting interdisciplinary ventures in the design, food and construction industries. In 2016, he discovered the world of cryptocurrencies and began to invest in and mine cryptocurrencies from Argentina. Mr. Grodzki has an architect degree from ORT in Buenos Aires, Argentina.</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Edith M. Hofmeister</w:t>
      </w: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Edith Hofmeister serves as Independent Director of the Corporation, Chair of the Governance and Nominating Committee and the Environmental and Social Responsibility Committee and member of the Audit Committee. Ms. Hofmeister has advised large and small multi-national extractive companies on legal and Environmental Social and Governance (“ESG”) matters for over twenty years. She also served as Executive Vice President Corporate Affairs and General Counsel for Tahoe Resources where she led the Legal, Sustainability and Government Affairs departments and helped grow Tahoe from a junior exploration company to a mid-cap precious metals producer. Since 2006, Ms. Hofmeister has worked alongside rural and indigenous communities in India, Peru, Guatemala, Mexico and Canada to enhance food, work and water security. Ms. Hofmeister serves as the Chair of the International Bar Association’s Business and Human Rights Committee, a group dedicated to promoting high ESG standards in multi-national corporations. Ms. Hofmeister received a Bachelor of Arts degree in international relations from UCLA, a Master of Arts degree in international peace studies from the University of Notre Dame and a Juris Doctor degree from the University of San Francisco.</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Brian Howlett</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Brian Howlett serves as the Lead Director of the Corporation, chair of the Audit Committee and member of the Compensation Committee, the Governance and Nominating Committee and the Environmental and Social Responsibility Committee. Mr. Howlett is a seasoned professional with over thirty years of senior management experience. He is currently the President, Chief Executive Officer and Director of Hemlo Explorers Inc. Mr. Howlett also served on the board of Nighthawk Gold Corp. from 2016 to 2024. Mr. Howlett formerly served as the President and Chief Executive Officer and Director of Dundee Sustainable Technologies Inc., and as the President and CEO of Copper Road Resources Inc. (formerly ‘Stone Gold Inc.’). Mr. Howlett graduated in 1982 with a B. Comm. in Finance from Concordia University and received his CMA/CPA designation in 1989.</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Meeting Attendance</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 xml:space="preserve">The Board holds regularly scheduled meetings and </w:t>
      </w:r>
      <w:r>
        <w:rPr>
          <w:rFonts w:ascii="Times New Roman" w:cs="Times New Roman" w:eastAsia="Times New Roman" w:hAnsi="Times New Roman"/>
          <w:sz w:val="17"/>
          <w:szCs w:val="17"/>
          <w:i w:val="1"/>
          <w:iCs w:val="1"/>
          <w:color w:val="auto"/>
        </w:rPr>
        <w:t>ad hoc</w:t>
      </w:r>
      <w:r>
        <w:rPr>
          <w:rFonts w:ascii="Times New Roman" w:cs="Times New Roman" w:eastAsia="Times New Roman" w:hAnsi="Times New Roman"/>
          <w:sz w:val="17"/>
          <w:szCs w:val="17"/>
          <w:color w:val="auto"/>
        </w:rPr>
        <w:t xml:space="preserve"> meetings as required from time to time. In connection with these Board meetings, the committees of the Board may meet independently.</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The Independent directors hold from time-to-time meetings at which non-independent directors and/or members of management are not in attendance. Additionally, as part of their regularly scheduled meetings, the Board and the Audit Committee typically hold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sessions without management present in order to facilitate open and candid discussion.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 w:name="page13"/>
    <w:bookmarkEnd w:id="12"/>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During the year ended December 31, 2023, the Board held 20 meetings, and the Audit Committee held four (4) meetings. At each Audit Committee meeting, the independent directors were entitled to hold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sessions at which the non-independent directors and invited officers were not present. During the year ended December 31, 2023, the Governance and Nominating Committee held two (2) meetings, the Compensation Committee held four (4) meetings. On November 15, 2022, the Environmental and Social Responsibility Committee was constituted. Since its inception in November 2022, there has been one (1) meeting of the Environmental and Social Responsibility Committee.</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2740" w:type="dxa"/>
            <w:vAlign w:val="bottom"/>
            <w:tcBorders>
              <w:top w:val="single" w:sz="8" w:color="auto"/>
              <w:left w:val="single" w:sz="8" w:color="auto"/>
              <w:bottom w:val="single" w:sz="8" w:color="auto"/>
              <w:right w:val="single" w:sz="8" w:color="auto"/>
            </w:tcBorders>
            <w:vMerge w:val="restart"/>
          </w:tcPr>
          <w:p>
            <w:pPr>
              <w:ind w:left="720"/>
              <w:spacing w:after="0"/>
              <w:rPr>
                <w:sz w:val="20"/>
                <w:szCs w:val="20"/>
                <w:color w:val="auto"/>
              </w:rPr>
            </w:pPr>
            <w:r>
              <w:rPr>
                <w:rFonts w:ascii="Times New Roman" w:cs="Times New Roman" w:eastAsia="Times New Roman" w:hAnsi="Times New Roman"/>
                <w:sz w:val="17"/>
                <w:szCs w:val="17"/>
                <w:b w:val="1"/>
                <w:bCs w:val="1"/>
                <w:color w:val="auto"/>
              </w:rPr>
              <w:t>Name of Director</w:t>
            </w:r>
          </w:p>
        </w:tc>
        <w:tc>
          <w:tcPr>
            <w:tcW w:w="1080" w:type="dxa"/>
            <w:vAlign w:val="bottom"/>
            <w:tcBorders>
              <w:top w:val="single" w:sz="8" w:color="auto"/>
              <w:bottom w:val="single" w:sz="8" w:color="auto"/>
            </w:tcBorders>
          </w:tcPr>
          <w:p>
            <w:pPr>
              <w:spacing w:after="0"/>
              <w:rPr>
                <w:sz w:val="24"/>
                <w:szCs w:val="24"/>
                <w:color w:val="auto"/>
              </w:rPr>
            </w:pPr>
          </w:p>
        </w:tc>
        <w:tc>
          <w:tcPr>
            <w:tcW w:w="7420" w:type="dxa"/>
            <w:vAlign w:val="bottom"/>
            <w:tcBorders>
              <w:top w:val="single" w:sz="8" w:color="auto"/>
              <w:bottom w:val="single" w:sz="8" w:color="auto"/>
              <w:right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Board and Committee Meeting Attendance for the year ended December 31, 2023</w:t>
            </w:r>
          </w:p>
        </w:tc>
        <w:tc>
          <w:tcPr>
            <w:tcW w:w="0" w:type="dxa"/>
            <w:vAlign w:val="bottom"/>
          </w:tcPr>
          <w:p>
            <w:pPr>
              <w:spacing w:after="0"/>
              <w:rPr>
                <w:sz w:val="1"/>
                <w:szCs w:val="1"/>
                <w:color w:val="auto"/>
              </w:rPr>
            </w:pPr>
          </w:p>
        </w:tc>
      </w:tr>
      <w:tr>
        <w:trPr>
          <w:trHeight w:val="199"/>
        </w:trPr>
        <w:tc>
          <w:tcPr>
            <w:tcW w:w="2740" w:type="dxa"/>
            <w:vAlign w:val="bottom"/>
            <w:tcBorders>
              <w:left w:val="single" w:sz="8" w:color="auto"/>
              <w:right w:val="single" w:sz="8" w:color="auto"/>
            </w:tcBorders>
            <w:vMerge w:val="continue"/>
          </w:tcPr>
          <w:p>
            <w:pPr>
              <w:spacing w:after="0"/>
              <w:rPr>
                <w:sz w:val="17"/>
                <w:szCs w:val="17"/>
                <w:color w:val="auto"/>
              </w:rPr>
            </w:pPr>
          </w:p>
        </w:tc>
        <w:tc>
          <w:tcPr>
            <w:tcW w:w="1080" w:type="dxa"/>
            <w:vAlign w:val="bottom"/>
          </w:tcPr>
          <w:p>
            <w:pPr>
              <w:jc w:val="center"/>
              <w:ind w:left="254"/>
              <w:spacing w:after="0"/>
              <w:rPr>
                <w:sz w:val="20"/>
                <w:szCs w:val="20"/>
                <w:color w:val="auto"/>
              </w:rPr>
            </w:pPr>
            <w:r>
              <w:rPr>
                <w:rFonts w:ascii="Times New Roman" w:cs="Times New Roman" w:eastAsia="Times New Roman" w:hAnsi="Times New Roman"/>
                <w:sz w:val="17"/>
                <w:szCs w:val="17"/>
                <w:b w:val="1"/>
                <w:bCs w:val="1"/>
                <w:color w:val="auto"/>
              </w:rPr>
              <w:t>Board</w:t>
            </w:r>
          </w:p>
        </w:tc>
        <w:tc>
          <w:tcPr>
            <w:tcW w:w="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 and</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Environmental</w:t>
            </w:r>
          </w:p>
        </w:tc>
        <w:tc>
          <w:tcPr>
            <w:tcW w:w="0" w:type="dxa"/>
            <w:vAlign w:val="bottom"/>
          </w:tcPr>
          <w:p>
            <w:pPr>
              <w:spacing w:after="0"/>
              <w:rPr>
                <w:sz w:val="1"/>
                <w:szCs w:val="1"/>
                <w:color w:val="auto"/>
              </w:rPr>
            </w:pPr>
          </w:p>
        </w:tc>
      </w:tr>
      <w:tr>
        <w:trPr>
          <w:trHeight w:val="207"/>
        </w:trPr>
        <w:tc>
          <w:tcPr>
            <w:tcW w:w="2740" w:type="dxa"/>
            <w:vAlign w:val="bottom"/>
            <w:tcBorders>
              <w:left w:val="single" w:sz="8" w:color="auto"/>
              <w:right w:val="single" w:sz="8" w:color="auto"/>
            </w:tcBorders>
          </w:tcPr>
          <w:p>
            <w:pPr>
              <w:spacing w:after="0"/>
              <w:rPr>
                <w:sz w:val="17"/>
                <w:szCs w:val="17"/>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w:t>
            </w:r>
          </w:p>
        </w:tc>
        <w:tc>
          <w:tcPr>
            <w:tcW w:w="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(4)</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Committee</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and Social</w:t>
            </w:r>
          </w:p>
        </w:tc>
        <w:tc>
          <w:tcPr>
            <w:tcW w:w="0" w:type="dxa"/>
            <w:vAlign w:val="bottom"/>
          </w:tcPr>
          <w:p>
            <w:pPr>
              <w:spacing w:after="0"/>
              <w:rPr>
                <w:sz w:val="1"/>
                <w:szCs w:val="1"/>
                <w:color w:val="auto"/>
              </w:rPr>
            </w:pPr>
          </w:p>
        </w:tc>
      </w:tr>
      <w:tr>
        <w:trPr>
          <w:trHeight w:val="207"/>
        </w:trPr>
        <w:tc>
          <w:tcPr>
            <w:tcW w:w="2740" w:type="dxa"/>
            <w:vAlign w:val="bottom"/>
            <w:tcBorders>
              <w:left w:val="single" w:sz="8" w:color="auto"/>
              <w:right w:val="single" w:sz="8" w:color="auto"/>
            </w:tcBorders>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440" w:type="dxa"/>
            <w:vAlign w:val="bottom"/>
            <w:tcBorders>
              <w:right w:val="single" w:sz="8" w:color="auto"/>
            </w:tcBorders>
          </w:tcPr>
          <w:p>
            <w:pPr>
              <w:spacing w:after="0"/>
              <w:rPr>
                <w:sz w:val="17"/>
                <w:szCs w:val="17"/>
                <w:color w:val="auto"/>
              </w:rPr>
            </w:pP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Responsibility</w:t>
            </w:r>
          </w:p>
        </w:tc>
        <w:tc>
          <w:tcPr>
            <w:tcW w:w="0" w:type="dxa"/>
            <w:vAlign w:val="bottom"/>
          </w:tcPr>
          <w:p>
            <w:pPr>
              <w:spacing w:after="0"/>
              <w:rPr>
                <w:sz w:val="1"/>
                <w:szCs w:val="1"/>
                <w:color w:val="auto"/>
              </w:rPr>
            </w:pPr>
          </w:p>
        </w:tc>
      </w:tr>
      <w:tr>
        <w:trPr>
          <w:trHeight w:val="233"/>
        </w:trPr>
        <w:tc>
          <w:tcPr>
            <w:tcW w:w="2740" w:type="dxa"/>
            <w:vAlign w:val="bottom"/>
            <w:tcBorders>
              <w:left w:val="single" w:sz="8" w:color="auto"/>
              <w:bottom w:val="single" w:sz="8" w:color="auto"/>
              <w:right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8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c>
          <w:tcPr>
            <w:tcW w:w="0" w:type="dxa"/>
            <w:vAlign w:val="bottom"/>
          </w:tcPr>
          <w:p>
            <w:pPr>
              <w:spacing w:after="0"/>
              <w:rPr>
                <w:sz w:val="1"/>
                <w:szCs w:val="1"/>
                <w:color w:val="auto"/>
              </w:rPr>
            </w:pPr>
          </w:p>
        </w:tc>
      </w:tr>
      <w:tr>
        <w:trPr>
          <w:trHeight w:val="259"/>
        </w:trPr>
        <w:tc>
          <w:tcPr>
            <w:tcW w:w="2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Emiliano Joel Grodzki</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18</w:t>
            </w:r>
          </w:p>
        </w:tc>
        <w:tc>
          <w:tcPr>
            <w:tcW w:w="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7"/>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Nicolas Bonta</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19</w:t>
            </w:r>
          </w:p>
        </w:tc>
        <w:tc>
          <w:tcPr>
            <w:tcW w:w="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57"/>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Brian Howlett</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20</w:t>
            </w:r>
          </w:p>
        </w:tc>
        <w:tc>
          <w:tcPr>
            <w:tcW w:w="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7"/>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Geoffrey Morphy</w:t>
            </w:r>
            <w:r>
              <w:rPr>
                <w:rFonts w:ascii="Times New Roman" w:cs="Times New Roman" w:eastAsia="Times New Roman" w:hAnsi="Times New Roman"/>
                <w:sz w:val="28"/>
                <w:szCs w:val="28"/>
                <w:color w:val="auto"/>
                <w:vertAlign w:val="superscript"/>
              </w:rPr>
              <w:t>(1)</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w w:val="93"/>
              </w:rPr>
              <w:t>13</w:t>
            </w:r>
          </w:p>
        </w:tc>
        <w:tc>
          <w:tcPr>
            <w:tcW w:w="3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r>
        <w:trPr>
          <w:trHeight w:val="259"/>
        </w:trPr>
        <w:tc>
          <w:tcPr>
            <w:tcW w:w="27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Andres Finkielsztain</w:t>
            </w:r>
          </w:p>
        </w:tc>
        <w:tc>
          <w:tcPr>
            <w:tcW w:w="1080" w:type="dxa"/>
            <w:vAlign w:val="bottom"/>
          </w:tcPr>
          <w:p>
            <w:pPr>
              <w:jc w:val="center"/>
              <w:ind w:left="314"/>
              <w:spacing w:after="0"/>
              <w:rPr>
                <w:sz w:val="20"/>
                <w:szCs w:val="20"/>
                <w:color w:val="auto"/>
              </w:rPr>
            </w:pPr>
            <w:r>
              <w:rPr>
                <w:rFonts w:ascii="Times New Roman" w:cs="Times New Roman" w:eastAsia="Times New Roman" w:hAnsi="Times New Roman"/>
                <w:sz w:val="17"/>
                <w:szCs w:val="17"/>
                <w:color w:val="auto"/>
                <w:w w:val="93"/>
              </w:rPr>
              <w:t>19</w:t>
            </w:r>
          </w:p>
        </w:tc>
        <w:tc>
          <w:tcPr>
            <w:tcW w:w="380" w:type="dxa"/>
            <w:vAlign w:val="bottom"/>
            <w:tcBorders>
              <w:right w:val="single" w:sz="8" w:color="auto"/>
            </w:tcBorders>
          </w:tcPr>
          <w:p>
            <w:pPr>
              <w:spacing w:after="0"/>
              <w:rPr>
                <w:sz w:val="22"/>
                <w:szCs w:val="22"/>
                <w:color w:val="auto"/>
              </w:rPr>
            </w:pPr>
          </w:p>
        </w:tc>
        <w:tc>
          <w:tcPr>
            <w:tcW w:w="14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2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57"/>
        </w:trPr>
        <w:tc>
          <w:tcPr>
            <w:tcW w:w="27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80" w:type="dxa"/>
            <w:vAlign w:val="bottom"/>
            <w:tcBorders>
              <w:bottom w:val="single" w:sz="8" w:color="auto"/>
              <w:right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c>
          <w:tcPr>
            <w:tcW w:w="202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Edith Hofmeister</w:t>
            </w:r>
            <w:r>
              <w:rPr>
                <w:rFonts w:ascii="Times New Roman" w:cs="Times New Roman" w:eastAsia="Times New Roman" w:hAnsi="Times New Roman"/>
                <w:sz w:val="28"/>
                <w:szCs w:val="28"/>
                <w:color w:val="auto"/>
                <w:vertAlign w:val="superscript"/>
              </w:rPr>
              <w:t>(2)</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w w:val="93"/>
              </w:rPr>
              <w:t>18</w:t>
            </w:r>
          </w:p>
        </w:tc>
        <w:tc>
          <w:tcPr>
            <w:tcW w:w="3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355"/>
        </w:trPr>
        <w:tc>
          <w:tcPr>
            <w:tcW w:w="27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Pierre Seccareccia</w:t>
            </w:r>
            <w:r>
              <w:rPr>
                <w:rFonts w:ascii="Times New Roman" w:cs="Times New Roman" w:eastAsia="Times New Roman" w:hAnsi="Times New Roman"/>
                <w:sz w:val="28"/>
                <w:szCs w:val="28"/>
                <w:color w:val="auto"/>
                <w:vertAlign w:val="superscript"/>
              </w:rPr>
              <w:t>(3)</w:t>
            </w:r>
          </w:p>
        </w:tc>
        <w:tc>
          <w:tcPr>
            <w:tcW w:w="1080" w:type="dxa"/>
            <w:vAlign w:val="bottom"/>
            <w:tcBorders>
              <w:bottom w:val="single" w:sz="8" w:color="auto"/>
            </w:tcBorders>
          </w:tcPr>
          <w:p>
            <w:pPr>
              <w:jc w:val="center"/>
              <w:ind w:left="314"/>
              <w:spacing w:after="0"/>
              <w:rPr>
                <w:sz w:val="20"/>
                <w:szCs w:val="20"/>
                <w:color w:val="auto"/>
              </w:rPr>
            </w:pPr>
            <w:r>
              <w:rPr>
                <w:rFonts w:ascii="Times New Roman" w:cs="Times New Roman" w:eastAsia="Times New Roman" w:hAnsi="Times New Roman"/>
                <w:sz w:val="17"/>
                <w:szCs w:val="17"/>
                <w:color w:val="auto"/>
                <w:w w:val="93"/>
              </w:rPr>
              <w:t>7</w:t>
            </w:r>
          </w:p>
        </w:tc>
        <w:tc>
          <w:tcPr>
            <w:tcW w:w="380" w:type="dxa"/>
            <w:vAlign w:val="bottom"/>
            <w:tcBorders>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w:t>
            </w:r>
          </w:p>
        </w:tc>
        <w:tc>
          <w:tcPr>
            <w:tcW w:w="2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1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ind w:left="620" w:hanging="617"/>
        <w:spacing w:after="0" w:line="261"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Morphy was appointed to the Board during the Annual and Special Meeting of Shareholders held on May 24, 2023. On March 25, 2024, the Company announced the Mr. Morphy would be departing from his role as CEO, pending completion of an executive search. As a result of the transition, the Board will not nominate Mr. Morphy for re-election.</w:t>
      </w:r>
    </w:p>
    <w:p>
      <w:pPr>
        <w:spacing w:after="0" w:line="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 Hofmeister joined the Board on November 16, 2022.</w:t>
      </w:r>
    </w:p>
    <w:p>
      <w:pPr>
        <w:spacing w:after="0" w:line="11" w:lineRule="exact"/>
        <w:rPr>
          <w:rFonts w:ascii="Times New Roman" w:cs="Times New Roman" w:eastAsia="Times New Roman" w:hAnsi="Times New Roman"/>
          <w:sz w:val="17"/>
          <w:szCs w:val="17"/>
          <w:color w:val="auto"/>
        </w:rPr>
      </w:pPr>
    </w:p>
    <w:p>
      <w:pPr>
        <w:ind w:left="620" w:hanging="617"/>
        <w:spacing w:after="0" w:line="268" w:lineRule="auto"/>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Seccareccia ceased to be a director on May 24, 2023. Following his departure from the Board, Emiliano Joel Grodzki was appointed to the Compensation Committee and Edith Hofmeister was appointed to the Audit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Cease Trade Orders, Bankruptcies, Penalties or Sanctions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knowledge of the Corporation, no proposed director of the Corporation is, as at the date of this Circular, or within the ten (10) years prior to the date of this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Circular has been, a director, chief executive officer or chief financial officer of any company (including the Corporation) that:</w:t>
      </w:r>
    </w:p>
    <w:p>
      <w:pPr>
        <w:spacing w:after="0" w:line="200" w:lineRule="exact"/>
        <w:rPr>
          <w:sz w:val="20"/>
          <w:szCs w:val="20"/>
          <w:color w:val="auto"/>
        </w:rPr>
      </w:pPr>
    </w:p>
    <w:p>
      <w:pPr>
        <w:ind w:left="940" w:hanging="626"/>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that person was acting in that capacity was subject to:</w:t>
      </w:r>
    </w:p>
    <w:p>
      <w:pPr>
        <w:spacing w:after="0" w:line="218" w:lineRule="exact"/>
        <w:rPr>
          <w:rFonts w:ascii="Times New Roman" w:cs="Times New Roman" w:eastAsia="Times New Roman" w:hAnsi="Times New Roman"/>
          <w:sz w:val="17"/>
          <w:szCs w:val="17"/>
          <w:color w:val="auto"/>
        </w:rPr>
      </w:pPr>
    </w:p>
    <w:p>
      <w:pPr>
        <w:ind w:left="1560" w:hanging="625"/>
        <w:spacing w:after="0" w:line="291" w:lineRule="auto"/>
        <w:tabs>
          <w:tab w:leader="none" w:pos="15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cease trade order (including any management cease trade order which applied to directors or executive officers of a company, whether or not the person is named in the order), or</w:t>
      </w:r>
    </w:p>
    <w:p>
      <w:pPr>
        <w:spacing w:after="0" w:line="146" w:lineRule="exact"/>
        <w:rPr>
          <w:rFonts w:ascii="Times New Roman" w:cs="Times New Roman" w:eastAsia="Times New Roman" w:hAnsi="Times New Roman"/>
          <w:sz w:val="17"/>
          <w:szCs w:val="17"/>
          <w:color w:val="auto"/>
        </w:rPr>
      </w:pPr>
    </w:p>
    <w:p>
      <w:pPr>
        <w:ind w:left="1560" w:hanging="625"/>
        <w:spacing w:after="0"/>
        <w:tabs>
          <w:tab w:leader="none" w:pos="15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order similar to a cease trade order, or</w:t>
      </w:r>
    </w:p>
    <w:p>
      <w:pPr>
        <w:spacing w:after="0" w:line="218" w:lineRule="exact"/>
        <w:rPr>
          <w:rFonts w:ascii="Times New Roman" w:cs="Times New Roman" w:eastAsia="Times New Roman" w:hAnsi="Times New Roman"/>
          <w:sz w:val="17"/>
          <w:szCs w:val="17"/>
          <w:color w:val="auto"/>
        </w:rPr>
      </w:pPr>
    </w:p>
    <w:p>
      <w:pPr>
        <w:ind w:left="1560" w:hanging="625"/>
        <w:spacing w:after="0" w:line="291" w:lineRule="auto"/>
        <w:tabs>
          <w:tab w:leader="none" w:pos="156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order that denied the relevant company access to any exemption under securities legislation, that was in effect for a period of more than thirty (30) consecutive days (an “</w:t>
      </w:r>
      <w:r>
        <w:rPr>
          <w:rFonts w:ascii="Times New Roman" w:cs="Times New Roman" w:eastAsia="Times New Roman" w:hAnsi="Times New Roman"/>
          <w:sz w:val="17"/>
          <w:szCs w:val="17"/>
          <w:b w:val="1"/>
          <w:bCs w:val="1"/>
          <w:color w:val="auto"/>
        </w:rPr>
        <w:t>Order</w:t>
      </w:r>
      <w:r>
        <w:rPr>
          <w:rFonts w:ascii="Times New Roman" w:cs="Times New Roman" w:eastAsia="Times New Roman" w:hAnsi="Times New Roman"/>
          <w:sz w:val="17"/>
          <w:szCs w:val="17"/>
          <w:color w:val="auto"/>
        </w:rPr>
        <w:t>”); or</w:t>
      </w:r>
    </w:p>
    <w:p>
      <w:pPr>
        <w:spacing w:after="0" w:line="146" w:lineRule="exact"/>
        <w:rPr>
          <w:rFonts w:ascii="Times New Roman" w:cs="Times New Roman" w:eastAsia="Times New Roman" w:hAnsi="Times New Roman"/>
          <w:sz w:val="17"/>
          <w:szCs w:val="17"/>
          <w:color w:val="auto"/>
        </w:rPr>
      </w:pPr>
    </w:p>
    <w:p>
      <w:pPr>
        <w:jc w:val="both"/>
        <w:ind w:left="940" w:hanging="626"/>
        <w:spacing w:after="0" w:line="272" w:lineRule="auto"/>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was subject to an Order that was issued after the director or executive officer ceased to be a director, chief executive officer or chief financial officer and which resulted from an event that occurred while that person was acting in the capacity as director, chief executive officer or chief financial officer.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knowledge of the Corporation, no proposed director of the Corporation (or any personal holding company of any such individual) is, or within the ten (10)</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years prior to the date of this Circular has:</w:t>
      </w:r>
    </w:p>
    <w:p>
      <w:pPr>
        <w:spacing w:after="0" w:line="200" w:lineRule="exact"/>
        <w:rPr>
          <w:sz w:val="20"/>
          <w:szCs w:val="20"/>
          <w:color w:val="auto"/>
        </w:rPr>
      </w:pPr>
    </w:p>
    <w:p>
      <w:pPr>
        <w:jc w:val="both"/>
        <w:ind w:left="940" w:hanging="626"/>
        <w:spacing w:after="0" w:line="272"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been a director or executive officer of any corporation that, while that person was acting in that capacity, or within a year of that person ceasing to act in that capacity, became bankrupt, made a proposal under any legislation relating to bankruptcy or insolvency or was subject to or instituted any proceedings, arrangement or compromise with creditors or had a receiver manager or trustee appointed to hold its assets; or</w:t>
      </w:r>
    </w:p>
    <w:p>
      <w:pPr>
        <w:spacing w:after="0" w:line="163" w:lineRule="exact"/>
        <w:rPr>
          <w:rFonts w:ascii="Times New Roman" w:cs="Times New Roman" w:eastAsia="Times New Roman" w:hAnsi="Times New Roman"/>
          <w:sz w:val="17"/>
          <w:szCs w:val="17"/>
          <w:color w:val="auto"/>
        </w:rPr>
      </w:pPr>
    </w:p>
    <w:p>
      <w:pPr>
        <w:ind w:left="940" w:hanging="626"/>
        <w:spacing w:after="0" w:line="291" w:lineRule="auto"/>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bankrupt, made a proposal under any legislation relating to bankruptcy or insolvency, or become subject to or instituted any proceedings, arrangement or compromise with creditors, or had a receiver, receiver manager or trustee appointed to hold the assets such individual.</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7"/>
          <w:szCs w:val="17"/>
          <w:color w:val="auto"/>
        </w:rPr>
        <w:t>Except as described below, to the knowledge of the Corporation, no proposed director of the Corporation (or any personal holding company of any such individual) has been subject to any penalties or sanctions imposed by a court relating to securities legislation or by a securities regulatory authority or has entered into a settlement agreement with a securities regulatory authority; or any other penalties or sanctions imposed by a court or regulatory body that would likely be considered important to a reasonable investor in making an investment decision:</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Minto Metals Corporation was placed in receivership in July of 2023 by order of the British Columbia Supreme Court. Edith M. Hofmeister was a director on the Board of Minto Metals Corporation between November 2021 and February 2023.</w:t>
      </w:r>
    </w:p>
    <w:p>
      <w:pPr>
        <w:spacing w:after="0" w:line="145" w:lineRule="exact"/>
        <w:rPr>
          <w:sz w:val="20"/>
          <w:szCs w:val="20"/>
          <w:color w:val="auto"/>
        </w:rPr>
      </w:pPr>
    </w:p>
    <w:p>
      <w:pPr>
        <w:ind w:left="320" w:hanging="317"/>
        <w:spacing w:after="0"/>
        <w:tabs>
          <w:tab w:leader="none" w:pos="32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Appointment of Auditors</w:t>
      </w:r>
    </w:p>
    <w:p>
      <w:pPr>
        <w:spacing w:after="0" w:line="21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PricewaterhouseCoopers LLP (“</w:t>
      </w:r>
      <w:r>
        <w:rPr>
          <w:rFonts w:ascii="Times New Roman" w:cs="Times New Roman" w:eastAsia="Times New Roman" w:hAnsi="Times New Roman"/>
          <w:sz w:val="17"/>
          <w:szCs w:val="17"/>
          <w:b w:val="1"/>
          <w:bCs w:val="1"/>
          <w:color w:val="auto"/>
        </w:rPr>
        <w:t>PwC</w:t>
      </w:r>
      <w:r>
        <w:rPr>
          <w:rFonts w:ascii="Times New Roman" w:cs="Times New Roman" w:eastAsia="Times New Roman" w:hAnsi="Times New Roman"/>
          <w:sz w:val="17"/>
          <w:szCs w:val="17"/>
          <w:color w:val="auto"/>
        </w:rPr>
        <w:t>”) are the independent registered certified auditors of the Corporation. PwC was first appointed as auditor of the Corporation on June 18, 2020. Management of the Corporation intends to nominate PwC for re-appointment as auditors of the Corporation.</w:t>
      </w:r>
    </w:p>
    <w:p>
      <w:pPr>
        <w:spacing w:after="0" w:line="14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At the Meeting, Shareholders will be asked to consider and, if thought advisable, to pass an ordinary resolution to re-appoint PwC to serve as auditors of the Corporation until the next annual meeting of Shareholders and to authorize the directors of the Corporation to fix their remuneration as such. To be adopted, this resolution is required to be passed by the affirmative vote of a majority of the votes cast at the Meeting.</w:t>
      </w:r>
    </w:p>
    <w:p>
      <w:pPr>
        <w:spacing w:after="0" w:line="16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Unless the Shareholder has specifically instructed that his or her Common Shares are to be withheld from voting in connection with the appointment of PwC, the persons named in the accompanying proxy intend to vote FOR the re-appointment of PwC as the auditors of the Corporation to hold office until the next annual meeting of Shareholders or until a successor is appointed, and to authorize the Board to fix their remuneration.</w:t>
      </w:r>
    </w:p>
    <w:p>
      <w:pPr>
        <w:spacing w:after="0" w:line="161" w:lineRule="exact"/>
        <w:rPr>
          <w:sz w:val="20"/>
          <w:szCs w:val="20"/>
          <w:color w:val="auto"/>
        </w:rPr>
      </w:pPr>
    </w:p>
    <w:p>
      <w:pPr>
        <w:ind w:left="320" w:hanging="317"/>
        <w:spacing w:after="0"/>
        <w:tabs>
          <w:tab w:leader="none" w:pos="3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Approval of the Long-Term Equity Incentive Plan</w:t>
      </w:r>
    </w:p>
    <w:p>
      <w:pPr>
        <w:spacing w:after="0" w:line="2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accordance with the requirements of the TSX, every three years after adoption, all unallocated options, rights and other entitlements under a security-based compensation arrangement which do not have a fixed maximum number of securities issuable thereunder (commonly referred to as “rolling plans”), must be approved by the majority of a company’s shareholders. The Corporation currently has a long-term equity incentive plan (the “</w:t>
      </w:r>
      <w:r>
        <w:rPr>
          <w:rFonts w:ascii="Times New Roman" w:cs="Times New Roman" w:eastAsia="Times New Roman" w:hAnsi="Times New Roman"/>
          <w:sz w:val="17"/>
          <w:szCs w:val="17"/>
          <w:b w:val="1"/>
          <w:bCs w:val="1"/>
          <w:color w:val="auto"/>
        </w:rPr>
        <w:t>LTIP</w:t>
      </w:r>
      <w:r>
        <w:rPr>
          <w:rFonts w:ascii="Times New Roman" w:cs="Times New Roman" w:eastAsia="Times New Roman" w:hAnsi="Times New Roman"/>
          <w:sz w:val="17"/>
          <w:szCs w:val="17"/>
          <w:color w:val="auto"/>
        </w:rPr>
        <w:t>”) in place which is a rolling plan pursuant to which stock options (“</w:t>
      </w: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and restricted share units (“</w:t>
      </w: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may be issued, up to a maximum amount of Options and RSUs which together equal 10% of the Common Shares issued and outstanding at the time of any grant. As of the date of this Circular, there are 20,638,137 Options and 799,998 RSUs outstanding, leaving a total of 16,131,252 Common Shares available for reservation pursuant to new grants under the LTIP. A copy of the LTIP is attached as Schedule “B” to this Circular, and a summary of the LTIP may be found under “</w:t>
      </w:r>
      <w:r>
        <w:rPr>
          <w:rFonts w:ascii="Times New Roman" w:cs="Times New Roman" w:eastAsia="Times New Roman" w:hAnsi="Times New Roman"/>
          <w:sz w:val="17"/>
          <w:szCs w:val="17"/>
          <w:i w:val="1"/>
          <w:iCs w:val="1"/>
          <w:color w:val="auto"/>
        </w:rPr>
        <w:t>STATEMENT OF EXECUTIVE COMPENSATION –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 Long-Term Incentive Plan”.</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Because the LTIP and the securities issuable pursuant thereto were last approved by shareholders on June 5, 2021, the Shareholders are required to approve all unallocated securities issuable pursuant the LTIP by no later than June 5, 2024. Accordingly, Shareholders will be asked at the Meeting to pass the following resolution (the “</w:t>
      </w:r>
      <w:r>
        <w:rPr>
          <w:rFonts w:ascii="Times New Roman" w:cs="Times New Roman" w:eastAsia="Times New Roman" w:hAnsi="Times New Roman"/>
          <w:sz w:val="17"/>
          <w:szCs w:val="17"/>
          <w:b w:val="1"/>
          <w:bCs w:val="1"/>
          <w:color w:val="auto"/>
        </w:rPr>
        <w:t>LTIP Resolution</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RESOLVED AS AN ORDINARY RESOLUTION, THAT:</w:t>
      </w:r>
    </w:p>
    <w:p>
      <w:pPr>
        <w:spacing w:after="0" w:line="220" w:lineRule="exact"/>
        <w:rPr>
          <w:sz w:val="20"/>
          <w:szCs w:val="20"/>
          <w:color w:val="auto"/>
        </w:rPr>
      </w:pPr>
    </w:p>
    <w:p>
      <w:pPr>
        <w:ind w:left="620" w:hanging="306"/>
        <w:spacing w:after="0" w:line="291" w:lineRule="auto"/>
        <w:tabs>
          <w:tab w:leader="none" w:pos="6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unallocated restricted share units and options to purchase common shares under the long-term incentive plan of the Corporation, as attached to the Corporation’s information circular dated May 31, 2024, are hereby authorized and approved, which approval shall be effective until May 31, 2027; and</w:t>
      </w:r>
    </w:p>
    <w:p>
      <w:pPr>
        <w:spacing w:after="0" w:line="146" w:lineRule="exact"/>
        <w:rPr>
          <w:rFonts w:ascii="Times New Roman" w:cs="Times New Roman" w:eastAsia="Times New Roman" w:hAnsi="Times New Roman"/>
          <w:sz w:val="17"/>
          <w:szCs w:val="17"/>
          <w:b w:val="1"/>
          <w:bCs w:val="1"/>
          <w:color w:val="auto"/>
        </w:rPr>
      </w:pPr>
    </w:p>
    <w:p>
      <w:pPr>
        <w:jc w:val="both"/>
        <w:ind w:left="620" w:hanging="306"/>
        <w:spacing w:after="0" w:line="266" w:lineRule="auto"/>
        <w:tabs>
          <w:tab w:leader="none" w:pos="62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one director or officer of the Corporation be and the same is hereby authorized, for and on behalf of the Corporation, to execute or cause to be executed, and to deliver or cause to be delivered, all such documents and filings, and to do or cause to be done all such acts and things, as in the opinion of such director or officer may be necessary or desirable in order to carry out the terms of this resolution, such determination to be conclusively evidenced by the execution and delivery of such documents or the doing of any such act or thing.</w:t>
      </w:r>
    </w:p>
    <w:p>
      <w:pPr>
        <w:spacing w:after="0" w:line="16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Unless the Shareholder has specifically instructed that his or her Common Shares are to be withheld from voting in connection with the LTIP Resolution, the persons named in the accompanying proxy intend to vote FOR the LTIP Resolution. </w:t>
      </w:r>
      <w:r>
        <w:rPr>
          <w:rFonts w:ascii="Times New Roman" w:cs="Times New Roman" w:eastAsia="Times New Roman" w:hAnsi="Times New Roman"/>
          <w:sz w:val="17"/>
          <w:szCs w:val="17"/>
          <w:color w:val="auto"/>
        </w:rPr>
        <w:t>To be effective, the LTIP resolution must be passed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affirmative votes cast by holders or more than 50% of the Common Shares represented in person or by proxy at the Meeting that vote on the resolution.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4" w:name="page15"/>
    <w:bookmarkEnd w:id="14"/>
    <w:p>
      <w:pPr>
        <w:ind w:left="320" w:hanging="317"/>
        <w:spacing w:after="0"/>
        <w:tabs>
          <w:tab w:leader="none" w:pos="3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Other Matters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Management of the Corporation knows of no amendment, variation or other matter to come before the Meeting other than the matters referred to in the notice of meeting accompanying this Circular. However, if any other matter properly comes before the Meeting, valid forms of proxy will be voted on such matter in accordance with the best judgment of the persons voting the proxy.</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 OF EXECUTIVE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Named Executive Officers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following discussion describes the significant elements of our executive compensation program, with particular emphasis on the process for determining compensation payable to the Corporation’s chief executive officer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chief financial officer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and, other than the CEO and CFO, each of the Corporation’s three most highly compensated executive officers, or the three most highly compensated individuals acting in a similar capacity whose total compensation was, individually, more than $150,000 (collectively, the “</w:t>
      </w:r>
      <w:r>
        <w:rPr>
          <w:rFonts w:ascii="Times New Roman" w:cs="Times New Roman" w:eastAsia="Times New Roman" w:hAnsi="Times New Roman"/>
          <w:sz w:val="17"/>
          <w:szCs w:val="17"/>
          <w:b w:val="1"/>
          <w:bCs w:val="1"/>
          <w:color w:val="auto"/>
        </w:rPr>
        <w:t>Named Executive Officers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17"/>
          <w:szCs w:val="17"/>
          <w:color w:val="auto"/>
        </w:rPr>
        <w:t>”) for the year ended December 31, 2023. As of December 31, 2023, the NEOs were:</w:t>
      </w:r>
    </w:p>
    <w:p>
      <w:pPr>
        <w:spacing w:after="0" w:line="171" w:lineRule="exact"/>
        <w:rPr>
          <w:sz w:val="20"/>
          <w:szCs w:val="20"/>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Geoffrey Morphy President and CEO of the Corporation;</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Lucas, CFO of the Corporation;</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Benjamin Gagnon, Chief Mining Officer of the Corporation;</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Benoit Gobeil, Executive Vice President of Operations and Infrastructure, and</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Stephanie Wargo, Vice President of Marketing &amp; Communications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Oversight and description of Directors and NEO Compensation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Compensation plays an important role in achieving short and long-term business objectives that ultimately drive business success. The Corporation’s compensation philosophy is to foster entrepreneurship at all levels of the organization through, among other things, the granting of Options and RSUs, which will be a significant component of each NEO’s compensation. This approach is based on the assumption that the performance of the Common Share price over the long term is an important indicator of long-term performance.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Corporation’s compensation philosophy is based on the following fundamental principles:</w:t>
      </w:r>
    </w:p>
    <w:p>
      <w:pPr>
        <w:spacing w:after="0" w:line="216" w:lineRule="exact"/>
        <w:rPr>
          <w:sz w:val="20"/>
          <w:szCs w:val="20"/>
          <w:color w:val="auto"/>
        </w:rPr>
      </w:pPr>
    </w:p>
    <w:p>
      <w:pPr>
        <w:ind w:left="620" w:hanging="306"/>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Compensation programs align with Shareholder interests </w:t>
      </w:r>
      <w:r>
        <w:rPr>
          <w:rFonts w:ascii="Times New Roman" w:cs="Times New Roman" w:eastAsia="Times New Roman" w:hAnsi="Times New Roman"/>
          <w:sz w:val="17"/>
          <w:szCs w:val="17"/>
          <w:color w:val="auto"/>
        </w:rPr>
        <w:t>– the Corporation aligns the goals of executives with maximizing long-term Shareholder value;</w:t>
      </w:r>
    </w:p>
    <w:p>
      <w:pPr>
        <w:spacing w:after="0" w:line="218" w:lineRule="exact"/>
        <w:rPr>
          <w:rFonts w:ascii="Times New Roman" w:cs="Times New Roman" w:eastAsia="Times New Roman" w:hAnsi="Times New Roman"/>
          <w:sz w:val="17"/>
          <w:szCs w:val="17"/>
          <w:color w:val="auto"/>
        </w:rPr>
      </w:pPr>
    </w:p>
    <w:p>
      <w:pPr>
        <w:ind w:left="620" w:hanging="306"/>
        <w:spacing w:after="0" w:line="293"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Performance sensitive </w:t>
      </w:r>
      <w:r>
        <w:rPr>
          <w:rFonts w:ascii="Times New Roman" w:cs="Times New Roman" w:eastAsia="Times New Roman" w:hAnsi="Times New Roman"/>
          <w:sz w:val="17"/>
          <w:szCs w:val="17"/>
          <w:color w:val="auto"/>
        </w:rPr>
        <w:t>– compensation for executive officers is linked to operating and market performance of the Corporation and should fluctuate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performance; and</w:t>
      </w:r>
    </w:p>
    <w:p>
      <w:pPr>
        <w:spacing w:after="0" w:line="143" w:lineRule="exact"/>
        <w:rPr>
          <w:rFonts w:ascii="Times New Roman" w:cs="Times New Roman" w:eastAsia="Times New Roman" w:hAnsi="Times New Roman"/>
          <w:sz w:val="17"/>
          <w:szCs w:val="17"/>
          <w:color w:val="auto"/>
        </w:rPr>
      </w:pPr>
    </w:p>
    <w:p>
      <w:pPr>
        <w:ind w:left="620" w:hanging="306"/>
        <w:spacing w:after="0" w:line="293" w:lineRule="auto"/>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Offer market competitive compensation to attract and retain talent </w:t>
      </w:r>
      <w:r>
        <w:rPr>
          <w:rFonts w:ascii="Times New Roman" w:cs="Times New Roman" w:eastAsia="Times New Roman" w:hAnsi="Times New Roman"/>
          <w:sz w:val="17"/>
          <w:szCs w:val="17"/>
          <w:color w:val="auto"/>
        </w:rPr>
        <w:t>– the compensation program provides market competitive pay in terms of value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structure in order to retain existing employees who are performing according to their objectives and to attract new individuals of the highest calibre.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objectives of the compensation program in compensating all NEOs has been developed based on the above-mentioned compensation philosophy and aims to:</w:t>
      </w:r>
    </w:p>
    <w:p>
      <w:pPr>
        <w:spacing w:after="0" w:line="218" w:lineRule="exact"/>
        <w:rPr>
          <w:sz w:val="20"/>
          <w:szCs w:val="20"/>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and retain highly qualified executive officers;</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align the interests of NEOs with Shareholders’ interests and with the execution of the Corporation’s business strategy;</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NEOs performance on the basis of key measurements that correlate to long-term Shareholder value; and</w:t>
      </w:r>
    </w:p>
    <w:p>
      <w:pPr>
        <w:spacing w:after="0" w:line="21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tie compensation directly to those measurements and reward based on achieving and exceeding predetermined objectives.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5" w:name="page16"/>
    <w:bookmarkEnd w:id="15"/>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believes that transparent, objective and easily verified corporate goals, combined with individual performance goals, play an important role in creating and maintaining an effective compensation strategy for the NEOs. The Corporation’s objective is to establish benchmarks and targets for its NEOs that will enhance Shareholder value if achieved.</w:t>
      </w:r>
    </w:p>
    <w:p>
      <w:pPr>
        <w:spacing w:after="0" w:line="16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Aggregate compensation for each NEO is designed to be competitive. The compensation committee of the Board (the “</w:t>
      </w:r>
      <w:r>
        <w:rPr>
          <w:rFonts w:ascii="Times New Roman" w:cs="Times New Roman" w:eastAsia="Times New Roman" w:hAnsi="Times New Roman"/>
          <w:sz w:val="17"/>
          <w:szCs w:val="17"/>
          <w:b w:val="1"/>
          <w:bCs w:val="1"/>
          <w:color w:val="auto"/>
        </w:rPr>
        <w:t>Compensation Committee</w:t>
      </w:r>
      <w:r>
        <w:rPr>
          <w:rFonts w:ascii="Times New Roman" w:cs="Times New Roman" w:eastAsia="Times New Roman" w:hAnsi="Times New Roman"/>
          <w:sz w:val="17"/>
          <w:szCs w:val="17"/>
          <w:color w:val="auto"/>
        </w:rPr>
        <w:t>”) reviews from time to time the compensation practices of similarly situated companies when considering the Corporation’s NEOs compensation practices. The Compensation Committee reviews each element of compensation for market competitiveness, and although it may weigh a particular element more heavily based on the NEO’s role within the Corporation, it is primarily focused on remaining competitive in the market with respect to total compensation.</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From time to time, on an ad hoc basis, the Compensation Committee, along with the head of human resources reviews data related to compensation levels and programs of various companies that are similar in size to the Corporation and operate within technology industries or other emerging sectors. The Compensation Committee also relies on the experience of its members as officers and/or directors at other companies in similar lines of business as the Corporation in assessing compensation levels. These other companies are identified in this Circular under the heading “</w:t>
      </w:r>
      <w:r>
        <w:rPr>
          <w:rFonts w:ascii="Times New Roman" w:cs="Times New Roman" w:eastAsia="Times New Roman" w:hAnsi="Times New Roman"/>
          <w:sz w:val="17"/>
          <w:szCs w:val="17"/>
          <w:i w:val="1"/>
          <w:iCs w:val="1"/>
          <w:color w:val="auto"/>
        </w:rPr>
        <w:t>Corporate Governance – Directorships</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Compensation Governance</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Compensation Committee is responsible for ensuring that the Corporation has in place an appropriate plan for NEOs compensation and for making recommendations to the Board with respect to the compensation of the Corporation’s NEOs. The Compensation Committee will ensure that total compensation paid to all NEOs is fair, reasonable, and consistent with the Corporation’s compensation philosophy.</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From time to time the Compensation Committee makes, and the Board reviews and may approve, recommendations regarding compensation to executive officers and directors. A combination of fixed and variable compensation is used to motivate NEOs to achieve overall corporate goals. The three basic components of the Corporation’s NEOs compensation program are:</w:t>
      </w:r>
    </w:p>
    <w:p>
      <w:pPr>
        <w:spacing w:after="0" w:line="163" w:lineRule="exact"/>
        <w:rPr>
          <w:sz w:val="20"/>
          <w:szCs w:val="20"/>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 salary;</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incentive (bonus) payments; and</w:t>
      </w:r>
    </w:p>
    <w:p>
      <w:pPr>
        <w:spacing w:after="0" w:line="244"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RSUs and option-based compensation.</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Base salaries are paid in cash and constitute the fixed portion of the total compensation paid to NEOs. Annual incentives comprise the remainder and represent compensation that is “at risk” and thus may or may not be paid to the respective NEO depending on: (i) whether the NEO is able to meet or exceed his or her applicable performance targets; and, (ii) market performance of the Common Shares. No specific formula was developed prior to 2024 to assign a specific weighting to each of these components. Instead, the Board had considered each performance target and the Corporation’s performance and assigned compensation based on this assessment and the recommendations of the Compensation Committee. Starting on 2024 a Contribution Management Program is being built establishing base target percentages for annual incentives.</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Compensation Committee recommends, and the Board approves the salary ranges for the NEOs. The base salary review for each NEO is based on an assessment of factors such as current competitive market conditions, compensation levels and practices of similarly situated companies and particular skills, such as leadership ability and management effectiveness, experience, responsibility and proven or expected performance of the particular individual. The Corporation may consider comparative data for the Corporation’s peer group that are accumulated from a number of external sources including independent consultants. The Corporation’s determination of salary for NEOs intends to be consistent with the administration of salaries for all other executives and employees.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Annual Incentive Discretionary Performance Bonus (Cash Bonus) Payments</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Cash annual incentive awards are discretionary and based on various personal and company-wide achievements. Performance goals for annual incentive payments are subjective and include achieving individual and corporate targets and objectives, as well as general performance in day-to-day corporate activities, and industry competitive factors.</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Board approves target annual incentive amounts for each NEO at the beginning of each financial year. The Compensation Committee determines target amounts based on a number of factors including comparable compensation of similar companies.</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order to develop a recommendation to the Board regarding annual incentive payments, the Compensation Committee assesses NEO performance subjectively, considering each NEO’s respective success in achieving his or her individual objectives, contributions to the achievement of the Corporation’s goals, and contributions to meeting the needs of the Corporation that arise on a day-to-day basis.</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Board relies heavily on the recommendations of the Compensation Committee in granting annual incentives. However, the Board reserves ultimate discretion in determining whether each NEO has met his or her targets, and has the right make positive or negative adjustments to any annual incentive payment recommended by the Compensation Committee that it deems appropriate.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Long-Term Incentive Plan</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Grants of long-term equity incentives are an integral component of the Corporation’s NEO compensation structure. Equity-based awards are a variable element of compensation that allows the Corporation to reward NEOs for their sustained contributions to the Corporation. Long-term equity incentive awards reward performance and continued rendering of services, and help the Corporation attract and retain NEOs.</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Under the Corporation’s LTIP, last approved by the Shareholders on June 25, 2021, Options and RSUs are granted by, and at the discretion of, the Board upon recommendation from the Compensation Committee. In monitoring and adjusting the Option and RSU allotments, the Board takes into account its own observations on individual performance and its assessment of individual contributions to shareholder value, previous option grants and the objectives set for the NEOs. The scale of Options and RSUs is generally commensurate to the appropriate level of base compensation for each level of responsibility. The Board will consider the overall number of Options and RSUs that are outstanding relative to the number of outstanding Common Shares in determining whether to make any new grants of Options or RSUs and the size of such grants.</w:t>
      </w:r>
    </w:p>
    <w:p>
      <w:pPr>
        <w:spacing w:after="0" w:line="17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Since the time the Corporation adopted the LTIP, Options to purchase a total of 33,094,700 Common Shares have been issued to directors, officers, employees and consultants of the Corporation. As of the date of this Circular, a total of 20,638,137 Options and 799,998 RSUs are outstanding under the LTIP.</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LTIP is a rolling incentive plan, under which 10% of the outstanding Common Shares at any given time are available for issuance thereunder. The purpose of the LTIP is to advance the interests of the Corporation by (i) providing certain employees, officers, directors, or consultants of the Corporation (collectively, the “</w:t>
      </w:r>
      <w:r>
        <w:rPr>
          <w:rFonts w:ascii="Times New Roman" w:cs="Times New Roman" w:eastAsia="Times New Roman" w:hAnsi="Times New Roman"/>
          <w:sz w:val="17"/>
          <w:szCs w:val="17"/>
          <w:b w:val="1"/>
          <w:bCs w:val="1"/>
          <w:color w:val="auto"/>
        </w:rPr>
        <w:t>Award Holders</w:t>
      </w:r>
      <w:r>
        <w:rPr>
          <w:rFonts w:ascii="Times New Roman" w:cs="Times New Roman" w:eastAsia="Times New Roman" w:hAnsi="Times New Roman"/>
          <w:sz w:val="17"/>
          <w:szCs w:val="17"/>
          <w:color w:val="auto"/>
        </w:rPr>
        <w:t>”) with additional performance incentive; (ii) encouraging Common Share ownership by the Award Holders; (iii) increasing the proprietary interest of the Award Holders in the success of the Corporation; (iv) encouraging the Award Holders to remain with the Corporation; and (v) attracting new employees, officers, directors and consultants to the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information is intended to be a brief description and summary of the material features of the LTIP:</w:t>
      </w:r>
    </w:p>
    <w:p>
      <w:pPr>
        <w:spacing w:after="0" w:line="218" w:lineRule="exact"/>
        <w:rPr>
          <w:sz w:val="20"/>
          <w:szCs w:val="20"/>
          <w:color w:val="auto"/>
        </w:rPr>
      </w:pPr>
    </w:p>
    <w:p>
      <w:pPr>
        <w:jc w:val="both"/>
        <w:ind w:left="620" w:hanging="306"/>
        <w:spacing w:after="0" w:line="263"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maximum number of Common Shares available for issuance from treasury under the LTIP and all of the Corporation’s other security-based compensation arrangements at any given time is 10% of the outstanding Common Shares as at the date of grant of an option under the LTIP, subject to adjustment or increase of such number pursuant to the terms of the LTIP. Any Common Shares subject to an award (“</w:t>
      </w:r>
      <w:r>
        <w:rPr>
          <w:rFonts w:ascii="Times New Roman" w:cs="Times New Roman" w:eastAsia="Times New Roman" w:hAnsi="Times New Roman"/>
          <w:sz w:val="17"/>
          <w:szCs w:val="17"/>
          <w:b w:val="1"/>
          <w:bCs w:val="1"/>
          <w:color w:val="auto"/>
        </w:rPr>
        <w:t>Award</w:t>
      </w:r>
      <w:r>
        <w:rPr>
          <w:rFonts w:ascii="Times New Roman" w:cs="Times New Roman" w:eastAsia="Times New Roman" w:hAnsi="Times New Roman"/>
          <w:sz w:val="17"/>
          <w:szCs w:val="17"/>
          <w:color w:val="auto"/>
        </w:rPr>
        <w:t>”) of options or RSUs which has been granted under the LTIP and which has been cancelled, repurchased, expired or terminated in accordance with the terms of the LTIP without having been exercised, or any Award which has been vested or exercised, as applicable, will again be available under the LTIP.</w:t>
      </w:r>
    </w:p>
    <w:p>
      <w:pPr>
        <w:spacing w:after="0" w:line="17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RSU entitles the holder to receive one Common Share.</w:t>
      </w:r>
    </w:p>
    <w:p>
      <w:pPr>
        <w:spacing w:after="0" w:line="218" w:lineRule="exact"/>
        <w:rPr>
          <w:rFonts w:ascii="Times New Roman" w:cs="Times New Roman" w:eastAsia="Times New Roman" w:hAnsi="Times New Roman"/>
          <w:sz w:val="17"/>
          <w:szCs w:val="17"/>
          <w:color w:val="auto"/>
        </w:rPr>
      </w:pPr>
    </w:p>
    <w:p>
      <w:pPr>
        <w:jc w:val="both"/>
        <w:ind w:left="620" w:hanging="306"/>
        <w:spacing w:after="0" w:line="265"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of an option shall be determined by the Board at the time each option is granted, provided that such price shall not be less than (i) if the Common Shares are listed on the Exchange (as such term is defined in the LTIP), the last closing price of the Common Shares on the Exchange; or</w:t>
      </w:r>
    </w:p>
    <w:p>
      <w:pPr>
        <w:ind w:left="620" w:firstLine="4"/>
        <w:spacing w:after="0" w:line="268" w:lineRule="auto"/>
        <w:tabs>
          <w:tab w:leader="none" w:pos="880"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Common Shares are not listed on the Exchange, in accordance with the rules of the stock exchange on which the Common Shares are listed at the time of the grant; or (iii) if the Common Shares are not listed on any stock exchange, the minimum exercise price as determined by the Board.</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 w:name="page18"/>
    <w:bookmarkEnd w:id="17"/>
    <w:p>
      <w:pPr>
        <w:jc w:val="both"/>
        <w:ind w:left="306" w:hanging="306"/>
        <w:spacing w:after="0" w:line="266"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Common Shares reserved for issuance pursuant to awards granted to insiders of the Corporation at any given time, or within a 12-month period, shall not exceed 10% of the total number of Common Shares then outstanding, unless disinterested shareholder approval is obtained. The aggregate number of Common Shares reserved for issuance pursuant to awards granted to any one person or entity within any twelve-month period shall not exceed 5% of the total number of Common Shares then outstanding unless disinterested shareholder approval is obtained.</w:t>
      </w:r>
    </w:p>
    <w:p>
      <w:pPr>
        <w:spacing w:after="0" w:line="168" w:lineRule="exact"/>
        <w:rPr>
          <w:rFonts w:ascii="Times New Roman" w:cs="Times New Roman" w:eastAsia="Times New Roman" w:hAnsi="Times New Roman"/>
          <w:sz w:val="17"/>
          <w:szCs w:val="17"/>
          <w:color w:val="auto"/>
        </w:rPr>
      </w:pPr>
    </w:p>
    <w:p>
      <w:pPr>
        <w:jc w:val="both"/>
        <w:ind w:left="306" w:hanging="306"/>
        <w:spacing w:after="0" w:line="272"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Common Shares issued to insiders within any 12-month period, or issuable to insiders at any time, under the Plan and any other security-based compensation arrangement of the Corporation, may not exceed 10% of the total number of issued and outstanding Common Shares during any such period of time;</w:t>
      </w:r>
    </w:p>
    <w:p>
      <w:pPr>
        <w:spacing w:after="0" w:line="163" w:lineRule="exact"/>
        <w:rPr>
          <w:rFonts w:ascii="Times New Roman" w:cs="Times New Roman" w:eastAsia="Times New Roman" w:hAnsi="Times New Roman"/>
          <w:sz w:val="17"/>
          <w:szCs w:val="17"/>
          <w:color w:val="auto"/>
        </w:rPr>
      </w:pPr>
    </w:p>
    <w:p>
      <w:pPr>
        <w:ind w:left="306" w:hanging="306"/>
        <w:spacing w:after="0" w:line="291"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issuable pursuant to RSUs to any Participant under the LTIP shall not exceed 1.5% of the issued and outstanding Common Shares at the time of the Award;</w:t>
      </w:r>
    </w:p>
    <w:p>
      <w:pPr>
        <w:spacing w:after="0" w:line="146" w:lineRule="exact"/>
        <w:rPr>
          <w:rFonts w:ascii="Times New Roman" w:cs="Times New Roman" w:eastAsia="Times New Roman" w:hAnsi="Times New Roman"/>
          <w:sz w:val="17"/>
          <w:szCs w:val="17"/>
          <w:color w:val="auto"/>
        </w:rPr>
      </w:pPr>
    </w:p>
    <w:p>
      <w:pPr>
        <w:jc w:val="both"/>
        <w:ind w:left="306" w:hanging="306"/>
        <w:spacing w:after="0" w:line="266"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officers, consultants and employees of the Corporation or its subsidiaries, and employees of a person or company which provides management services to the Corporation or its subsidiaries, are eligible to participate in the LTIP. Subject to compliance with requirements of the applicable regulators, Awards Holders may elect to hold Awards granted to them in an incorporated entity wholly owned by them and such entity is bound by the LTIP in the same manner as if the Awards were held by the Award Holder.</w:t>
      </w:r>
    </w:p>
    <w:p>
      <w:pPr>
        <w:spacing w:after="0" w:line="168" w:lineRule="exact"/>
        <w:rPr>
          <w:rFonts w:ascii="Times New Roman" w:cs="Times New Roman" w:eastAsia="Times New Roman" w:hAnsi="Times New Roman"/>
          <w:sz w:val="17"/>
          <w:szCs w:val="17"/>
          <w:color w:val="auto"/>
        </w:rPr>
      </w:pPr>
    </w:p>
    <w:p>
      <w:pPr>
        <w:ind w:left="306" w:hanging="306"/>
        <w:spacing w:after="0" w:line="291"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and all rights thereunder shall expire on the date set out in the Award agreement, provided that in no circumstances shall the duration of an Award exceed ten (10) years, or the maximum term permitted by the applicable regulators.</w:t>
      </w:r>
    </w:p>
    <w:p>
      <w:pPr>
        <w:spacing w:after="0" w:line="146" w:lineRule="exact"/>
        <w:rPr>
          <w:rFonts w:ascii="Times New Roman" w:cs="Times New Roman" w:eastAsia="Times New Roman" w:hAnsi="Times New Roman"/>
          <w:sz w:val="17"/>
          <w:szCs w:val="17"/>
          <w:color w:val="auto"/>
        </w:rPr>
      </w:pPr>
    </w:p>
    <w:p>
      <w:pPr>
        <w:jc w:val="both"/>
        <w:ind w:left="306" w:hanging="306"/>
        <w:spacing w:after="0" w:line="272"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Awards expire during a period when trading of the Corporation’s securities by certain persons as designated by the Corporation is prohibited or within 10 business days after the end of such a period, the term of those Awards will be extended to 10 business days after the end of the prohibited trading period, unless such extension is prohibited by any applicable law or the policies of the applicable regulators.</w:t>
      </w:r>
    </w:p>
    <w:p>
      <w:pPr>
        <w:spacing w:after="0" w:line="163" w:lineRule="exact"/>
        <w:rPr>
          <w:rFonts w:ascii="Times New Roman" w:cs="Times New Roman" w:eastAsia="Times New Roman" w:hAnsi="Times New Roman"/>
          <w:sz w:val="17"/>
          <w:szCs w:val="17"/>
          <w:color w:val="auto"/>
        </w:rPr>
      </w:pPr>
    </w:p>
    <w:p>
      <w:pPr>
        <w:jc w:val="both"/>
        <w:ind w:left="306" w:hanging="306"/>
        <w:spacing w:after="0" w:line="266"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determine when any Award will become exercisable and may determine that the Award will be exercisable immediately upon the date of grant, or in instalments or pursuant to a vesting schedule. However, unless the Board determines otherwise, Awards issued pursuant to the LTIP are generally subject to a vesting schedule as follows: (i) 1/3 upon the date of grant; (ii) 1/3 upon the first anniversary of the date of grant; and (iii) 1/3 upon the second anniversary of the date of grant.</w:t>
      </w:r>
    </w:p>
    <w:p>
      <w:pPr>
        <w:spacing w:after="0" w:line="168" w:lineRule="exact"/>
        <w:rPr>
          <w:rFonts w:ascii="Times New Roman" w:cs="Times New Roman" w:eastAsia="Times New Roman" w:hAnsi="Times New Roman"/>
          <w:sz w:val="17"/>
          <w:szCs w:val="17"/>
          <w:color w:val="auto"/>
        </w:rPr>
      </w:pPr>
    </w:p>
    <w:p>
      <w:pPr>
        <w:jc w:val="both"/>
        <w:ind w:left="306" w:hanging="306"/>
        <w:spacing w:after="0" w:line="266"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an Award Holder ceases to be eligible for the grant of Awards under the LTIP, Awards previously granted to such person will cease to be exercisable within a period of 90 days after the date such person ceases to be eligible under the LTIP, or such longer or shorter period as determined by the Board, provided that no Award shall remain outstanding for any period which exceeds the earlier of: (i) the expiry date of such Award; and (ii) 12 months following the date such person ceases to be eligible under the LTIP.</w:t>
      </w:r>
    </w:p>
    <w:p>
      <w:pPr>
        <w:spacing w:after="0" w:line="168" w:lineRule="exact"/>
        <w:rPr>
          <w:rFonts w:ascii="Times New Roman" w:cs="Times New Roman" w:eastAsia="Times New Roman" w:hAnsi="Times New Roman"/>
          <w:sz w:val="17"/>
          <w:szCs w:val="17"/>
          <w:color w:val="auto"/>
        </w:rPr>
      </w:pPr>
    </w:p>
    <w:p>
      <w:pPr>
        <w:jc w:val="both"/>
        <w:ind w:left="306" w:hanging="306"/>
        <w:spacing w:after="0" w:line="272"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a director or officer of the Corporation, or its subsidiaries, for any reason (other than death, and for cause), such Option Holder may exercise their Options to the extent that the Option Holder was entitled to exercise it at the date of such cessation, provided that such exercise must occur within 12 months after the Award Holder ceases to be a director, or officer.</w:t>
      </w:r>
    </w:p>
    <w:p>
      <w:pPr>
        <w:spacing w:after="0" w:line="163" w:lineRule="exact"/>
        <w:rPr>
          <w:rFonts w:ascii="Times New Roman" w:cs="Times New Roman" w:eastAsia="Times New Roman" w:hAnsi="Times New Roman"/>
          <w:sz w:val="17"/>
          <w:szCs w:val="17"/>
          <w:color w:val="auto"/>
        </w:rPr>
      </w:pPr>
    </w:p>
    <w:p>
      <w:pPr>
        <w:ind w:left="306" w:hanging="306"/>
        <w:spacing w:after="0" w:line="291"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director or officer of the Corporation or its subsidiaries for Cause, any vested Options or unvested Options held by the Option Holder at the time of such termination shall be cancelled and forfeited upon the Termination Date.</w:t>
      </w:r>
    </w:p>
    <w:p>
      <w:pPr>
        <w:spacing w:after="0" w:line="146" w:lineRule="exact"/>
        <w:rPr>
          <w:rFonts w:ascii="Times New Roman" w:cs="Times New Roman" w:eastAsia="Times New Roman" w:hAnsi="Times New Roman"/>
          <w:sz w:val="17"/>
          <w:szCs w:val="17"/>
          <w:color w:val="auto"/>
        </w:rPr>
      </w:pPr>
    </w:p>
    <w:p>
      <w:pPr>
        <w:jc w:val="both"/>
        <w:ind w:left="306" w:hanging="306"/>
        <w:spacing w:after="0" w:line="272" w:lineRule="auto"/>
        <w:tabs>
          <w:tab w:leader="none" w:pos="30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a consultant or employee of the Corporation, or its subsidiaries, for any reason (other than death and for Cause), such Option Holder may exercise their Options to the extent that the Option Holder was entitled to exercise it at the date of such cessation, provided that such exercise must occur within 90 days after the Award Holder ceases to be a consultant or employee.</w:t>
      </w:r>
    </w:p>
    <w:p>
      <w:pPr>
        <w:spacing w:after="0" w:line="370" w:lineRule="exact"/>
        <w:rPr>
          <w:sz w:val="20"/>
          <w:szCs w:val="20"/>
          <w:color w:val="auto"/>
        </w:rPr>
      </w:pPr>
    </w:p>
    <w:p>
      <w:pPr>
        <w:jc w:val="center"/>
        <w:ind w:right="294"/>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19050</wp:posOffset>
            </wp:positionV>
            <wp:extent cx="713803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926"/>
          </w:cols>
          <w:pgMar w:left="634" w:top="328" w:right="339" w:bottom="1440" w:gutter="0" w:footer="0" w:header="0"/>
        </w:sectPr>
      </w:pPr>
    </w:p>
    <w:bookmarkStart w:id="18" w:name="page19"/>
    <w:bookmarkEnd w:id="18"/>
    <w:p>
      <w:pPr>
        <w:ind w:left="620" w:hanging="306"/>
        <w:spacing w:after="0" w:line="291"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Option Holder ceases to be a consultant or employee of the Corporation or its subsidiaries for Cause, any vested Options or unvested Options held by the Option Holder at the time of such termination shall be cancelled and forfeited upon the Termination Date</w:t>
      </w:r>
    </w:p>
    <w:p>
      <w:pPr>
        <w:spacing w:after="0" w:line="146"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death of an Award Holder, the Award previously granted shall pass to the Personal Representative, as defined in the LTIP, and any vested Awards shall be exercisable at the earliest between 12 months after such death and the applicable Expiry Date.</w:t>
      </w:r>
    </w:p>
    <w:p>
      <w:pPr>
        <w:spacing w:after="0" w:line="146" w:lineRule="exact"/>
        <w:rPr>
          <w:rFonts w:ascii="Times New Roman" w:cs="Times New Roman" w:eastAsia="Times New Roman" w:hAnsi="Times New Roman"/>
          <w:sz w:val="17"/>
          <w:szCs w:val="17"/>
          <w:color w:val="auto"/>
        </w:rPr>
      </w:pPr>
    </w:p>
    <w:p>
      <w:pPr>
        <w:ind w:left="620" w:hanging="306"/>
        <w:spacing w:after="0" w:line="291" w:lineRule="auto"/>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Change of Control (as defined in the LTIP), all restrictions upon any RSUs shall lapse immediately and become fully vested and will accrue to the Participant.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TSX policies relating to security-based compensation arrangements require that every three years after the institution of a security-based compensation arrangement, all unallocated Awards under a security-based compensation arrangement without a fixed maximum aggregate of securities issuable must be approved by a majority of the Corporation’s directors and the Corporation’s shareholders. As the LTIP was last approved on June 25, 2021, Shareholders are being asked to reapprove the unallocated entitlements at the Meeting.</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full text of the LTIP is attached hereto as Schedule “B”.</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Annual Burn Rate</w:t>
      </w:r>
    </w:p>
    <w:p>
      <w:pPr>
        <w:spacing w:after="0" w:line="22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accordance with the requirements of section 613 of the TSX Company Manual, the following table sets out the burn rate of the awards granted under the Corporation’s security-based compensation arrangements as of the end of the financial years ended December 31, 2023, and December 31, 2022. As at April 16, 2024, the only security-based compensation arrangement is the LTIP. The table below sets out the burn rate for the Options and RSUs granted under the LTIP and the previous options plan for the years ended December 31, 2023, and December 31, 2022, The burn rate is calculated by dividing the number of Options or RSUs granted under the respective plans during the relevant fiscal year by the weighted average number of securities outstanding for the applicable fiscal year.</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4420" w:type="dxa"/>
            <w:vAlign w:val="bottom"/>
            <w:tcBorders>
              <w:top w:val="single" w:sz="8" w:color="auto"/>
              <w:left w:val="single" w:sz="8" w:color="auto"/>
              <w:right w:val="single" w:sz="8" w:color="auto"/>
            </w:tcBorders>
          </w:tcPr>
          <w:p>
            <w:pPr>
              <w:spacing w:after="0"/>
              <w:rPr>
                <w:sz w:val="24"/>
                <w:szCs w:val="24"/>
                <w:color w:val="auto"/>
              </w:rPr>
            </w:pPr>
          </w:p>
        </w:tc>
        <w:tc>
          <w:tcPr>
            <w:tcW w:w="3460" w:type="dxa"/>
            <w:vAlign w:val="bottom"/>
            <w:tcBorders>
              <w:top w:val="single" w:sz="8" w:color="auto"/>
              <w:right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3360" w:type="dxa"/>
            <w:vAlign w:val="bottom"/>
            <w:tcBorders>
              <w:top w:val="single" w:sz="8" w:color="auto"/>
              <w:right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c>
          <w:tcPr>
            <w:tcW w:w="0" w:type="dxa"/>
            <w:vAlign w:val="bottom"/>
          </w:tcPr>
          <w:p>
            <w:pPr>
              <w:spacing w:after="0"/>
              <w:rPr>
                <w:sz w:val="1"/>
                <w:szCs w:val="1"/>
                <w:color w:val="auto"/>
              </w:rPr>
            </w:pPr>
          </w:p>
        </w:tc>
      </w:tr>
      <w:tr>
        <w:trPr>
          <w:trHeight w:val="57"/>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Number of Options granted under the LTIP</w:t>
            </w:r>
          </w:p>
        </w:tc>
        <w:tc>
          <w:tcPr>
            <w:tcW w:w="34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13,156,250</w:t>
            </w:r>
          </w:p>
        </w:tc>
        <w:tc>
          <w:tcPr>
            <w:tcW w:w="33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9,592,500</w:t>
            </w:r>
          </w:p>
        </w:tc>
        <w:tc>
          <w:tcPr>
            <w:tcW w:w="0" w:type="dxa"/>
            <w:vAlign w:val="bottom"/>
          </w:tcPr>
          <w:p>
            <w:pPr>
              <w:spacing w:after="0"/>
              <w:rPr>
                <w:sz w:val="1"/>
                <w:szCs w:val="1"/>
                <w:color w:val="auto"/>
              </w:rPr>
            </w:pPr>
          </w:p>
        </w:tc>
      </w:tr>
      <w:tr>
        <w:trPr>
          <w:trHeight w:val="57"/>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Number of RSUs granted under the LTIP</w:t>
            </w:r>
          </w:p>
        </w:tc>
        <w:tc>
          <w:tcPr>
            <w:tcW w:w="34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475,000</w:t>
            </w:r>
          </w:p>
        </w:tc>
        <w:tc>
          <w:tcPr>
            <w:tcW w:w="33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57"/>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4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Weighted average number of securities outstanding for the</w:t>
            </w:r>
          </w:p>
        </w:tc>
        <w:tc>
          <w:tcPr>
            <w:tcW w:w="3460" w:type="dxa"/>
            <w:vAlign w:val="bottom"/>
            <w:tcBorders>
              <w:right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7"/>
                <w:szCs w:val="17"/>
                <w:color w:val="auto"/>
              </w:rPr>
              <w:t>262,237,000</w:t>
            </w:r>
          </w:p>
        </w:tc>
        <w:tc>
          <w:tcPr>
            <w:tcW w:w="3360" w:type="dxa"/>
            <w:vAlign w:val="bottom"/>
            <w:tcBorders>
              <w:right w:val="single" w:sz="8" w:color="auto"/>
            </w:tcBorders>
            <w:vMerge w:val="restart"/>
          </w:tcPr>
          <w:p>
            <w:pPr>
              <w:jc w:val="right"/>
              <w:ind w:right="434"/>
              <w:spacing w:after="0"/>
              <w:rPr>
                <w:sz w:val="20"/>
                <w:szCs w:val="20"/>
                <w:color w:val="auto"/>
              </w:rPr>
            </w:pPr>
            <w:r>
              <w:rPr>
                <w:rFonts w:ascii="Times New Roman" w:cs="Times New Roman" w:eastAsia="Times New Roman" w:hAnsi="Times New Roman"/>
                <w:sz w:val="17"/>
                <w:szCs w:val="17"/>
                <w:color w:val="auto"/>
              </w:rPr>
              <w:t>207,776,000</w:t>
            </w:r>
          </w:p>
        </w:tc>
        <w:tc>
          <w:tcPr>
            <w:tcW w:w="0" w:type="dxa"/>
            <w:vAlign w:val="bottom"/>
          </w:tcPr>
          <w:p>
            <w:pPr>
              <w:spacing w:after="0"/>
              <w:rPr>
                <w:sz w:val="1"/>
                <w:szCs w:val="1"/>
                <w:color w:val="auto"/>
              </w:rPr>
            </w:pPr>
          </w:p>
        </w:tc>
      </w:tr>
      <w:tr>
        <w:trPr>
          <w:trHeight w:val="122"/>
        </w:trPr>
        <w:tc>
          <w:tcPr>
            <w:tcW w:w="44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applicable year</w:t>
            </w:r>
          </w:p>
        </w:tc>
        <w:tc>
          <w:tcPr>
            <w:tcW w:w="3460" w:type="dxa"/>
            <w:vAlign w:val="bottom"/>
            <w:tcBorders>
              <w:right w:val="single" w:sz="8" w:color="auto"/>
            </w:tcBorders>
            <w:vMerge w:val="continue"/>
          </w:tcPr>
          <w:p>
            <w:pPr>
              <w:spacing w:after="0"/>
              <w:rPr>
                <w:sz w:val="10"/>
                <w:szCs w:val="10"/>
                <w:color w:val="auto"/>
              </w:rPr>
            </w:pPr>
          </w:p>
        </w:tc>
        <w:tc>
          <w:tcPr>
            <w:tcW w:w="33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4420" w:type="dxa"/>
            <w:vAlign w:val="bottom"/>
            <w:tcBorders>
              <w:left w:val="single" w:sz="8" w:color="auto"/>
              <w:right w:val="single" w:sz="8" w:color="auto"/>
            </w:tcBorders>
            <w:vMerge w:val="continue"/>
          </w:tcPr>
          <w:p>
            <w:pPr>
              <w:spacing w:after="0"/>
              <w:rPr>
                <w:sz w:val="8"/>
                <w:szCs w:val="8"/>
                <w:color w:val="auto"/>
              </w:rPr>
            </w:pPr>
          </w:p>
        </w:tc>
        <w:tc>
          <w:tcPr>
            <w:tcW w:w="3460" w:type="dxa"/>
            <w:vAlign w:val="bottom"/>
            <w:tcBorders>
              <w:right w:val="single" w:sz="8" w:color="auto"/>
            </w:tcBorders>
          </w:tcPr>
          <w:p>
            <w:pPr>
              <w:spacing w:after="0"/>
              <w:rPr>
                <w:sz w:val="8"/>
                <w:szCs w:val="8"/>
                <w:color w:val="auto"/>
              </w:rPr>
            </w:pPr>
          </w:p>
        </w:tc>
        <w:tc>
          <w:tcPr>
            <w:tcW w:w="3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Annual burn rate of Options</w:t>
            </w:r>
          </w:p>
        </w:tc>
        <w:tc>
          <w:tcPr>
            <w:tcW w:w="34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5.02%</w:t>
            </w:r>
          </w:p>
        </w:tc>
        <w:tc>
          <w:tcPr>
            <w:tcW w:w="33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4.62%</w:t>
            </w:r>
          </w:p>
        </w:tc>
        <w:tc>
          <w:tcPr>
            <w:tcW w:w="0" w:type="dxa"/>
            <w:vAlign w:val="bottom"/>
          </w:tcPr>
          <w:p>
            <w:pPr>
              <w:spacing w:after="0"/>
              <w:rPr>
                <w:sz w:val="1"/>
                <w:szCs w:val="1"/>
                <w:color w:val="auto"/>
              </w:rPr>
            </w:pPr>
          </w:p>
        </w:tc>
      </w:tr>
      <w:tr>
        <w:trPr>
          <w:trHeight w:val="57"/>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4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Annual burn rate of RSUs</w:t>
            </w:r>
          </w:p>
        </w:tc>
        <w:tc>
          <w:tcPr>
            <w:tcW w:w="34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0.18%</w:t>
            </w:r>
          </w:p>
        </w:tc>
        <w:tc>
          <w:tcPr>
            <w:tcW w:w="3360" w:type="dxa"/>
            <w:vAlign w:val="bottom"/>
            <w:tcBorders>
              <w:right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0.10%</w:t>
            </w:r>
          </w:p>
        </w:tc>
        <w:tc>
          <w:tcPr>
            <w:tcW w:w="0" w:type="dxa"/>
            <w:vAlign w:val="bottom"/>
          </w:tcPr>
          <w:p>
            <w:pPr>
              <w:spacing w:after="0"/>
              <w:rPr>
                <w:sz w:val="1"/>
                <w:szCs w:val="1"/>
                <w:color w:val="auto"/>
              </w:rPr>
            </w:pPr>
          </w:p>
        </w:tc>
      </w:tr>
      <w:tr>
        <w:trPr>
          <w:trHeight w:val="57"/>
        </w:trPr>
        <w:tc>
          <w:tcPr>
            <w:tcW w:w="4420" w:type="dxa"/>
            <w:vAlign w:val="bottom"/>
            <w:tcBorders>
              <w:left w:val="single" w:sz="8" w:color="auto"/>
              <w:bottom w:val="single" w:sz="8" w:color="auto"/>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Instruments</w:t>
      </w:r>
    </w:p>
    <w:p>
      <w:pPr>
        <w:spacing w:after="0" w:line="22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Pursuant to the terms of the Corporation’s Securities Trading Policy, the Corporation’s officers and directors are prohibited from purchasing financial instruments, such as prepaid variable forward contracts, equity swaps, collars or units of exchange funds securities that are designed to hedge or offset a decrease in market value of equity securities granted as compensation or held, directly or indirectly, by the officer or director.</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 for NEOs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table provides a summary of the compensation earned by the NEOs for services rendered in all capacities during the last three financial years. Some of such officers received compensation from Backbone Hosting Solutions Inc. (“</w:t>
      </w:r>
      <w:r>
        <w:rPr>
          <w:rFonts w:ascii="Times New Roman" w:cs="Times New Roman" w:eastAsia="Times New Roman" w:hAnsi="Times New Roman"/>
          <w:sz w:val="17"/>
          <w:szCs w:val="17"/>
          <w:b w:val="1"/>
          <w:bCs w:val="1"/>
          <w:color w:val="auto"/>
        </w:rPr>
        <w:t>Backbone</w:t>
      </w:r>
      <w:r>
        <w:rPr>
          <w:rFonts w:ascii="Times New Roman" w:cs="Times New Roman" w:eastAsia="Times New Roman" w:hAnsi="Times New Roman"/>
          <w:sz w:val="17"/>
          <w:szCs w:val="17"/>
          <w:color w:val="auto"/>
        </w:rPr>
        <w:t>”), and/or from Backbone Hosting Solutions (USA) Inc. (“Backbone USA”) both subsidiaries of the Corporation, for acting in such capacities for the financial years ended December 31, 2023, 2022, and 2021.</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340" w:type="dxa"/>
            <w:vAlign w:val="bottom"/>
            <w:tcBorders>
              <w:top w:val="single" w:sz="8" w:color="auto"/>
              <w:left w:val="single" w:sz="8" w:color="auto"/>
              <w:right w:val="single" w:sz="8" w:color="auto"/>
            </w:tcBorders>
          </w:tcPr>
          <w:p>
            <w:pPr>
              <w:spacing w:after="0"/>
              <w:rPr>
                <w:sz w:val="22"/>
                <w:szCs w:val="22"/>
                <w:color w:val="auto"/>
              </w:rPr>
            </w:pPr>
          </w:p>
        </w:tc>
        <w:tc>
          <w:tcPr>
            <w:tcW w:w="740" w:type="dxa"/>
            <w:vAlign w:val="bottom"/>
            <w:tcBorders>
              <w:top w:val="single" w:sz="8" w:color="auto"/>
              <w:right w:val="single" w:sz="8" w:color="auto"/>
            </w:tcBorders>
          </w:tcPr>
          <w:p>
            <w:pPr>
              <w:spacing w:after="0"/>
              <w:rPr>
                <w:sz w:val="22"/>
                <w:szCs w:val="22"/>
                <w:color w:val="auto"/>
              </w:rPr>
            </w:pPr>
          </w:p>
        </w:tc>
        <w:tc>
          <w:tcPr>
            <w:tcW w:w="1000" w:type="dxa"/>
            <w:vAlign w:val="bottom"/>
            <w:tcBorders>
              <w:top w:val="single" w:sz="8" w:color="auto"/>
              <w:right w:val="single" w:sz="8" w:color="auto"/>
            </w:tcBorders>
          </w:tcPr>
          <w:p>
            <w:pPr>
              <w:spacing w:after="0"/>
              <w:rPr>
                <w:sz w:val="22"/>
                <w:szCs w:val="22"/>
                <w:color w:val="auto"/>
              </w:rPr>
            </w:pPr>
          </w:p>
        </w:tc>
        <w:tc>
          <w:tcPr>
            <w:tcW w:w="1100" w:type="dxa"/>
            <w:vAlign w:val="bottom"/>
            <w:tcBorders>
              <w:top w:val="single" w:sz="8" w:color="auto"/>
              <w:right w:val="single" w:sz="8" w:color="auto"/>
            </w:tcBorders>
          </w:tcPr>
          <w:p>
            <w:pPr>
              <w:spacing w:after="0"/>
              <w:rPr>
                <w:sz w:val="22"/>
                <w:szCs w:val="22"/>
                <w:color w:val="auto"/>
              </w:rPr>
            </w:pPr>
          </w:p>
        </w:tc>
        <w:tc>
          <w:tcPr>
            <w:tcW w:w="1700" w:type="dxa"/>
            <w:vAlign w:val="bottom"/>
            <w:tcBorders>
              <w:top w:val="single" w:sz="8" w:color="auto"/>
              <w:right w:val="single" w:sz="8" w:color="auto"/>
            </w:tcBorders>
          </w:tcPr>
          <w:p>
            <w:pPr>
              <w:spacing w:after="0"/>
              <w:rPr>
                <w:sz w:val="22"/>
                <w:szCs w:val="22"/>
                <w:color w:val="auto"/>
              </w:rPr>
            </w:pPr>
          </w:p>
        </w:tc>
        <w:tc>
          <w:tcPr>
            <w:tcW w:w="2160" w:type="dxa"/>
            <w:vAlign w:val="bottom"/>
            <w:tcBorders>
              <w:top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 incentive plan</w:t>
            </w:r>
          </w:p>
        </w:tc>
        <w:tc>
          <w:tcPr>
            <w:tcW w:w="780" w:type="dxa"/>
            <w:vAlign w:val="bottom"/>
            <w:tcBorders>
              <w:top w:val="single" w:sz="8" w:color="auto"/>
              <w:right w:val="single" w:sz="8" w:color="auto"/>
            </w:tcBorders>
          </w:tcPr>
          <w:p>
            <w:pPr>
              <w:spacing w:after="0"/>
              <w:rPr>
                <w:sz w:val="22"/>
                <w:szCs w:val="22"/>
                <w:color w:val="auto"/>
              </w:rPr>
            </w:pPr>
          </w:p>
        </w:tc>
        <w:tc>
          <w:tcPr>
            <w:tcW w:w="1100" w:type="dxa"/>
            <w:vAlign w:val="bottom"/>
            <w:tcBorders>
              <w:top w:val="single" w:sz="8" w:color="auto"/>
              <w:right w:val="single" w:sz="8" w:color="auto"/>
            </w:tcBorders>
          </w:tcPr>
          <w:p>
            <w:pPr>
              <w:spacing w:after="0"/>
              <w:rPr>
                <w:sz w:val="22"/>
                <w:szCs w:val="22"/>
                <w:color w:val="auto"/>
              </w:rPr>
            </w:pPr>
          </w:p>
        </w:tc>
        <w:tc>
          <w:tcPr>
            <w:tcW w:w="13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340" w:type="dxa"/>
            <w:vAlign w:val="bottom"/>
            <w:tcBorders>
              <w:left w:val="single" w:sz="8" w:color="auto"/>
              <w:right w:val="single" w:sz="8" w:color="auto"/>
            </w:tcBorders>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110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216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78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19"/>
                <w:szCs w:val="19"/>
                <w:color w:val="auto"/>
              </w:rPr>
            </w:pPr>
          </w:p>
        </w:tc>
        <w:tc>
          <w:tcPr>
            <w:tcW w:w="13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1340" w:type="dxa"/>
            <w:vAlign w:val="bottom"/>
            <w:tcBorders>
              <w:left w:val="single" w:sz="8" w:color="auto"/>
              <w:right w:val="single" w:sz="8" w:color="auto"/>
            </w:tcBorders>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vMerge w:val="continue"/>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3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1340" w:type="dxa"/>
            <w:vAlign w:val="bottom"/>
            <w:tcBorders>
              <w:left w:val="single" w:sz="8" w:color="auto"/>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Option-based</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Annual</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Long-term</w:t>
            </w:r>
          </w:p>
        </w:tc>
        <w:tc>
          <w:tcPr>
            <w:tcW w:w="7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Name and</w:t>
            </w:r>
          </w:p>
        </w:tc>
        <w:tc>
          <w:tcPr>
            <w:tcW w:w="74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consulting</w:t>
            </w:r>
          </w:p>
        </w:tc>
        <w:tc>
          <w:tcPr>
            <w:tcW w:w="11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960" w:type="dxa"/>
            <w:vAlign w:val="bottom"/>
            <w:tcBorders>
              <w:right w:val="single" w:sz="8" w:color="auto"/>
            </w:tcBorders>
            <w:vMerge w:val="continue"/>
          </w:tcPr>
          <w:p>
            <w:pPr>
              <w:spacing w:after="0"/>
              <w:rPr>
                <w:sz w:val="15"/>
                <w:szCs w:val="15"/>
                <w:color w:val="auto"/>
              </w:rPr>
            </w:pPr>
          </w:p>
        </w:tc>
        <w:tc>
          <w:tcPr>
            <w:tcW w:w="78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8"/>
              </w:rPr>
              <w:t>Pension</w:t>
            </w:r>
          </w:p>
        </w:tc>
        <w:tc>
          <w:tcPr>
            <w:tcW w:w="1100" w:type="dxa"/>
            <w:vAlign w:val="bottom"/>
            <w:tcBorders>
              <w:right w:val="single" w:sz="8" w:color="auto"/>
            </w:tcBorders>
            <w:vMerge w:val="continue"/>
          </w:tcPr>
          <w:p>
            <w:pPr>
              <w:spacing w:after="0"/>
              <w:rPr>
                <w:sz w:val="15"/>
                <w:szCs w:val="15"/>
                <w:color w:val="auto"/>
              </w:rPr>
            </w:pPr>
          </w:p>
        </w:tc>
        <w:tc>
          <w:tcPr>
            <w:tcW w:w="1320" w:type="dxa"/>
            <w:vAlign w:val="bottom"/>
            <w:tcBorders>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7"/>
              </w:rPr>
              <w:t>Total</w:t>
            </w:r>
          </w:p>
        </w:tc>
        <w:tc>
          <w:tcPr>
            <w:tcW w:w="0" w:type="dxa"/>
            <w:vAlign w:val="bottom"/>
          </w:tcPr>
          <w:p>
            <w:pPr>
              <w:spacing w:after="0"/>
              <w:rPr>
                <w:sz w:val="1"/>
                <w:szCs w:val="1"/>
                <w:color w:val="auto"/>
              </w:rPr>
            </w:pPr>
          </w:p>
        </w:tc>
      </w:tr>
      <w:tr>
        <w:trPr>
          <w:trHeight w:val="207"/>
        </w:trPr>
        <w:tc>
          <w:tcPr>
            <w:tcW w:w="13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Principal</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fee or</w:t>
            </w:r>
          </w:p>
        </w:tc>
        <w:tc>
          <w:tcPr>
            <w:tcW w:w="1100" w:type="dxa"/>
            <w:vAlign w:val="bottom"/>
            <w:tcBorders>
              <w:right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1700" w:type="dxa"/>
            <w:vAlign w:val="bottom"/>
            <w:tcBorders>
              <w:right w:val="single" w:sz="8" w:color="auto"/>
            </w:tcBorders>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rPr>
              <w:t>awards</w:t>
            </w:r>
            <w:r>
              <w:rPr>
                <w:rFonts w:ascii="Times New Roman" w:cs="Times New Roman" w:eastAsia="Times New Roman" w:hAnsi="Times New Roman"/>
                <w:sz w:val="23"/>
                <w:szCs w:val="23"/>
                <w:b w:val="1"/>
                <w:bCs w:val="1"/>
                <w:color w:val="auto"/>
                <w:vertAlign w:val="superscript"/>
              </w:rPr>
              <w:t>(1)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0" w:type="dxa"/>
            <w:vAlign w:val="bottom"/>
          </w:tcPr>
          <w:p>
            <w:pPr>
              <w:spacing w:after="0"/>
              <w:rPr>
                <w:sz w:val="1"/>
                <w:szCs w:val="1"/>
                <w:color w:val="auto"/>
              </w:rPr>
            </w:pPr>
          </w:p>
        </w:tc>
      </w:tr>
      <w:tr>
        <w:trPr>
          <w:trHeight w:val="316"/>
        </w:trPr>
        <w:tc>
          <w:tcPr>
            <w:tcW w:w="13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retainer ($)</w:t>
            </w:r>
          </w:p>
        </w:tc>
        <w:tc>
          <w:tcPr>
            <w:tcW w:w="1100" w:type="dxa"/>
            <w:vAlign w:val="bottom"/>
            <w:tcBorders>
              <w:bottom w:val="single" w:sz="8" w:color="auto"/>
              <w:right w:val="single" w:sz="8" w:color="auto"/>
            </w:tcBorders>
          </w:tcPr>
          <w:p>
            <w:pPr>
              <w:jc w:val="right"/>
              <w:spacing w:after="0" w:line="310" w:lineRule="exact"/>
              <w:rPr>
                <w:sz w:val="20"/>
                <w:szCs w:val="20"/>
                <w:color w:val="auto"/>
              </w:rPr>
            </w:pPr>
            <w:r>
              <w:rPr>
                <w:rFonts w:ascii="Times New Roman" w:cs="Times New Roman" w:eastAsia="Times New Roman" w:hAnsi="Times New Roman"/>
                <w:sz w:val="17"/>
                <w:szCs w:val="17"/>
                <w:b w:val="1"/>
                <w:bCs w:val="1"/>
                <w:color w:val="auto"/>
              </w:rPr>
              <w:t>awards</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w:t>
            </w:r>
          </w:p>
        </w:tc>
        <w:tc>
          <w:tcPr>
            <w:tcW w:w="1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7"/>
                <w:szCs w:val="17"/>
                <w:b w:val="1"/>
                <w:bCs w:val="1"/>
                <w:color w:val="auto"/>
                <w:w w:val="92"/>
              </w:rPr>
              <w:t>plans</w:t>
            </w:r>
            <w:r>
              <w:rPr>
                <w:rFonts w:ascii="Times New Roman" w:cs="Times New Roman" w:eastAsia="Times New Roman" w:hAnsi="Times New Roman"/>
                <w:sz w:val="28"/>
                <w:szCs w:val="28"/>
                <w:b w:val="1"/>
                <w:bCs w:val="1"/>
                <w:color w:val="auto"/>
                <w:w w:val="92"/>
                <w:vertAlign w:val="superscript"/>
              </w:rPr>
              <w:t>(2)</w:t>
            </w:r>
          </w:p>
        </w:tc>
        <w:tc>
          <w:tcPr>
            <w:tcW w:w="96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7"/>
                <w:szCs w:val="17"/>
                <w:b w:val="1"/>
                <w:bCs w:val="1"/>
                <w:color w:val="auto"/>
                <w:w w:val="92"/>
              </w:rPr>
              <w:t>plans</w:t>
            </w:r>
            <w:r>
              <w:rPr>
                <w:rFonts w:ascii="Times New Roman" w:cs="Times New Roman" w:eastAsia="Times New Roman" w:hAnsi="Times New Roman"/>
                <w:sz w:val="28"/>
                <w:szCs w:val="28"/>
                <w:b w:val="1"/>
                <w:bCs w:val="1"/>
                <w:color w:val="auto"/>
                <w:w w:val="92"/>
                <w:vertAlign w:val="superscript"/>
              </w:rPr>
              <w:t>(3)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right w:val="single" w:sz="8" w:color="auto"/>
            </w:tcBorders>
          </w:tcPr>
          <w:p>
            <w:pPr>
              <w:jc w:val="center"/>
              <w:spacing w:after="0" w:line="310" w:lineRule="exact"/>
              <w:rPr>
                <w:sz w:val="20"/>
                <w:szCs w:val="20"/>
                <w:color w:val="auto"/>
              </w:rPr>
            </w:pPr>
            <w:r>
              <w:rPr>
                <w:rFonts w:ascii="Times New Roman" w:cs="Times New Roman" w:eastAsia="Times New Roman" w:hAnsi="Times New Roman"/>
                <w:sz w:val="17"/>
                <w:szCs w:val="17"/>
                <w:b w:val="1"/>
                <w:bCs w:val="1"/>
                <w:color w:val="auto"/>
                <w:w w:val="86"/>
              </w:rPr>
              <w:t>($)</w:t>
            </w:r>
            <w:r>
              <w:rPr>
                <w:rFonts w:ascii="Times New Roman" w:cs="Times New Roman" w:eastAsia="Times New Roman" w:hAnsi="Times New Roman"/>
                <w:sz w:val="28"/>
                <w:szCs w:val="28"/>
                <w:b w:val="1"/>
                <w:bCs w:val="1"/>
                <w:color w:val="auto"/>
                <w:w w:val="86"/>
                <w:vertAlign w:val="superscript"/>
              </w:rPr>
              <w:t>(4)</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4"/>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Geoffrey</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US$569,152</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US$289,000</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US$2,069,950</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US$3,650</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US$36,624</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US$2,968,377</w:t>
            </w:r>
          </w:p>
        </w:tc>
        <w:tc>
          <w:tcPr>
            <w:tcW w:w="0" w:type="dxa"/>
            <w:vAlign w:val="bottom"/>
          </w:tcPr>
          <w:p>
            <w:pPr>
              <w:spacing w:after="0"/>
              <w:rPr>
                <w:sz w:val="1"/>
                <w:szCs w:val="1"/>
                <w:color w:val="auto"/>
              </w:rPr>
            </w:pPr>
          </w:p>
        </w:tc>
      </w:tr>
      <w:tr>
        <w:trPr>
          <w:trHeight w:val="80"/>
        </w:trPr>
        <w:tc>
          <w:tcPr>
            <w:tcW w:w="1340" w:type="dxa"/>
            <w:vAlign w:val="bottom"/>
            <w:tcBorders>
              <w:left w:val="single" w:sz="8" w:color="auto"/>
              <w:right w:val="single" w:sz="8" w:color="auto"/>
            </w:tcBorders>
            <w:vMerge w:val="restart"/>
          </w:tcPr>
          <w:p>
            <w:pPr>
              <w:ind w:left="80"/>
              <w:spacing w:after="0" w:line="201" w:lineRule="exact"/>
              <w:rPr>
                <w:sz w:val="20"/>
                <w:szCs w:val="20"/>
                <w:color w:val="auto"/>
              </w:rPr>
            </w:pPr>
            <w:r>
              <w:rPr>
                <w:rFonts w:ascii="Times New Roman" w:cs="Times New Roman" w:eastAsia="Times New Roman" w:hAnsi="Times New Roman"/>
                <w:sz w:val="15"/>
                <w:szCs w:val="15"/>
                <w:color w:val="auto"/>
              </w:rPr>
              <w:t>Morphy</w:t>
            </w:r>
            <w:r>
              <w:rPr>
                <w:rFonts w:ascii="Times New Roman" w:cs="Times New Roman" w:eastAsia="Times New Roman" w:hAnsi="Times New Roman"/>
                <w:sz w:val="23"/>
                <w:szCs w:val="23"/>
                <w:color w:val="auto"/>
                <w:vertAlign w:val="superscript"/>
              </w:rPr>
              <w:t>(5)</w:t>
            </w:r>
          </w:p>
        </w:tc>
        <w:tc>
          <w:tcPr>
            <w:tcW w:w="740" w:type="dxa"/>
            <w:vAlign w:val="bottom"/>
            <w:tcBorders>
              <w:right w:val="single" w:sz="8" w:color="auto"/>
            </w:tcBorders>
            <w:vMerge w:val="continue"/>
          </w:tcPr>
          <w:p>
            <w:pPr>
              <w:spacing w:after="0"/>
              <w:rPr>
                <w:sz w:val="6"/>
                <w:szCs w:val="6"/>
                <w:color w:val="auto"/>
              </w:rPr>
            </w:pPr>
          </w:p>
        </w:tc>
        <w:tc>
          <w:tcPr>
            <w:tcW w:w="100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1700" w:type="dxa"/>
            <w:vAlign w:val="bottom"/>
            <w:tcBorders>
              <w:right w:val="single" w:sz="8" w:color="auto"/>
            </w:tcBorders>
            <w:vMerge w:val="continue"/>
          </w:tcPr>
          <w:p>
            <w:pPr>
              <w:spacing w:after="0"/>
              <w:rPr>
                <w:sz w:val="6"/>
                <w:szCs w:val="6"/>
                <w:color w:val="auto"/>
              </w:rPr>
            </w:pPr>
          </w:p>
        </w:tc>
        <w:tc>
          <w:tcPr>
            <w:tcW w:w="120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780" w:type="dxa"/>
            <w:vAlign w:val="bottom"/>
            <w:tcBorders>
              <w:right w:val="single" w:sz="8" w:color="auto"/>
            </w:tcBorders>
            <w:vMerge w:val="continue"/>
          </w:tcPr>
          <w:p>
            <w:pPr>
              <w:spacing w:after="0"/>
              <w:rPr>
                <w:sz w:val="6"/>
                <w:szCs w:val="6"/>
                <w:color w:val="auto"/>
              </w:rPr>
            </w:pPr>
          </w:p>
        </w:tc>
        <w:tc>
          <w:tcPr>
            <w:tcW w:w="1100" w:type="dxa"/>
            <w:vAlign w:val="bottom"/>
            <w:tcBorders>
              <w:right w:val="single" w:sz="8" w:color="auto"/>
            </w:tcBorders>
            <w:vMerge w:val="continue"/>
          </w:tcPr>
          <w:p>
            <w:pPr>
              <w:spacing w:after="0"/>
              <w:rPr>
                <w:sz w:val="6"/>
                <w:szCs w:val="6"/>
                <w:color w:val="auto"/>
              </w:rPr>
            </w:pPr>
          </w:p>
        </w:tc>
        <w:tc>
          <w:tcPr>
            <w:tcW w:w="13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Former</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US$421,355</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US$95,500</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US$1,868,000</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US$246,018</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US$15,850</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US$2,646,723</w:t>
            </w:r>
          </w:p>
        </w:tc>
        <w:tc>
          <w:tcPr>
            <w:tcW w:w="0" w:type="dxa"/>
            <w:vAlign w:val="bottom"/>
          </w:tcPr>
          <w:p>
            <w:pPr>
              <w:spacing w:after="0"/>
              <w:rPr>
                <w:sz w:val="1"/>
                <w:szCs w:val="1"/>
                <w:color w:val="auto"/>
              </w:rPr>
            </w:pPr>
          </w:p>
        </w:tc>
      </w:tr>
      <w:tr>
        <w:trPr>
          <w:trHeight w:val="98"/>
        </w:trPr>
        <w:tc>
          <w:tcPr>
            <w:tcW w:w="1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President and</w:t>
            </w:r>
          </w:p>
        </w:tc>
        <w:tc>
          <w:tcPr>
            <w:tcW w:w="74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70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vMerge w:val="continue"/>
          </w:tcPr>
          <w:p>
            <w:pPr>
              <w:spacing w:after="0"/>
              <w:rPr>
                <w:sz w:val="8"/>
                <w:szCs w:val="8"/>
                <w:color w:val="auto"/>
              </w:rPr>
            </w:pPr>
          </w:p>
        </w:tc>
        <w:tc>
          <w:tcPr>
            <w:tcW w:w="96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340" w:type="dxa"/>
            <w:vAlign w:val="bottom"/>
            <w:tcBorders>
              <w:left w:val="single" w:sz="8" w:color="auto"/>
              <w:right w:val="single" w:sz="8" w:color="auto"/>
            </w:tcBorders>
            <w:vMerge w:val="continue"/>
          </w:tcPr>
          <w:p>
            <w:pPr>
              <w:spacing w:after="0"/>
              <w:rPr>
                <w:sz w:val="10"/>
                <w:szCs w:val="10"/>
                <w:color w:val="auto"/>
              </w:rPr>
            </w:pPr>
          </w:p>
        </w:tc>
        <w:tc>
          <w:tcPr>
            <w:tcW w:w="74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70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960" w:type="dxa"/>
            <w:vAlign w:val="bottom"/>
            <w:tcBorders>
              <w:bottom w:val="single" w:sz="8" w:color="auto"/>
              <w:right w:val="single" w:sz="8" w:color="auto"/>
            </w:tcBorders>
          </w:tcPr>
          <w:p>
            <w:pPr>
              <w:spacing w:after="0"/>
              <w:rPr>
                <w:sz w:val="10"/>
                <w:szCs w:val="10"/>
                <w:color w:val="auto"/>
              </w:rPr>
            </w:pPr>
          </w:p>
        </w:tc>
        <w:tc>
          <w:tcPr>
            <w:tcW w:w="78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1340" w:type="dxa"/>
            <w:vAlign w:val="bottom"/>
            <w:tcBorders>
              <w:left w:val="single" w:sz="8" w:color="auto"/>
              <w:right w:val="single" w:sz="8" w:color="auto"/>
            </w:tcBorders>
          </w:tcPr>
          <w:p>
            <w:pPr>
              <w:ind w:left="80"/>
              <w:spacing w:after="0" w:line="174" w:lineRule="exact"/>
              <w:rPr>
                <w:sz w:val="20"/>
                <w:szCs w:val="20"/>
                <w:color w:val="auto"/>
              </w:rPr>
            </w:pPr>
            <w:r>
              <w:rPr>
                <w:rFonts w:ascii="Times New Roman" w:cs="Times New Roman" w:eastAsia="Times New Roman" w:hAnsi="Times New Roman"/>
                <w:sz w:val="17"/>
                <w:szCs w:val="17"/>
                <w:i w:val="1"/>
                <w:iCs w:val="1"/>
                <w:color w:val="auto"/>
              </w:rPr>
              <w:t>Chief Executive</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US$380,742</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US$202,500</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US$5,764,000</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US$470,000</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US$6,740,243</w:t>
            </w:r>
          </w:p>
        </w:tc>
        <w:tc>
          <w:tcPr>
            <w:tcW w:w="0" w:type="dxa"/>
            <w:vAlign w:val="bottom"/>
          </w:tcPr>
          <w:p>
            <w:pPr>
              <w:spacing w:after="0"/>
              <w:rPr>
                <w:sz w:val="1"/>
                <w:szCs w:val="1"/>
                <w:color w:val="auto"/>
              </w:rPr>
            </w:pPr>
          </w:p>
        </w:tc>
      </w:tr>
      <w:tr>
        <w:trPr>
          <w:trHeight w:val="150"/>
        </w:trPr>
        <w:tc>
          <w:tcPr>
            <w:tcW w:w="1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7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100" w:type="dxa"/>
            <w:vAlign w:val="bottom"/>
            <w:tcBorders>
              <w:right w:val="single" w:sz="8" w:color="auto"/>
            </w:tcBorders>
            <w:vMerge w:val="continue"/>
          </w:tcPr>
          <w:p>
            <w:pPr>
              <w:spacing w:after="0"/>
              <w:rPr>
                <w:sz w:val="13"/>
                <w:szCs w:val="13"/>
                <w:color w:val="auto"/>
              </w:rPr>
            </w:pPr>
          </w:p>
        </w:tc>
        <w:tc>
          <w:tcPr>
            <w:tcW w:w="1700" w:type="dxa"/>
            <w:vAlign w:val="bottom"/>
            <w:tcBorders>
              <w:right w:val="single" w:sz="8" w:color="auto"/>
            </w:tcBorders>
            <w:vMerge w:val="continue"/>
          </w:tcPr>
          <w:p>
            <w:pPr>
              <w:spacing w:after="0"/>
              <w:rPr>
                <w:sz w:val="13"/>
                <w:szCs w:val="13"/>
                <w:color w:val="auto"/>
              </w:rPr>
            </w:pPr>
          </w:p>
        </w:tc>
        <w:tc>
          <w:tcPr>
            <w:tcW w:w="1200" w:type="dxa"/>
            <w:vAlign w:val="bottom"/>
            <w:tcBorders>
              <w:right w:val="single" w:sz="8" w:color="auto"/>
            </w:tcBorders>
            <w:vMerge w:val="continue"/>
          </w:tcPr>
          <w:p>
            <w:pPr>
              <w:spacing w:after="0"/>
              <w:rPr>
                <w:sz w:val="13"/>
                <w:szCs w:val="13"/>
                <w:color w:val="auto"/>
              </w:rPr>
            </w:pPr>
          </w:p>
        </w:tc>
        <w:tc>
          <w:tcPr>
            <w:tcW w:w="960" w:type="dxa"/>
            <w:vAlign w:val="bottom"/>
            <w:tcBorders>
              <w:right w:val="single" w:sz="8" w:color="auto"/>
            </w:tcBorders>
            <w:vMerge w:val="continue"/>
          </w:tcPr>
          <w:p>
            <w:pPr>
              <w:spacing w:after="0"/>
              <w:rPr>
                <w:sz w:val="13"/>
                <w:szCs w:val="13"/>
                <w:color w:val="auto"/>
              </w:rPr>
            </w:pPr>
          </w:p>
        </w:tc>
        <w:tc>
          <w:tcPr>
            <w:tcW w:w="780" w:type="dxa"/>
            <w:vAlign w:val="bottom"/>
            <w:tcBorders>
              <w:right w:val="single" w:sz="8" w:color="auto"/>
            </w:tcBorders>
            <w:vMerge w:val="continue"/>
          </w:tcPr>
          <w:p>
            <w:pPr>
              <w:spacing w:after="0"/>
              <w:rPr>
                <w:sz w:val="13"/>
                <w:szCs w:val="13"/>
                <w:color w:val="auto"/>
              </w:rPr>
            </w:pPr>
          </w:p>
        </w:tc>
        <w:tc>
          <w:tcPr>
            <w:tcW w:w="1100" w:type="dxa"/>
            <w:vAlign w:val="bottom"/>
            <w:tcBorders>
              <w:right w:val="single" w:sz="8" w:color="auto"/>
            </w:tcBorders>
            <w:vMerge w:val="continue"/>
          </w:tcPr>
          <w:p>
            <w:pPr>
              <w:spacing w:after="0"/>
              <w:rPr>
                <w:sz w:val="13"/>
                <w:szCs w:val="13"/>
                <w:color w:val="auto"/>
              </w:rPr>
            </w:pPr>
          </w:p>
        </w:tc>
        <w:tc>
          <w:tcPr>
            <w:tcW w:w="13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8"/>
        </w:trPr>
        <w:tc>
          <w:tcPr>
            <w:tcW w:w="1340" w:type="dxa"/>
            <w:vAlign w:val="bottom"/>
            <w:tcBorders>
              <w:left w:val="single" w:sz="8" w:color="auto"/>
              <w:right w:val="single" w:sz="8" w:color="auto"/>
            </w:tcBorders>
            <w:vMerge w:val="continue"/>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700" w:type="dxa"/>
            <w:vAlign w:val="bottom"/>
            <w:tcBorders>
              <w:right w:val="single" w:sz="8" w:color="auto"/>
            </w:tcBorders>
          </w:tcPr>
          <w:p>
            <w:pPr>
              <w:spacing w:after="0"/>
              <w:rPr>
                <w:sz w:val="6"/>
                <w:szCs w:val="6"/>
                <w:color w:val="auto"/>
              </w:rPr>
            </w:pPr>
          </w:p>
        </w:tc>
        <w:tc>
          <w:tcPr>
            <w:tcW w:w="1200" w:type="dxa"/>
            <w:vAlign w:val="bottom"/>
            <w:tcBorders>
              <w:right w:val="single" w:sz="8" w:color="auto"/>
            </w:tcBorders>
          </w:tcPr>
          <w:p>
            <w:pPr>
              <w:spacing w:after="0"/>
              <w:rPr>
                <w:sz w:val="6"/>
                <w:szCs w:val="6"/>
                <w:color w:val="auto"/>
              </w:rPr>
            </w:pPr>
          </w:p>
        </w:tc>
        <w:tc>
          <w:tcPr>
            <w:tcW w:w="960" w:type="dxa"/>
            <w:vAlign w:val="bottom"/>
            <w:tcBorders>
              <w:right w:val="single" w:sz="8" w:color="auto"/>
            </w:tcBorders>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3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Jeffrey Lucas</w:t>
            </w:r>
            <w:r>
              <w:rPr>
                <w:rFonts w:ascii="Times New Roman" w:cs="Times New Roman" w:eastAsia="Times New Roman" w:hAnsi="Times New Roman"/>
                <w:sz w:val="28"/>
                <w:szCs w:val="28"/>
                <w:color w:val="auto"/>
                <w:vertAlign w:val="superscript"/>
              </w:rPr>
              <w:t>(6)</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US$439,909</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US$289,000</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US$1,866,785</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US$8,592</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US$2,607,936</w:t>
            </w:r>
          </w:p>
        </w:tc>
        <w:tc>
          <w:tcPr>
            <w:tcW w:w="0" w:type="dxa"/>
            <w:vAlign w:val="bottom"/>
          </w:tcPr>
          <w:p>
            <w:pPr>
              <w:spacing w:after="0"/>
              <w:rPr>
                <w:sz w:val="1"/>
                <w:szCs w:val="1"/>
                <w:color w:val="auto"/>
              </w:rPr>
            </w:pPr>
          </w:p>
        </w:tc>
      </w:tr>
      <w:tr>
        <w:trPr>
          <w:trHeight w:val="57"/>
        </w:trPr>
        <w:tc>
          <w:tcPr>
            <w:tcW w:w="1340" w:type="dxa"/>
            <w:vAlign w:val="bottom"/>
            <w:tcBorders>
              <w:left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340" w:type="dxa"/>
            <w:vAlign w:val="bottom"/>
            <w:tcBorders>
              <w:left w:val="single" w:sz="8" w:color="auto"/>
              <w:right w:val="single" w:sz="8" w:color="auto"/>
            </w:tcBorders>
            <w:vMerge w:val="continue"/>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US$382,903</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 $95,500</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US$1,668,000</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US$163,571</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US$6,000</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US$2,315,974</w:t>
            </w:r>
          </w:p>
        </w:tc>
        <w:tc>
          <w:tcPr>
            <w:tcW w:w="0" w:type="dxa"/>
            <w:vAlign w:val="bottom"/>
          </w:tcPr>
          <w:p>
            <w:pPr>
              <w:spacing w:after="0"/>
              <w:rPr>
                <w:sz w:val="1"/>
                <w:szCs w:val="1"/>
                <w:color w:val="auto"/>
              </w:rPr>
            </w:pPr>
          </w:p>
        </w:tc>
      </w:tr>
      <w:tr>
        <w:trPr>
          <w:trHeight w:val="111"/>
        </w:trPr>
        <w:tc>
          <w:tcPr>
            <w:tcW w:w="1340" w:type="dxa"/>
            <w:vAlign w:val="bottom"/>
            <w:tcBorders>
              <w:left w:val="single" w:sz="8" w:color="auto"/>
              <w:right w:val="single" w:sz="8" w:color="auto"/>
            </w:tcBorders>
            <w:vMerge w:val="restart"/>
          </w:tcPr>
          <w:p>
            <w:pPr>
              <w:ind w:left="80"/>
              <w:spacing w:after="0" w:line="168" w:lineRule="exact"/>
              <w:rPr>
                <w:sz w:val="20"/>
                <w:szCs w:val="20"/>
                <w:color w:val="auto"/>
              </w:rPr>
            </w:pPr>
            <w:r>
              <w:rPr>
                <w:rFonts w:ascii="Times New Roman" w:cs="Times New Roman" w:eastAsia="Times New Roman" w:hAnsi="Times New Roman"/>
                <w:sz w:val="17"/>
                <w:szCs w:val="17"/>
                <w:i w:val="1"/>
                <w:iCs w:val="1"/>
                <w:color w:val="auto"/>
              </w:rPr>
              <w:t>CFO</w:t>
            </w:r>
          </w:p>
        </w:tc>
        <w:tc>
          <w:tcPr>
            <w:tcW w:w="7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340" w:type="dxa"/>
            <w:vAlign w:val="bottom"/>
            <w:tcBorders>
              <w:left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40" w:type="dxa"/>
            <w:vAlign w:val="bottom"/>
            <w:tcBorders>
              <w:left w:val="single" w:sz="8" w:color="auto"/>
              <w:right w:val="single" w:sz="8" w:color="auto"/>
            </w:tcBorders>
          </w:tcPr>
          <w:p>
            <w:pPr>
              <w:spacing w:after="0"/>
              <w:rPr>
                <w:sz w:val="22"/>
                <w:szCs w:val="22"/>
                <w:color w:val="auto"/>
              </w:rPr>
            </w:pP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US$194,727</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US$202,500</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US$5,865,934</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US$6,068,434</w:t>
            </w:r>
          </w:p>
        </w:tc>
        <w:tc>
          <w:tcPr>
            <w:tcW w:w="0" w:type="dxa"/>
            <w:vAlign w:val="bottom"/>
          </w:tcPr>
          <w:p>
            <w:pPr>
              <w:spacing w:after="0"/>
              <w:rPr>
                <w:sz w:val="1"/>
                <w:szCs w:val="1"/>
                <w:color w:val="auto"/>
              </w:rPr>
            </w:pPr>
          </w:p>
        </w:tc>
      </w:tr>
      <w:tr>
        <w:trPr>
          <w:trHeight w:val="5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Benjamin</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US$231,097</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US$444,665</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US$679,412</w:t>
            </w:r>
          </w:p>
        </w:tc>
        <w:tc>
          <w:tcPr>
            <w:tcW w:w="0" w:type="dxa"/>
            <w:vAlign w:val="bottom"/>
          </w:tcPr>
          <w:p>
            <w:pPr>
              <w:spacing w:after="0"/>
              <w:rPr>
                <w:sz w:val="1"/>
                <w:szCs w:val="1"/>
                <w:color w:val="auto"/>
              </w:rPr>
            </w:pPr>
          </w:p>
        </w:tc>
      </w:tr>
      <w:tr>
        <w:trPr>
          <w:trHeight w:val="72"/>
        </w:trPr>
        <w:tc>
          <w:tcPr>
            <w:tcW w:w="1340" w:type="dxa"/>
            <w:vAlign w:val="bottom"/>
            <w:tcBorders>
              <w:left w:val="single" w:sz="8" w:color="auto"/>
              <w:right w:val="single" w:sz="8" w:color="auto"/>
            </w:tcBorders>
            <w:vMerge w:val="restart"/>
          </w:tcPr>
          <w:p>
            <w:pPr>
              <w:ind w:left="80"/>
              <w:spacing w:after="0" w:line="240" w:lineRule="exact"/>
              <w:rPr>
                <w:sz w:val="20"/>
                <w:szCs w:val="20"/>
                <w:color w:val="auto"/>
              </w:rPr>
            </w:pPr>
            <w:r>
              <w:rPr>
                <w:rFonts w:ascii="Times New Roman" w:cs="Times New Roman" w:eastAsia="Times New Roman" w:hAnsi="Times New Roman"/>
                <w:sz w:val="17"/>
                <w:szCs w:val="17"/>
                <w:color w:val="auto"/>
              </w:rPr>
              <w:t>Gagnon</w:t>
            </w:r>
            <w:r>
              <w:rPr>
                <w:rFonts w:ascii="Times New Roman" w:cs="Times New Roman" w:eastAsia="Times New Roman" w:hAnsi="Times New Roman"/>
                <w:sz w:val="27"/>
                <w:szCs w:val="27"/>
                <w:color w:val="auto"/>
                <w:vertAlign w:val="superscript"/>
              </w:rPr>
              <w:t>(7)</w:t>
            </w:r>
          </w:p>
        </w:tc>
        <w:tc>
          <w:tcPr>
            <w:tcW w:w="74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1200" w:type="dxa"/>
            <w:vAlign w:val="bottom"/>
            <w:tcBorders>
              <w:bottom w:val="single" w:sz="8" w:color="auto"/>
              <w:right w:val="single" w:sz="8" w:color="auto"/>
            </w:tcBorders>
          </w:tcPr>
          <w:p>
            <w:pPr>
              <w:spacing w:after="0"/>
              <w:rPr>
                <w:sz w:val="6"/>
                <w:szCs w:val="6"/>
                <w:color w:val="auto"/>
              </w:rPr>
            </w:pPr>
          </w:p>
        </w:tc>
        <w:tc>
          <w:tcPr>
            <w:tcW w:w="960" w:type="dxa"/>
            <w:vAlign w:val="bottom"/>
            <w:tcBorders>
              <w:bottom w:val="single" w:sz="8" w:color="auto"/>
              <w:right w:val="single" w:sz="8" w:color="auto"/>
            </w:tcBorders>
          </w:tcPr>
          <w:p>
            <w:pPr>
              <w:spacing w:after="0"/>
              <w:rPr>
                <w:sz w:val="6"/>
                <w:szCs w:val="6"/>
                <w:color w:val="auto"/>
              </w:rPr>
            </w:pPr>
          </w:p>
        </w:tc>
        <w:tc>
          <w:tcPr>
            <w:tcW w:w="78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3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40" w:type="dxa"/>
            <w:vAlign w:val="bottom"/>
            <w:tcBorders>
              <w:left w:val="single" w:sz="8" w:color="auto"/>
              <w:right w:val="single" w:sz="8" w:color="auto"/>
            </w:tcBorders>
            <w:vMerge w:val="continue"/>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US$187,849</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US$676,875</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US$118,873</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US$3,000</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US$986,597</w:t>
            </w:r>
          </w:p>
        </w:tc>
        <w:tc>
          <w:tcPr>
            <w:tcW w:w="0" w:type="dxa"/>
            <w:vAlign w:val="bottom"/>
          </w:tcPr>
          <w:p>
            <w:pPr>
              <w:spacing w:after="0"/>
              <w:rPr>
                <w:sz w:val="1"/>
                <w:szCs w:val="1"/>
                <w:color w:val="auto"/>
              </w:rPr>
            </w:pPr>
          </w:p>
        </w:tc>
      </w:tr>
      <w:tr>
        <w:trPr>
          <w:trHeight w:val="111"/>
        </w:trPr>
        <w:tc>
          <w:tcPr>
            <w:tcW w:w="1340" w:type="dxa"/>
            <w:vAlign w:val="bottom"/>
            <w:tcBorders>
              <w:left w:val="single" w:sz="8" w:color="auto"/>
              <w:right w:val="single" w:sz="8" w:color="auto"/>
            </w:tcBorders>
            <w:vMerge w:val="restart"/>
          </w:tcPr>
          <w:p>
            <w:pPr>
              <w:ind w:left="80"/>
              <w:spacing w:after="0" w:line="168" w:lineRule="exact"/>
              <w:rPr>
                <w:sz w:val="20"/>
                <w:szCs w:val="20"/>
                <w:color w:val="auto"/>
              </w:rPr>
            </w:pPr>
            <w:r>
              <w:rPr>
                <w:rFonts w:ascii="Times New Roman" w:cs="Times New Roman" w:eastAsia="Times New Roman" w:hAnsi="Times New Roman"/>
                <w:sz w:val="17"/>
                <w:szCs w:val="17"/>
                <w:i w:val="1"/>
                <w:iCs w:val="1"/>
                <w:color w:val="auto"/>
              </w:rPr>
              <w:t>Chief Mining</w:t>
            </w:r>
          </w:p>
        </w:tc>
        <w:tc>
          <w:tcPr>
            <w:tcW w:w="740" w:type="dxa"/>
            <w:vAlign w:val="bottom"/>
            <w:tcBorders>
              <w:right w:val="single" w:sz="8" w:color="auto"/>
            </w:tcBorders>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continue"/>
          </w:tcPr>
          <w:p>
            <w:pPr>
              <w:spacing w:after="0"/>
              <w:rPr>
                <w:sz w:val="9"/>
                <w:szCs w:val="9"/>
                <w:color w:val="auto"/>
              </w:rPr>
            </w:pPr>
          </w:p>
        </w:tc>
        <w:tc>
          <w:tcPr>
            <w:tcW w:w="1200" w:type="dxa"/>
            <w:vAlign w:val="bottom"/>
            <w:tcBorders>
              <w:right w:val="single" w:sz="8" w:color="auto"/>
            </w:tcBorders>
            <w:vMerge w:val="continue"/>
          </w:tcPr>
          <w:p>
            <w:pPr>
              <w:spacing w:after="0"/>
              <w:rPr>
                <w:sz w:val="9"/>
                <w:szCs w:val="9"/>
                <w:color w:val="auto"/>
              </w:rPr>
            </w:pPr>
          </w:p>
        </w:tc>
        <w:tc>
          <w:tcPr>
            <w:tcW w:w="960" w:type="dxa"/>
            <w:vAlign w:val="bottom"/>
            <w:tcBorders>
              <w:right w:val="single" w:sz="8" w:color="auto"/>
            </w:tcBorders>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1340" w:type="dxa"/>
            <w:vAlign w:val="bottom"/>
            <w:tcBorders>
              <w:left w:val="single" w:sz="8" w:color="auto"/>
              <w:right w:val="single" w:sz="8" w:color="auto"/>
            </w:tcBorders>
            <w:vMerge w:val="continue"/>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US$158,032</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US$2,196,250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US$2,354,282</w:t>
            </w:r>
          </w:p>
        </w:tc>
        <w:tc>
          <w:tcPr>
            <w:tcW w:w="0" w:type="dxa"/>
            <w:vAlign w:val="bottom"/>
          </w:tcPr>
          <w:p>
            <w:pPr>
              <w:spacing w:after="0"/>
              <w:rPr>
                <w:sz w:val="1"/>
                <w:szCs w:val="1"/>
                <w:color w:val="auto"/>
              </w:rPr>
            </w:pPr>
          </w:p>
        </w:tc>
      </w:tr>
      <w:tr>
        <w:trPr>
          <w:trHeight w:val="5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9"/>
        </w:trPr>
        <w:tc>
          <w:tcPr>
            <w:tcW w:w="1340" w:type="dxa"/>
            <w:vAlign w:val="bottom"/>
            <w:tcBorders>
              <w:left w:val="single" w:sz="8" w:color="auto"/>
              <w:right w:val="single" w:sz="8" w:color="auto"/>
            </w:tcBorders>
          </w:tcPr>
          <w:p>
            <w:pPr>
              <w:ind w:left="80"/>
              <w:spacing w:after="0" w:line="280" w:lineRule="exact"/>
              <w:rPr>
                <w:sz w:val="20"/>
                <w:szCs w:val="20"/>
                <w:color w:val="auto"/>
              </w:rPr>
            </w:pPr>
            <w:r>
              <w:rPr>
                <w:rFonts w:ascii="Times New Roman" w:cs="Times New Roman" w:eastAsia="Times New Roman" w:hAnsi="Times New Roman"/>
                <w:sz w:val="17"/>
                <w:szCs w:val="17"/>
                <w:color w:val="auto"/>
              </w:rPr>
              <w:t>Benoit Gobeil</w:t>
            </w:r>
            <w:r>
              <w:rPr>
                <w:rFonts w:ascii="Times New Roman" w:cs="Times New Roman" w:eastAsia="Times New Roman" w:hAnsi="Times New Roman"/>
                <w:sz w:val="28"/>
                <w:szCs w:val="28"/>
                <w:color w:val="auto"/>
                <w:vertAlign w:val="superscript"/>
              </w:rPr>
              <w:t>(8)</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US$206,694</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US$605,500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US$3,650</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US$11,917</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US$827,762</w:t>
            </w:r>
          </w:p>
        </w:tc>
        <w:tc>
          <w:tcPr>
            <w:tcW w:w="0" w:type="dxa"/>
            <w:vAlign w:val="bottom"/>
          </w:tcPr>
          <w:p>
            <w:pPr>
              <w:spacing w:after="0"/>
              <w:rPr>
                <w:sz w:val="1"/>
                <w:szCs w:val="1"/>
                <w:color w:val="auto"/>
              </w:rPr>
            </w:pPr>
          </w:p>
        </w:tc>
      </w:tr>
      <w:tr>
        <w:trPr>
          <w:trHeight w:val="102"/>
        </w:trPr>
        <w:tc>
          <w:tcPr>
            <w:tcW w:w="1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Executive Vice</w:t>
            </w:r>
          </w:p>
        </w:tc>
        <w:tc>
          <w:tcPr>
            <w:tcW w:w="740" w:type="dxa"/>
            <w:vAlign w:val="bottom"/>
            <w:tcBorders>
              <w:bottom w:val="single" w:sz="8" w:color="auto"/>
              <w:right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780" w:type="dxa"/>
            <w:vAlign w:val="bottom"/>
            <w:tcBorders>
              <w:bottom w:val="single" w:sz="8" w:color="auto"/>
              <w:right w:val="single" w:sz="8" w:color="auto"/>
            </w:tcBorders>
          </w:tcPr>
          <w:p>
            <w:pPr>
              <w:spacing w:after="0"/>
              <w:rPr>
                <w:sz w:val="8"/>
                <w:szCs w:val="8"/>
                <w:color w:val="auto"/>
              </w:rPr>
            </w:pPr>
          </w:p>
        </w:tc>
        <w:tc>
          <w:tcPr>
            <w:tcW w:w="1100" w:type="dxa"/>
            <w:vAlign w:val="bottom"/>
            <w:tcBorders>
              <w:bottom w:val="single" w:sz="8" w:color="auto"/>
              <w:right w:val="single" w:sz="8" w:color="auto"/>
            </w:tcBorders>
          </w:tcPr>
          <w:p>
            <w:pPr>
              <w:spacing w:after="0"/>
              <w:rPr>
                <w:sz w:val="8"/>
                <w:szCs w:val="8"/>
                <w:color w:val="auto"/>
              </w:rPr>
            </w:pPr>
          </w:p>
        </w:tc>
        <w:tc>
          <w:tcPr>
            <w:tcW w:w="13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34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US$172,756</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US$329,875</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US$55,401</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US$2,173</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US$560,206</w:t>
            </w:r>
          </w:p>
        </w:tc>
        <w:tc>
          <w:tcPr>
            <w:tcW w:w="0" w:type="dxa"/>
            <w:vAlign w:val="bottom"/>
          </w:tcPr>
          <w:p>
            <w:pPr>
              <w:spacing w:after="0"/>
              <w:rPr>
                <w:sz w:val="1"/>
                <w:szCs w:val="1"/>
                <w:color w:val="auto"/>
              </w:rPr>
            </w:pPr>
          </w:p>
        </w:tc>
      </w:tr>
      <w:tr>
        <w:trPr>
          <w:trHeight w:val="207"/>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President</w:t>
            </w:r>
          </w:p>
        </w:tc>
        <w:tc>
          <w:tcPr>
            <w:tcW w:w="740" w:type="dxa"/>
            <w:vAlign w:val="bottom"/>
            <w:tcBorders>
              <w:right w:val="single" w:sz="8" w:color="auto"/>
            </w:tcBorders>
            <w:vMerge w:val="continue"/>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960" w:type="dxa"/>
            <w:vAlign w:val="bottom"/>
            <w:tcBorders>
              <w:right w:val="single" w:sz="8" w:color="auto"/>
            </w:tcBorders>
            <w:vMerge w:val="continue"/>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Operations &amp;</w:t>
            </w:r>
          </w:p>
        </w:tc>
        <w:tc>
          <w:tcPr>
            <w:tcW w:w="7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340" w:type="dxa"/>
            <w:vAlign w:val="bottom"/>
            <w:tcBorders>
              <w:left w:val="single" w:sz="8" w:color="auto"/>
              <w:right w:val="single" w:sz="8" w:color="auto"/>
            </w:tcBorders>
            <w:vMerge w:val="continue"/>
          </w:tcPr>
          <w:p>
            <w:pPr>
              <w:spacing w:after="0"/>
              <w:rPr>
                <w:sz w:val="8"/>
                <w:szCs w:val="8"/>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US$143,958</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US$1,406,250</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US$138,251</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US$1,688,459</w:t>
            </w: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Infrastructure</w:t>
            </w:r>
          </w:p>
        </w:tc>
        <w:tc>
          <w:tcPr>
            <w:tcW w:w="740" w:type="dxa"/>
            <w:vAlign w:val="bottom"/>
            <w:tcBorders>
              <w:right w:val="single" w:sz="8" w:color="auto"/>
            </w:tcBorders>
            <w:vMerge w:val="continue"/>
          </w:tcPr>
          <w:p>
            <w:pPr>
              <w:spacing w:after="0"/>
              <w:rPr>
                <w:sz w:val="19"/>
                <w:szCs w:val="19"/>
                <w:color w:val="auto"/>
              </w:rPr>
            </w:pPr>
          </w:p>
        </w:tc>
        <w:tc>
          <w:tcPr>
            <w:tcW w:w="100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vMerge w:val="continue"/>
          </w:tcPr>
          <w:p>
            <w:pPr>
              <w:spacing w:after="0"/>
              <w:rPr>
                <w:sz w:val="19"/>
                <w:szCs w:val="19"/>
                <w:color w:val="auto"/>
              </w:rPr>
            </w:pPr>
          </w:p>
        </w:tc>
        <w:tc>
          <w:tcPr>
            <w:tcW w:w="1700" w:type="dxa"/>
            <w:vAlign w:val="bottom"/>
            <w:tcBorders>
              <w:right w:val="single" w:sz="8" w:color="auto"/>
            </w:tcBorders>
            <w:vMerge w:val="continue"/>
          </w:tcPr>
          <w:p>
            <w:pPr>
              <w:spacing w:after="0"/>
              <w:rPr>
                <w:sz w:val="19"/>
                <w:szCs w:val="19"/>
                <w:color w:val="auto"/>
              </w:rPr>
            </w:pPr>
          </w:p>
        </w:tc>
        <w:tc>
          <w:tcPr>
            <w:tcW w:w="1200" w:type="dxa"/>
            <w:vAlign w:val="bottom"/>
            <w:tcBorders>
              <w:right w:val="single" w:sz="8" w:color="auto"/>
            </w:tcBorders>
            <w:vMerge w:val="continue"/>
          </w:tcPr>
          <w:p>
            <w:pPr>
              <w:spacing w:after="0"/>
              <w:rPr>
                <w:sz w:val="19"/>
                <w:szCs w:val="19"/>
                <w:color w:val="auto"/>
              </w:rPr>
            </w:pPr>
          </w:p>
        </w:tc>
        <w:tc>
          <w:tcPr>
            <w:tcW w:w="960" w:type="dxa"/>
            <w:vAlign w:val="bottom"/>
            <w:tcBorders>
              <w:right w:val="single" w:sz="8" w:color="auto"/>
            </w:tcBorders>
            <w:vMerge w:val="continue"/>
          </w:tcPr>
          <w:p>
            <w:pPr>
              <w:spacing w:after="0"/>
              <w:rPr>
                <w:sz w:val="19"/>
                <w:szCs w:val="19"/>
                <w:color w:val="auto"/>
              </w:rPr>
            </w:pPr>
          </w:p>
        </w:tc>
        <w:tc>
          <w:tcPr>
            <w:tcW w:w="78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vMerge w:val="continue"/>
          </w:tcPr>
          <w:p>
            <w:pPr>
              <w:spacing w:after="0"/>
              <w:rPr>
                <w:sz w:val="19"/>
                <w:szCs w:val="19"/>
                <w:color w:val="auto"/>
              </w:rPr>
            </w:pPr>
          </w:p>
        </w:tc>
        <w:tc>
          <w:tcPr>
            <w:tcW w:w="13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Stephanie</w:t>
            </w:r>
          </w:p>
        </w:tc>
        <w:tc>
          <w:tcPr>
            <w:tcW w:w="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2023</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US$234,865</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US$319,900</w:t>
            </w:r>
          </w:p>
        </w:tc>
        <w:tc>
          <w:tcPr>
            <w:tcW w:w="12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US$3,214</w:t>
            </w:r>
          </w:p>
        </w:tc>
        <w:tc>
          <w:tcPr>
            <w:tcW w:w="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US$13,359</w:t>
            </w:r>
          </w:p>
        </w:tc>
        <w:tc>
          <w:tcPr>
            <w:tcW w:w="13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US$571,339</w:t>
            </w:r>
          </w:p>
        </w:tc>
        <w:tc>
          <w:tcPr>
            <w:tcW w:w="0" w:type="dxa"/>
            <w:vAlign w:val="bottom"/>
          </w:tcPr>
          <w:p>
            <w:pPr>
              <w:spacing w:after="0"/>
              <w:rPr>
                <w:sz w:val="1"/>
                <w:szCs w:val="1"/>
                <w:color w:val="auto"/>
              </w:rPr>
            </w:pPr>
          </w:p>
        </w:tc>
      </w:tr>
      <w:tr>
        <w:trPr>
          <w:trHeight w:val="137"/>
        </w:trPr>
        <w:tc>
          <w:tcPr>
            <w:tcW w:w="1340" w:type="dxa"/>
            <w:vAlign w:val="bottom"/>
            <w:tcBorders>
              <w:left w:val="single" w:sz="8" w:color="auto"/>
              <w:right w:val="single" w:sz="8" w:color="auto"/>
            </w:tcBorders>
            <w:vMerge w:val="restart"/>
          </w:tcPr>
          <w:p>
            <w:pPr>
              <w:ind w:left="80"/>
              <w:spacing w:after="0" w:line="242" w:lineRule="exact"/>
              <w:rPr>
                <w:sz w:val="20"/>
                <w:szCs w:val="20"/>
                <w:color w:val="auto"/>
              </w:rPr>
            </w:pPr>
            <w:r>
              <w:rPr>
                <w:rFonts w:ascii="Times New Roman" w:cs="Times New Roman" w:eastAsia="Times New Roman" w:hAnsi="Times New Roman"/>
                <w:sz w:val="17"/>
                <w:szCs w:val="17"/>
                <w:color w:val="auto"/>
              </w:rPr>
              <w:t>Wargo</w:t>
            </w:r>
            <w:r>
              <w:rPr>
                <w:rFonts w:ascii="Times New Roman" w:cs="Times New Roman" w:eastAsia="Times New Roman" w:hAnsi="Times New Roman"/>
                <w:sz w:val="28"/>
                <w:szCs w:val="28"/>
                <w:color w:val="auto"/>
                <w:vertAlign w:val="superscript"/>
              </w:rPr>
              <w:t>(9)</w:t>
            </w:r>
          </w:p>
        </w:tc>
        <w:tc>
          <w:tcPr>
            <w:tcW w:w="74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960" w:type="dxa"/>
            <w:vAlign w:val="bottom"/>
            <w:tcBorders>
              <w:bottom w:val="single" w:sz="8" w:color="auto"/>
              <w:right w:val="single" w:sz="8" w:color="auto"/>
            </w:tcBorders>
          </w:tcPr>
          <w:p>
            <w:pPr>
              <w:spacing w:after="0"/>
              <w:rPr>
                <w:sz w:val="11"/>
                <w:szCs w:val="11"/>
                <w:color w:val="auto"/>
              </w:rPr>
            </w:pPr>
          </w:p>
        </w:tc>
        <w:tc>
          <w:tcPr>
            <w:tcW w:w="780" w:type="dxa"/>
            <w:vAlign w:val="bottom"/>
            <w:tcBorders>
              <w:bottom w:val="single" w:sz="8" w:color="auto"/>
              <w:right w:val="single" w:sz="8" w:color="auto"/>
            </w:tcBorders>
          </w:tcPr>
          <w:p>
            <w:pPr>
              <w:spacing w:after="0"/>
              <w:rPr>
                <w:sz w:val="11"/>
                <w:szCs w:val="11"/>
                <w:color w:val="auto"/>
              </w:rPr>
            </w:pPr>
          </w:p>
        </w:tc>
        <w:tc>
          <w:tcPr>
            <w:tcW w:w="1100" w:type="dxa"/>
            <w:vAlign w:val="bottom"/>
            <w:tcBorders>
              <w:bottom w:val="single" w:sz="8" w:color="auto"/>
              <w:right w:val="single" w:sz="8" w:color="auto"/>
            </w:tcBorders>
          </w:tcPr>
          <w:p>
            <w:pPr>
              <w:spacing w:after="0"/>
              <w:rPr>
                <w:sz w:val="11"/>
                <w:szCs w:val="11"/>
                <w:color w:val="auto"/>
              </w:rPr>
            </w:pPr>
          </w:p>
        </w:tc>
        <w:tc>
          <w:tcPr>
            <w:tcW w:w="1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1340" w:type="dxa"/>
            <w:vAlign w:val="bottom"/>
            <w:tcBorders>
              <w:left w:val="single" w:sz="8" w:color="auto"/>
              <w:right w:val="single" w:sz="8" w:color="auto"/>
            </w:tcBorders>
            <w:vMerge w:val="continue"/>
          </w:tcPr>
          <w:p>
            <w:pPr>
              <w:spacing w:after="0"/>
              <w:rPr>
                <w:sz w:val="7"/>
                <w:szCs w:val="7"/>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2022</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US$206,801</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US$395,600</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US$5,076</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US$607,478</w:t>
            </w:r>
          </w:p>
        </w:tc>
        <w:tc>
          <w:tcPr>
            <w:tcW w:w="0" w:type="dxa"/>
            <w:vAlign w:val="bottom"/>
          </w:tcPr>
          <w:p>
            <w:pPr>
              <w:spacing w:after="0"/>
              <w:rPr>
                <w:sz w:val="1"/>
                <w:szCs w:val="1"/>
                <w:color w:val="auto"/>
              </w:rPr>
            </w:pPr>
          </w:p>
        </w:tc>
      </w:tr>
      <w:tr>
        <w:trPr>
          <w:trHeight w:val="207"/>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Vice President</w:t>
            </w:r>
          </w:p>
        </w:tc>
        <w:tc>
          <w:tcPr>
            <w:tcW w:w="740" w:type="dxa"/>
            <w:vAlign w:val="bottom"/>
            <w:tcBorders>
              <w:right w:val="single" w:sz="8" w:color="auto"/>
            </w:tcBorders>
            <w:vMerge w:val="continue"/>
          </w:tcPr>
          <w:p>
            <w:pPr>
              <w:spacing w:after="0"/>
              <w:rPr>
                <w:sz w:val="17"/>
                <w:szCs w:val="17"/>
                <w:color w:val="auto"/>
              </w:rPr>
            </w:pPr>
          </w:p>
        </w:tc>
        <w:tc>
          <w:tcPr>
            <w:tcW w:w="100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700" w:type="dxa"/>
            <w:vAlign w:val="bottom"/>
            <w:tcBorders>
              <w:right w:val="single" w:sz="8" w:color="auto"/>
            </w:tcBorders>
            <w:vMerge w:val="continue"/>
          </w:tcPr>
          <w:p>
            <w:pPr>
              <w:spacing w:after="0"/>
              <w:rPr>
                <w:sz w:val="17"/>
                <w:szCs w:val="17"/>
                <w:color w:val="auto"/>
              </w:rPr>
            </w:pPr>
          </w:p>
        </w:tc>
        <w:tc>
          <w:tcPr>
            <w:tcW w:w="1200" w:type="dxa"/>
            <w:vAlign w:val="bottom"/>
            <w:tcBorders>
              <w:right w:val="single" w:sz="8" w:color="auto"/>
            </w:tcBorders>
            <w:vMerge w:val="continue"/>
          </w:tcPr>
          <w:p>
            <w:pPr>
              <w:spacing w:after="0"/>
              <w:rPr>
                <w:sz w:val="17"/>
                <w:szCs w:val="17"/>
                <w:color w:val="auto"/>
              </w:rPr>
            </w:pPr>
          </w:p>
        </w:tc>
        <w:tc>
          <w:tcPr>
            <w:tcW w:w="960" w:type="dxa"/>
            <w:vAlign w:val="bottom"/>
            <w:tcBorders>
              <w:right w:val="single" w:sz="8" w:color="auto"/>
            </w:tcBorders>
            <w:vMerge w:val="continue"/>
          </w:tcPr>
          <w:p>
            <w:pPr>
              <w:spacing w:after="0"/>
              <w:rPr>
                <w:sz w:val="17"/>
                <w:szCs w:val="17"/>
                <w:color w:val="auto"/>
              </w:rPr>
            </w:pPr>
          </w:p>
        </w:tc>
        <w:tc>
          <w:tcPr>
            <w:tcW w:w="780" w:type="dxa"/>
            <w:vAlign w:val="bottom"/>
            <w:tcBorders>
              <w:right w:val="single" w:sz="8" w:color="auto"/>
            </w:tcBorders>
            <w:vMerge w:val="continue"/>
          </w:tcPr>
          <w:p>
            <w:pPr>
              <w:spacing w:after="0"/>
              <w:rPr>
                <w:sz w:val="17"/>
                <w:szCs w:val="17"/>
                <w:color w:val="auto"/>
              </w:rPr>
            </w:pPr>
          </w:p>
        </w:tc>
        <w:tc>
          <w:tcPr>
            <w:tcW w:w="110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1340" w:type="dxa"/>
            <w:vAlign w:val="bottom"/>
            <w:tcBorders>
              <w:left w:val="single" w:sz="8" w:color="auto"/>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color w:val="auto"/>
              </w:rPr>
              <w:t>Marketing &amp;</w:t>
            </w:r>
          </w:p>
        </w:tc>
        <w:tc>
          <w:tcPr>
            <w:tcW w:w="740" w:type="dxa"/>
            <w:vAlign w:val="bottom"/>
            <w:tcBorders>
              <w:bottom w:val="single" w:sz="8" w:color="auto"/>
              <w:right w:val="single" w:sz="8" w:color="auto"/>
            </w:tcBorders>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700" w:type="dxa"/>
            <w:vAlign w:val="bottom"/>
            <w:tcBorders>
              <w:bottom w:val="single" w:sz="8" w:color="auto"/>
              <w:right w:val="single" w:sz="8" w:color="auto"/>
            </w:tcBorders>
          </w:tcPr>
          <w:p>
            <w:pPr>
              <w:spacing w:after="0"/>
              <w:rPr>
                <w:sz w:val="7"/>
                <w:szCs w:val="7"/>
                <w:color w:val="auto"/>
              </w:rPr>
            </w:pPr>
          </w:p>
        </w:tc>
        <w:tc>
          <w:tcPr>
            <w:tcW w:w="1200" w:type="dxa"/>
            <w:vAlign w:val="bottom"/>
            <w:tcBorders>
              <w:bottom w:val="single" w:sz="8" w:color="auto"/>
              <w:right w:val="single" w:sz="8" w:color="auto"/>
            </w:tcBorders>
          </w:tcPr>
          <w:p>
            <w:pPr>
              <w:spacing w:after="0"/>
              <w:rPr>
                <w:sz w:val="7"/>
                <w:szCs w:val="7"/>
                <w:color w:val="auto"/>
              </w:rPr>
            </w:pPr>
          </w:p>
        </w:tc>
        <w:tc>
          <w:tcPr>
            <w:tcW w:w="960" w:type="dxa"/>
            <w:vAlign w:val="bottom"/>
            <w:tcBorders>
              <w:bottom w:val="single" w:sz="8" w:color="auto"/>
              <w:right w:val="single" w:sz="8" w:color="auto"/>
            </w:tcBorders>
          </w:tcPr>
          <w:p>
            <w:pPr>
              <w:spacing w:after="0"/>
              <w:rPr>
                <w:sz w:val="7"/>
                <w:szCs w:val="7"/>
                <w:color w:val="auto"/>
              </w:rPr>
            </w:pPr>
          </w:p>
        </w:tc>
        <w:tc>
          <w:tcPr>
            <w:tcW w:w="780" w:type="dxa"/>
            <w:vAlign w:val="bottom"/>
            <w:tcBorders>
              <w:bottom w:val="single" w:sz="8" w:color="auto"/>
              <w:right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340" w:type="dxa"/>
            <w:vAlign w:val="bottom"/>
            <w:tcBorders>
              <w:left w:val="single" w:sz="8" w:color="auto"/>
              <w:right w:val="single" w:sz="8" w:color="auto"/>
            </w:tcBorders>
            <w:vMerge w:val="continue"/>
          </w:tcPr>
          <w:p>
            <w:pPr>
              <w:spacing w:after="0"/>
              <w:rPr>
                <w:sz w:val="8"/>
                <w:szCs w:val="8"/>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2021</w:t>
            </w:r>
          </w:p>
        </w:tc>
        <w:tc>
          <w:tcPr>
            <w:tcW w:w="1000" w:type="dxa"/>
            <w:vAlign w:val="bottom"/>
            <w:tcBorders>
              <w:right w:val="single" w:sz="8" w:color="auto"/>
            </w:tcBorders>
            <w:vMerge w:val="restart"/>
          </w:tcPr>
          <w:p>
            <w:pPr>
              <w:ind w:left="700"/>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7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2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11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1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26"/>
        </w:trPr>
        <w:tc>
          <w:tcPr>
            <w:tcW w:w="134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Communications</w:t>
            </w:r>
          </w:p>
        </w:tc>
        <w:tc>
          <w:tcPr>
            <w:tcW w:w="740" w:type="dxa"/>
            <w:vAlign w:val="bottom"/>
            <w:tcBorders>
              <w:right w:val="single" w:sz="8" w:color="auto"/>
            </w:tcBorders>
            <w:vMerge w:val="continue"/>
          </w:tcPr>
          <w:p>
            <w:pPr>
              <w:spacing w:after="0"/>
              <w:rPr>
                <w:sz w:val="19"/>
                <w:szCs w:val="19"/>
                <w:color w:val="auto"/>
              </w:rPr>
            </w:pPr>
          </w:p>
        </w:tc>
        <w:tc>
          <w:tcPr>
            <w:tcW w:w="100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vMerge w:val="continue"/>
          </w:tcPr>
          <w:p>
            <w:pPr>
              <w:spacing w:after="0"/>
              <w:rPr>
                <w:sz w:val="19"/>
                <w:szCs w:val="19"/>
                <w:color w:val="auto"/>
              </w:rPr>
            </w:pPr>
          </w:p>
        </w:tc>
        <w:tc>
          <w:tcPr>
            <w:tcW w:w="1700" w:type="dxa"/>
            <w:vAlign w:val="bottom"/>
            <w:tcBorders>
              <w:right w:val="single" w:sz="8" w:color="auto"/>
            </w:tcBorders>
            <w:vMerge w:val="continue"/>
          </w:tcPr>
          <w:p>
            <w:pPr>
              <w:spacing w:after="0"/>
              <w:rPr>
                <w:sz w:val="19"/>
                <w:szCs w:val="19"/>
                <w:color w:val="auto"/>
              </w:rPr>
            </w:pPr>
          </w:p>
        </w:tc>
        <w:tc>
          <w:tcPr>
            <w:tcW w:w="1200" w:type="dxa"/>
            <w:vAlign w:val="bottom"/>
            <w:tcBorders>
              <w:right w:val="single" w:sz="8" w:color="auto"/>
            </w:tcBorders>
            <w:vMerge w:val="continue"/>
          </w:tcPr>
          <w:p>
            <w:pPr>
              <w:spacing w:after="0"/>
              <w:rPr>
                <w:sz w:val="19"/>
                <w:szCs w:val="19"/>
                <w:color w:val="auto"/>
              </w:rPr>
            </w:pPr>
          </w:p>
        </w:tc>
        <w:tc>
          <w:tcPr>
            <w:tcW w:w="960" w:type="dxa"/>
            <w:vAlign w:val="bottom"/>
            <w:tcBorders>
              <w:right w:val="single" w:sz="8" w:color="auto"/>
            </w:tcBorders>
            <w:vMerge w:val="continue"/>
          </w:tcPr>
          <w:p>
            <w:pPr>
              <w:spacing w:after="0"/>
              <w:rPr>
                <w:sz w:val="19"/>
                <w:szCs w:val="19"/>
                <w:color w:val="auto"/>
              </w:rPr>
            </w:pPr>
          </w:p>
        </w:tc>
        <w:tc>
          <w:tcPr>
            <w:tcW w:w="780" w:type="dxa"/>
            <w:vAlign w:val="bottom"/>
            <w:tcBorders>
              <w:right w:val="single" w:sz="8" w:color="auto"/>
            </w:tcBorders>
            <w:vMerge w:val="continue"/>
          </w:tcPr>
          <w:p>
            <w:pPr>
              <w:spacing w:after="0"/>
              <w:rPr>
                <w:sz w:val="19"/>
                <w:szCs w:val="19"/>
                <w:color w:val="auto"/>
              </w:rPr>
            </w:pPr>
          </w:p>
        </w:tc>
        <w:tc>
          <w:tcPr>
            <w:tcW w:w="1100" w:type="dxa"/>
            <w:vAlign w:val="bottom"/>
            <w:tcBorders>
              <w:right w:val="single" w:sz="8" w:color="auto"/>
            </w:tcBorders>
            <w:vMerge w:val="continue"/>
          </w:tcPr>
          <w:p>
            <w:pPr>
              <w:spacing w:after="0"/>
              <w:rPr>
                <w:sz w:val="19"/>
                <w:szCs w:val="19"/>
                <w:color w:val="auto"/>
              </w:rPr>
            </w:pPr>
          </w:p>
        </w:tc>
        <w:tc>
          <w:tcPr>
            <w:tcW w:w="13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7"/>
        </w:trPr>
        <w:tc>
          <w:tcPr>
            <w:tcW w:w="1340" w:type="dxa"/>
            <w:vAlign w:val="bottom"/>
            <w:tcBorders>
              <w:left w:val="single" w:sz="8" w:color="auto"/>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960" w:type="dxa"/>
            <w:vAlign w:val="bottom"/>
            <w:tcBorders>
              <w:bottom w:val="single" w:sz="8" w:color="auto"/>
              <w:right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13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p>
    <w:p>
      <w:pPr>
        <w:spacing w:after="0" w:line="218" w:lineRule="exact"/>
        <w:rPr>
          <w:sz w:val="20"/>
          <w:szCs w:val="20"/>
          <w:color w:val="auto"/>
        </w:rPr>
      </w:pPr>
    </w:p>
    <w:p>
      <w:pPr>
        <w:jc w:val="both"/>
        <w:ind w:left="620" w:hanging="617"/>
        <w:spacing w:after="0" w:line="259"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 fair value calculations are based on the Black-Scholes Option Pricing Model and weighted average assumptions. Option-pricing models require the use of highly subjective estimates and assumptions including the expected stock price volatility. Changes in the underlying assumptions can materially affect the fair value estimates and therefore, in management’s opinion, existing models do not necessarily provide a reliable measure of the fair value of share- and option-based awards.</w:t>
      </w:r>
    </w:p>
    <w:p>
      <w:pPr>
        <w:spacing w:after="0" w:line="2" w:lineRule="exact"/>
        <w:rPr>
          <w:rFonts w:ascii="Times New Roman" w:cs="Times New Roman" w:eastAsia="Times New Roman" w:hAnsi="Times New Roman"/>
          <w:sz w:val="17"/>
          <w:szCs w:val="17"/>
          <w:color w:val="auto"/>
        </w:rPr>
      </w:pPr>
    </w:p>
    <w:p>
      <w:pPr>
        <w:ind w:left="620" w:hanging="617"/>
        <w:spacing w:after="0" w:line="25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incentive plan” means any plan that provides compensation intended to motivate performance to occur within one fiscal year but does not include option or share-based awards.</w:t>
      </w:r>
    </w:p>
    <w:p>
      <w:pPr>
        <w:ind w:left="620" w:hanging="617"/>
        <w:spacing w:after="0" w:line="25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 term incentive plan” means any plan that provides compensation intended to motivate performance to occur over a period greater than one fiscal year but does not include option or share-based awards.</w:t>
      </w:r>
    </w:p>
    <w:p>
      <w:pPr>
        <w:ind w:left="620" w:hanging="61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reflect monthly car allowance and contributions to the retirement savings benefits.</w:t>
      </w:r>
    </w:p>
    <w:p>
      <w:pPr>
        <w:spacing w:after="0" w:line="11" w:lineRule="exact"/>
        <w:rPr>
          <w:rFonts w:ascii="Times New Roman" w:cs="Times New Roman" w:eastAsia="Times New Roman" w:hAnsi="Times New Roman"/>
          <w:sz w:val="17"/>
          <w:szCs w:val="17"/>
          <w:color w:val="auto"/>
        </w:rPr>
      </w:pPr>
    </w:p>
    <w:p>
      <w:pPr>
        <w:jc w:val="both"/>
        <w:ind w:left="620" w:hanging="617"/>
        <w:spacing w:after="0" w:line="25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Geoffrey Morphy became a director of the Corporation on May 19, 2020. On August 31, 2020, Mr. Morphy resigned as a Director of the Corporation and became Executive Vice-President Finance, Administration &amp; Corporate Development of the Corporation. On December 29, 2020, Mr. Morphy became the President of the Corporation; on December 8, 2021, he assumed the position of Chief Operating Officer, in addition to President; and on December 29, 2022, he assumed the position of President and Chief Executive Officer. On March 25, 2024, the Company announced that Mr. Morphy would be departing from his role as President and CEO, pending the completion of an executive search. Mr. Morphy will continue to lead the Company as President and CEO in the interim.</w:t>
      </w:r>
    </w:p>
    <w:p>
      <w:pPr>
        <w:ind w:left="620" w:hanging="61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Lucas became Chief Financial Officer of the Corporation on June 14, 2021.</w:t>
      </w:r>
    </w:p>
    <w:p>
      <w:pPr>
        <w:spacing w:after="0" w:line="11"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Benjamin Gagnon was appointed as Chief Mining Officer on June 3, 2021.</w:t>
      </w:r>
    </w:p>
    <w:p>
      <w:pPr>
        <w:spacing w:after="0" w:line="11" w:lineRule="exact"/>
        <w:rPr>
          <w:rFonts w:ascii="Times New Roman" w:cs="Times New Roman" w:eastAsia="Times New Roman" w:hAnsi="Times New Roman"/>
          <w:sz w:val="17"/>
          <w:szCs w:val="17"/>
          <w:color w:val="auto"/>
        </w:rPr>
      </w:pPr>
    </w:p>
    <w:p>
      <w:pPr>
        <w:ind w:left="620" w:hanging="617"/>
        <w:spacing w:after="0" w:line="254" w:lineRule="auto"/>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Benoit Gobeil was appointed Vice President Operations &amp; Infrastructure on July 14, 2021, and became Executive Vice President Operations and Infrastructure on July 1, 2023.</w:t>
      </w:r>
    </w:p>
    <w:p>
      <w:pPr>
        <w:ind w:left="620" w:hanging="61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Stephanie Wargo was appointed as Vice President Marketing and Communications on February 14, 2022.</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color w:val="auto"/>
        </w:rPr>
        <w:t>Incentive Plan Awards to NEOs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Outstanding share-based awards and option-based awards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out the outstanding option-based awards for each NEO and executive directors of the Corporation as at December 31, 2023:</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342"/>
        </w:trPr>
        <w:tc>
          <w:tcPr>
            <w:tcW w:w="2500" w:type="dxa"/>
            <w:vAlign w:val="bottom"/>
            <w:tcBorders>
              <w:top w:val="single" w:sz="8" w:color="auto"/>
              <w:left w:val="single" w:sz="8" w:color="auto"/>
              <w:bottom w:val="single" w:sz="8" w:color="auto"/>
              <w:right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2040" w:type="dxa"/>
            <w:vAlign w:val="bottom"/>
            <w:tcBorders>
              <w:top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Option-Based Awards</w:t>
            </w:r>
          </w:p>
        </w:tc>
        <w:tc>
          <w:tcPr>
            <w:tcW w:w="1100" w:type="dxa"/>
            <w:vAlign w:val="bottom"/>
            <w:tcBorders>
              <w:top w:val="single" w:sz="8" w:color="auto"/>
              <w:bottom w:val="single" w:sz="8" w:color="auto"/>
              <w:right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Share-Based Awards</w:t>
            </w:r>
          </w:p>
        </w:tc>
        <w:tc>
          <w:tcPr>
            <w:tcW w:w="138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5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 of</w:t>
            </w:r>
          </w:p>
        </w:tc>
        <w:tc>
          <w:tcPr>
            <w:tcW w:w="900" w:type="dxa"/>
            <w:vAlign w:val="bottom"/>
            <w:tcBorders>
              <w:right w:val="single" w:sz="8" w:color="auto"/>
            </w:tcBorders>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7"/>
                <w:szCs w:val="17"/>
                <w:b w:val="1"/>
                <w:bCs w:val="1"/>
                <w:color w:val="auto"/>
              </w:rPr>
              <w:t>Market or</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ind w:right="14"/>
              <w:spacing w:after="0" w:line="187" w:lineRule="exact"/>
              <w:rPr>
                <w:sz w:val="20"/>
                <w:szCs w:val="20"/>
                <w:color w:val="auto"/>
              </w:rPr>
            </w:pPr>
            <w:r>
              <w:rPr>
                <w:rFonts w:ascii="Times New Roman" w:cs="Times New Roman" w:eastAsia="Times New Roman" w:hAnsi="Times New Roman"/>
                <w:sz w:val="17"/>
                <w:szCs w:val="17"/>
                <w:b w:val="1"/>
                <w:bCs w:val="1"/>
                <w:color w:val="auto"/>
              </w:rPr>
              <w:t>Market or</w:t>
            </w: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payout value</w:t>
            </w: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payout value of</w:t>
            </w: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4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00" w:type="dxa"/>
            <w:vAlign w:val="bottom"/>
            <w:tcBorders>
              <w:right w:val="single" w:sz="8" w:color="auto"/>
            </w:tcBorders>
            <w:vMerge w:val="continue"/>
          </w:tcPr>
          <w:p>
            <w:pPr>
              <w:spacing w:after="0"/>
              <w:rPr>
                <w:sz w:val="8"/>
                <w:szCs w:val="8"/>
                <w:color w:val="auto"/>
              </w:rPr>
            </w:pPr>
          </w:p>
        </w:tc>
        <w:tc>
          <w:tcPr>
            <w:tcW w:w="14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Number of RSUs</w:t>
            </w: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of RSUs that</w:t>
            </w: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vested share-</w:t>
            </w: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in-the-</w:t>
            </w:r>
          </w:p>
        </w:tc>
        <w:tc>
          <w:tcPr>
            <w:tcW w:w="140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Name and Position</w:t>
            </w: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1100" w:type="dxa"/>
            <w:vAlign w:val="bottom"/>
            <w:tcBorders>
              <w:right w:val="single" w:sz="8" w:color="auto"/>
            </w:tcBorders>
            <w:vMerge w:val="continue"/>
          </w:tcPr>
          <w:p>
            <w:pPr>
              <w:spacing w:after="0"/>
              <w:rPr>
                <w:sz w:val="8"/>
                <w:szCs w:val="8"/>
                <w:color w:val="auto"/>
              </w:rPr>
            </w:pPr>
          </w:p>
        </w:tc>
        <w:tc>
          <w:tcPr>
            <w:tcW w:w="1400" w:type="dxa"/>
            <w:vAlign w:val="bottom"/>
            <w:vMerge w:val="restart"/>
          </w:tcPr>
          <w:p>
            <w:pPr>
              <w:jc w:val="center"/>
              <w:ind w:left="14"/>
              <w:spacing w:after="0"/>
              <w:rPr>
                <w:sz w:val="20"/>
                <w:szCs w:val="20"/>
                <w:color w:val="auto"/>
              </w:rPr>
            </w:pPr>
            <w:r>
              <w:rPr>
                <w:rFonts w:ascii="Times New Roman" w:cs="Times New Roman" w:eastAsia="Times New Roman" w:hAnsi="Times New Roman"/>
                <w:sz w:val="17"/>
                <w:szCs w:val="17"/>
                <w:b w:val="1"/>
                <w:bCs w:val="1"/>
                <w:color w:val="auto"/>
              </w:rPr>
              <w:t>that have not</w:t>
            </w: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based</w:t>
            </w: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900" w:type="dxa"/>
            <w:vAlign w:val="bottom"/>
            <w:tcBorders>
              <w:right w:val="single" w:sz="8" w:color="auto"/>
            </w:tcBorders>
            <w:vMerge w:val="continue"/>
          </w:tcPr>
          <w:p>
            <w:pPr>
              <w:spacing w:after="0"/>
              <w:rPr>
                <w:sz w:val="8"/>
                <w:szCs w:val="8"/>
                <w:color w:val="auto"/>
              </w:rPr>
            </w:pPr>
          </w:p>
        </w:tc>
        <w:tc>
          <w:tcPr>
            <w:tcW w:w="1140" w:type="dxa"/>
            <w:vAlign w:val="bottom"/>
            <w:tcBorders>
              <w:right w:val="single" w:sz="8" w:color="auto"/>
            </w:tcBorders>
            <w:vMerge w:val="continue"/>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money</w:t>
            </w:r>
          </w:p>
        </w:tc>
        <w:tc>
          <w:tcPr>
            <w:tcW w:w="140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price ($)</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1100" w:type="dxa"/>
            <w:vAlign w:val="bottom"/>
            <w:tcBorders>
              <w:right w:val="single" w:sz="8" w:color="auto"/>
            </w:tcBorders>
            <w:vMerge w:val="continue"/>
          </w:tcPr>
          <w:p>
            <w:pPr>
              <w:spacing w:after="0"/>
              <w:rPr>
                <w:sz w:val="8"/>
                <w:szCs w:val="8"/>
                <w:color w:val="auto"/>
              </w:rPr>
            </w:pPr>
          </w:p>
        </w:tc>
        <w:tc>
          <w:tcPr>
            <w:tcW w:w="1400" w:type="dxa"/>
            <w:vAlign w:val="bottom"/>
            <w:vMerge w:val="restart"/>
          </w:tcPr>
          <w:p>
            <w:pPr>
              <w:jc w:val="center"/>
              <w:ind w:left="54"/>
              <w:spacing w:after="0"/>
              <w:rPr>
                <w:sz w:val="20"/>
                <w:szCs w:val="20"/>
                <w:color w:val="auto"/>
              </w:rPr>
            </w:pPr>
            <w:r>
              <w:rPr>
                <w:rFonts w:ascii="Times New Roman" w:cs="Times New Roman" w:eastAsia="Times New Roman" w:hAnsi="Times New Roman"/>
                <w:sz w:val="17"/>
                <w:szCs w:val="17"/>
                <w:b w:val="1"/>
                <w:bCs w:val="1"/>
                <w:color w:val="auto"/>
              </w:rPr>
              <w:t>vested (#)</w:t>
            </w: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line="214" w:lineRule="exact"/>
              <w:rPr>
                <w:sz w:val="20"/>
                <w:szCs w:val="20"/>
                <w:color w:val="auto"/>
              </w:rPr>
            </w:pPr>
            <w:r>
              <w:rPr>
                <w:rFonts w:ascii="Times New Roman" w:cs="Times New Roman" w:eastAsia="Times New Roman" w:hAnsi="Times New Roman"/>
                <w:sz w:val="15"/>
                <w:szCs w:val="15"/>
                <w:b w:val="1"/>
                <w:bCs w:val="1"/>
                <w:color w:val="auto"/>
              </w:rPr>
              <w:t>vested ($)</w:t>
            </w:r>
            <w:r>
              <w:rPr>
                <w:rFonts w:ascii="Times New Roman" w:cs="Times New Roman" w:eastAsia="Times New Roman" w:hAnsi="Times New Roman"/>
                <w:sz w:val="24"/>
                <w:szCs w:val="24"/>
                <w:b w:val="1"/>
                <w:bCs w:val="1"/>
                <w:color w:val="auto"/>
                <w:vertAlign w:val="superscript"/>
              </w:rPr>
              <w:t>(2)</w:t>
            </w: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awards not</w:t>
            </w:r>
          </w:p>
        </w:tc>
        <w:tc>
          <w:tcPr>
            <w:tcW w:w="0" w:type="dxa"/>
            <w:vAlign w:val="bottom"/>
          </w:tcPr>
          <w:p>
            <w:pPr>
              <w:spacing w:after="0"/>
              <w:rPr>
                <w:sz w:val="1"/>
                <w:szCs w:val="1"/>
                <w:color w:val="auto"/>
              </w:rPr>
            </w:pPr>
          </w:p>
        </w:tc>
      </w:tr>
      <w:tr>
        <w:trPr>
          <w:trHeight w:val="111"/>
        </w:trPr>
        <w:tc>
          <w:tcPr>
            <w:tcW w:w="250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9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400" w:type="dxa"/>
            <w:vAlign w:val="bottom"/>
            <w:vMerge w:val="continue"/>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4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paid out or</w:t>
            </w:r>
          </w:p>
        </w:tc>
        <w:tc>
          <w:tcPr>
            <w:tcW w:w="0" w:type="dxa"/>
            <w:vAlign w:val="bottom"/>
          </w:tcPr>
          <w:p>
            <w:pPr>
              <w:spacing w:after="0"/>
              <w:rPr>
                <w:sz w:val="1"/>
                <w:szCs w:val="1"/>
                <w:color w:val="auto"/>
              </w:rPr>
            </w:pPr>
          </w:p>
        </w:tc>
      </w:tr>
      <w:tr>
        <w:trPr>
          <w:trHeight w:val="103"/>
        </w:trPr>
        <w:tc>
          <w:tcPr>
            <w:tcW w:w="25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900" w:type="dxa"/>
            <w:vAlign w:val="bottom"/>
            <w:tcBorders>
              <w:right w:val="single" w:sz="8" w:color="auto"/>
            </w:tcBorders>
          </w:tcPr>
          <w:p>
            <w:pPr>
              <w:spacing w:after="0"/>
              <w:rPr>
                <w:sz w:val="8"/>
                <w:szCs w:val="8"/>
                <w:color w:val="auto"/>
              </w:rPr>
            </w:pPr>
          </w:p>
        </w:tc>
        <w:tc>
          <w:tcPr>
            <w:tcW w:w="114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4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5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4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vMerge w:val="continue"/>
          </w:tcPr>
          <w:p>
            <w:pPr>
              <w:spacing w:after="0"/>
              <w:rPr>
                <w:sz w:val="10"/>
                <w:szCs w:val="10"/>
                <w:color w:val="auto"/>
              </w:rPr>
            </w:pPr>
          </w:p>
        </w:tc>
        <w:tc>
          <w:tcPr>
            <w:tcW w:w="14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distributed ($)</w:t>
            </w:r>
          </w:p>
        </w:tc>
        <w:tc>
          <w:tcPr>
            <w:tcW w:w="0" w:type="dxa"/>
            <w:vAlign w:val="bottom"/>
          </w:tcPr>
          <w:p>
            <w:pPr>
              <w:spacing w:after="0"/>
              <w:rPr>
                <w:sz w:val="1"/>
                <w:szCs w:val="1"/>
                <w:color w:val="auto"/>
              </w:rPr>
            </w:pPr>
          </w:p>
        </w:tc>
      </w:tr>
      <w:tr>
        <w:trPr>
          <w:trHeight w:val="109"/>
        </w:trPr>
        <w:tc>
          <w:tcPr>
            <w:tcW w:w="250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5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37,500</w:t>
            </w: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0.36</w:t>
            </w:r>
          </w:p>
        </w:tc>
        <w:tc>
          <w:tcPr>
            <w:tcW w:w="11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06/29/2025</w:t>
            </w:r>
          </w:p>
        </w:tc>
        <w:tc>
          <w:tcPr>
            <w:tcW w:w="110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130,875</w:t>
            </w:r>
          </w:p>
        </w:tc>
        <w:tc>
          <w:tcPr>
            <w:tcW w:w="1400" w:type="dxa"/>
            <w:vAlign w:val="bottom"/>
          </w:tcPr>
          <w:p>
            <w:pPr>
              <w:jc w:val="center"/>
              <w:ind w:left="74"/>
              <w:spacing w:after="0" w:line="189" w:lineRule="exact"/>
              <w:rPr>
                <w:sz w:val="20"/>
                <w:szCs w:val="20"/>
                <w:color w:val="auto"/>
              </w:rPr>
            </w:pPr>
            <w:r>
              <w:rPr>
                <w:rFonts w:ascii="Times New Roman" w:cs="Times New Roman" w:eastAsia="Times New Roman" w:hAnsi="Times New Roman"/>
                <w:sz w:val="17"/>
                <w:szCs w:val="17"/>
                <w:color w:val="auto"/>
              </w:rPr>
              <w:t>91,666</w:t>
            </w: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$352,914</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ind w:right="14"/>
              <w:spacing w:after="0" w:line="189" w:lineRule="exact"/>
              <w:rPr>
                <w:sz w:val="20"/>
                <w:szCs w:val="20"/>
                <w:color w:val="auto"/>
              </w:rPr>
            </w:pPr>
            <w:r>
              <w:rPr>
                <w:rFonts w:ascii="Times New Roman" w:cs="Times New Roman" w:eastAsia="Times New Roman" w:hAnsi="Times New Roman"/>
                <w:sz w:val="17"/>
                <w:szCs w:val="17"/>
                <w:color w:val="auto"/>
              </w:rPr>
              <w:t>$96,250</w:t>
            </w: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 xml:space="preserve">Geoffrey Morphy </w:t>
            </w:r>
            <w:r>
              <w:rPr>
                <w:rFonts w:ascii="Times New Roman" w:cs="Times New Roman" w:eastAsia="Times New Roman" w:hAnsi="Times New Roman"/>
                <w:sz w:val="17"/>
                <w:szCs w:val="17"/>
                <w:i w:val="1"/>
                <w:iCs w:val="1"/>
                <w:color w:val="auto"/>
              </w:rPr>
              <w:t>President and</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240,000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0.43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08/31/2025</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820,800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Borders>
              <w:left w:val="single" w:sz="8" w:color="auto"/>
              <w:right w:val="single" w:sz="8" w:color="auto"/>
            </w:tcBorders>
            <w:vMerge w:val="continue"/>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154,900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323,741</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CEO and former Chief</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560,000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Operating Officer</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620,000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2,046,000</w:t>
            </w:r>
          </w:p>
        </w:tc>
        <w:tc>
          <w:tcPr>
            <w:tcW w:w="14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1,500,000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2,940,000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10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10,000</w:t>
            </w: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600,000</w:t>
            </w: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2.45</w:t>
            </w:r>
          </w:p>
        </w:tc>
        <w:tc>
          <w:tcPr>
            <w:tcW w:w="11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05/19/2027</w:t>
            </w:r>
          </w:p>
        </w:tc>
        <w:tc>
          <w:tcPr>
            <w:tcW w:w="110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840,000</w:t>
            </w:r>
          </w:p>
        </w:tc>
        <w:tc>
          <w:tcPr>
            <w:tcW w:w="1400" w:type="dxa"/>
            <w:vAlign w:val="bottom"/>
          </w:tcPr>
          <w:p>
            <w:pPr>
              <w:jc w:val="center"/>
              <w:ind w:left="74"/>
              <w:spacing w:after="0" w:line="189" w:lineRule="exact"/>
              <w:rPr>
                <w:sz w:val="20"/>
                <w:szCs w:val="20"/>
                <w:color w:val="auto"/>
              </w:rPr>
            </w:pPr>
            <w:r>
              <w:rPr>
                <w:rFonts w:ascii="Times New Roman" w:cs="Times New Roman" w:eastAsia="Times New Roman" w:hAnsi="Times New Roman"/>
                <w:sz w:val="17"/>
                <w:szCs w:val="17"/>
                <w:color w:val="auto"/>
              </w:rPr>
              <w:t>91,666</w:t>
            </w: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$352,914</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ind w:right="14"/>
              <w:spacing w:after="0" w:line="189" w:lineRule="exact"/>
              <w:rPr>
                <w:sz w:val="20"/>
                <w:szCs w:val="20"/>
                <w:color w:val="auto"/>
              </w:rPr>
            </w:pPr>
            <w:r>
              <w:rPr>
                <w:rFonts w:ascii="Times New Roman" w:cs="Times New Roman" w:eastAsia="Times New Roman" w:hAnsi="Times New Roman"/>
                <w:sz w:val="17"/>
                <w:szCs w:val="17"/>
                <w:color w:val="auto"/>
              </w:rPr>
              <w:t>$96,250</w:t>
            </w:r>
          </w:p>
        </w:tc>
        <w:tc>
          <w:tcPr>
            <w:tcW w:w="0" w:type="dxa"/>
            <w:vAlign w:val="bottom"/>
          </w:tcPr>
          <w:p>
            <w:pPr>
              <w:spacing w:after="0"/>
              <w:rPr>
                <w:sz w:val="1"/>
                <w:szCs w:val="1"/>
                <w:color w:val="auto"/>
              </w:rPr>
            </w:pPr>
          </w:p>
        </w:tc>
      </w:tr>
      <w:tr>
        <w:trPr>
          <w:trHeight w:val="205"/>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Jeffrey Lucas</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412,500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Chief Financial Officer</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1,450,000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2,842,000</w:t>
            </w:r>
          </w:p>
        </w:tc>
        <w:tc>
          <w:tcPr>
            <w:tcW w:w="14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10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8,000</w:t>
            </w: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400,000</w:t>
            </w: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0.35</w:t>
            </w:r>
          </w:p>
        </w:tc>
        <w:tc>
          <w:tcPr>
            <w:tcW w:w="11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09/21/2025</w:t>
            </w:r>
          </w:p>
        </w:tc>
        <w:tc>
          <w:tcPr>
            <w:tcW w:w="110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1,400,000</w:t>
            </w:r>
          </w:p>
        </w:tc>
        <w:tc>
          <w:tcPr>
            <w:tcW w:w="1400" w:type="dxa"/>
            <w:vAlign w:val="bottom"/>
          </w:tcPr>
          <w:p>
            <w:pPr>
              <w:jc w:val="center"/>
              <w:ind w:left="54"/>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1.76</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12/22/2025</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83,600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5.01</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06/29/2026</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Nil</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Benjamin Gagnon</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125,000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8.13</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12/08/2026</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Nil</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Chief Mining Officer</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312,500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437,500</w:t>
            </w:r>
          </w:p>
        </w:tc>
        <w:tc>
          <w:tcPr>
            <w:tcW w:w="14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660,000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50,000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98,000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250,000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10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5,000</w:t>
            </w: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125,000</w:t>
            </w: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5.01</w:t>
            </w:r>
          </w:p>
        </w:tc>
        <w:tc>
          <w:tcPr>
            <w:tcW w:w="11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06/29/2026</w:t>
            </w:r>
          </w:p>
        </w:tc>
        <w:tc>
          <w:tcPr>
            <w:tcW w:w="110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1400" w:type="dxa"/>
            <w:vAlign w:val="bottom"/>
          </w:tcPr>
          <w:p>
            <w:pPr>
              <w:jc w:val="center"/>
              <w:ind w:left="54"/>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05"/>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Benoit Gobeil</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237,500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2.45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05/19/2027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332,500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Executive Vice President</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42,500</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0.55</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140,250</w:t>
            </w:r>
          </w:p>
        </w:tc>
        <w:tc>
          <w:tcPr>
            <w:tcW w:w="14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i w:val="1"/>
                <w:iCs w:val="1"/>
                <w:color w:val="auto"/>
              </w:rPr>
              <w:t>Operations &amp; Infrastructure</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235,125</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10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496,125</w:t>
            </w:r>
          </w:p>
        </w:tc>
        <w:tc>
          <w:tcPr>
            <w:tcW w:w="14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200,000</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3.83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10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4,000</w:t>
            </w:r>
          </w:p>
        </w:tc>
        <w:tc>
          <w:tcPr>
            <w:tcW w:w="140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Stephanie Wargo</w:t>
            </w: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30,000</w:t>
            </w:r>
          </w:p>
        </w:tc>
        <w:tc>
          <w:tcPr>
            <w:tcW w:w="90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2.45</w:t>
            </w:r>
          </w:p>
        </w:tc>
        <w:tc>
          <w:tcPr>
            <w:tcW w:w="11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05/19/2027</w:t>
            </w:r>
          </w:p>
        </w:tc>
        <w:tc>
          <w:tcPr>
            <w:tcW w:w="110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42,000</w:t>
            </w:r>
          </w:p>
        </w:tc>
        <w:tc>
          <w:tcPr>
            <w:tcW w:w="1400" w:type="dxa"/>
            <w:vAlign w:val="bottom"/>
          </w:tcPr>
          <w:p>
            <w:pPr>
              <w:jc w:val="center"/>
              <w:ind w:left="54"/>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1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101"/>
        </w:trPr>
        <w:tc>
          <w:tcPr>
            <w:tcW w:w="250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140,000</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0.55</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12/27/2027</w:t>
            </w:r>
          </w:p>
        </w:tc>
        <w:tc>
          <w:tcPr>
            <w:tcW w:w="110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462,000</w:t>
            </w:r>
          </w:p>
        </w:tc>
        <w:tc>
          <w:tcPr>
            <w:tcW w:w="14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Vice President Marketing &amp;</w:t>
            </w:r>
          </w:p>
        </w:tc>
        <w:tc>
          <w:tcPr>
            <w:tcW w:w="12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0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112,500</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1.89</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06/30/2028</w:t>
            </w:r>
          </w:p>
        </w:tc>
        <w:tc>
          <w:tcPr>
            <w:tcW w:w="110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220,500</w:t>
            </w:r>
          </w:p>
        </w:tc>
        <w:tc>
          <w:tcPr>
            <w:tcW w:w="140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5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i w:val="1"/>
                <w:iCs w:val="1"/>
                <w:color w:val="auto"/>
              </w:rPr>
              <w:t>Communications</w:t>
            </w:r>
          </w:p>
        </w:tc>
        <w:tc>
          <w:tcPr>
            <w:tcW w:w="1240" w:type="dxa"/>
            <w:vAlign w:val="bottom"/>
            <w:tcBorders>
              <w:right w:val="single" w:sz="8" w:color="auto"/>
            </w:tcBorders>
            <w:vMerge w:val="continue"/>
          </w:tcPr>
          <w:p>
            <w:pPr>
              <w:spacing w:after="0"/>
              <w:rPr>
                <w:sz w:val="9"/>
                <w:szCs w:val="9"/>
                <w:color w:val="auto"/>
              </w:rPr>
            </w:pPr>
          </w:p>
        </w:tc>
        <w:tc>
          <w:tcPr>
            <w:tcW w:w="900" w:type="dxa"/>
            <w:vAlign w:val="bottom"/>
            <w:tcBorders>
              <w:right w:val="single" w:sz="8" w:color="auto"/>
            </w:tcBorders>
            <w:vMerge w:val="continue"/>
          </w:tcPr>
          <w:p>
            <w:pPr>
              <w:spacing w:after="0"/>
              <w:rPr>
                <w:sz w:val="9"/>
                <w:szCs w:val="9"/>
                <w:color w:val="auto"/>
              </w:rPr>
            </w:pPr>
          </w:p>
        </w:tc>
        <w:tc>
          <w:tcPr>
            <w:tcW w:w="1140" w:type="dxa"/>
            <w:vAlign w:val="bottom"/>
            <w:tcBorders>
              <w:right w:val="single" w:sz="8" w:color="auto"/>
            </w:tcBorders>
            <w:vMerge w:val="continue"/>
          </w:tcPr>
          <w:p>
            <w:pPr>
              <w:spacing w:after="0"/>
              <w:rPr>
                <w:sz w:val="9"/>
                <w:szCs w:val="9"/>
                <w:color w:val="auto"/>
              </w:rPr>
            </w:pPr>
          </w:p>
        </w:tc>
        <w:tc>
          <w:tcPr>
            <w:tcW w:w="1100" w:type="dxa"/>
            <w:vAlign w:val="bottom"/>
            <w:tcBorders>
              <w:right w:val="single" w:sz="8" w:color="auto"/>
            </w:tcBorders>
            <w:vMerge w:val="continue"/>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140,000</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3.83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color w:val="auto"/>
              </w:rPr>
              <w:t>12/22/2028</w:t>
            </w:r>
          </w:p>
        </w:tc>
        <w:tc>
          <w:tcPr>
            <w:tcW w:w="110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2,800</w:t>
            </w:r>
          </w:p>
        </w:tc>
        <w:tc>
          <w:tcPr>
            <w:tcW w:w="140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9"/>
        </w:trPr>
        <w:tc>
          <w:tcPr>
            <w:tcW w:w="250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vMerge w:val="continue"/>
          </w:tcPr>
          <w:p>
            <w:pPr>
              <w:spacing w:after="0"/>
              <w:rPr>
                <w:sz w:val="9"/>
                <w:szCs w:val="9"/>
                <w:color w:val="auto"/>
              </w:rPr>
            </w:pPr>
          </w:p>
        </w:tc>
        <w:tc>
          <w:tcPr>
            <w:tcW w:w="90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620" w:hanging="617"/>
        <w:spacing w:after="0" w:line="265" w:lineRule="auto"/>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unexercised in-the-money options is calculated based on the difference between the strike price of the option and the closing price of the Common Shares on the TSX as of December 31, 2023, which was $3.85.</w:t>
      </w:r>
    </w:p>
    <w:p>
      <w:pPr>
        <w:ind w:left="620" w:hanging="61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the RSUs is calculated by using the closing price of the Common Shares as of December 31, 2023, which was $3.85.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Incentive Plan Awards – Value Vested or Earned During the Year</w:t>
      </w:r>
    </w:p>
    <w:p>
      <w:pPr>
        <w:spacing w:after="0" w:line="156"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following table provides information regarding the value vested or earned on incentive plan awards for each NEO and executive officer of the Corporation during the financial year ended December 31, 2023:</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720" w:type="dxa"/>
            <w:vAlign w:val="bottom"/>
            <w:tcBorders>
              <w:top w:val="single" w:sz="8" w:color="auto"/>
              <w:left w:val="single" w:sz="8" w:color="auto"/>
              <w:right w:val="single" w:sz="8" w:color="auto"/>
            </w:tcBorders>
          </w:tcPr>
          <w:p>
            <w:pPr>
              <w:spacing w:after="0"/>
              <w:rPr>
                <w:sz w:val="18"/>
                <w:szCs w:val="18"/>
                <w:color w:val="auto"/>
              </w:rPr>
            </w:pPr>
          </w:p>
        </w:tc>
        <w:tc>
          <w:tcPr>
            <w:tcW w:w="3040" w:type="dxa"/>
            <w:vAlign w:val="bottom"/>
            <w:tcBorders>
              <w:top w:val="single" w:sz="8" w:color="auto"/>
              <w:right w:val="single" w:sz="8" w:color="auto"/>
            </w:tcBorders>
            <w:vMerge w:val="restart"/>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Option-based awards – Value</w:t>
            </w:r>
          </w:p>
        </w:tc>
        <w:tc>
          <w:tcPr>
            <w:tcW w:w="3020" w:type="dxa"/>
            <w:vAlign w:val="bottom"/>
            <w:tcBorders>
              <w:top w:val="single" w:sz="8" w:color="auto"/>
              <w:right w:val="single" w:sz="8" w:color="auto"/>
            </w:tcBorders>
            <w:vMerge w:val="restart"/>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Share-based awards – Value</w:t>
            </w:r>
          </w:p>
        </w:tc>
        <w:tc>
          <w:tcPr>
            <w:tcW w:w="34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 incentive plan</w:t>
            </w:r>
          </w:p>
        </w:tc>
        <w:tc>
          <w:tcPr>
            <w:tcW w:w="0" w:type="dxa"/>
            <w:vAlign w:val="bottom"/>
          </w:tcPr>
          <w:p>
            <w:pPr>
              <w:spacing w:after="0"/>
              <w:rPr>
                <w:sz w:val="1"/>
                <w:szCs w:val="1"/>
                <w:color w:val="auto"/>
              </w:rPr>
            </w:pPr>
          </w:p>
        </w:tc>
      </w:tr>
      <w:tr>
        <w:trPr>
          <w:trHeight w:val="107"/>
        </w:trPr>
        <w:tc>
          <w:tcPr>
            <w:tcW w:w="1720" w:type="dxa"/>
            <w:vAlign w:val="bottom"/>
            <w:tcBorders>
              <w:left w:val="single" w:sz="8" w:color="auto"/>
              <w:right w:val="single" w:sz="8" w:color="auto"/>
            </w:tcBorders>
            <w:vMerge w:val="restart"/>
          </w:tcPr>
          <w:p>
            <w:pPr>
              <w:ind w:left="64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040" w:type="dxa"/>
            <w:vAlign w:val="bottom"/>
            <w:tcBorders>
              <w:right w:val="single" w:sz="8" w:color="auto"/>
            </w:tcBorders>
            <w:vMerge w:val="continue"/>
          </w:tcPr>
          <w:p>
            <w:pPr>
              <w:spacing w:after="0"/>
              <w:rPr>
                <w:sz w:val="9"/>
                <w:szCs w:val="9"/>
                <w:color w:val="auto"/>
              </w:rPr>
            </w:pPr>
          </w:p>
        </w:tc>
        <w:tc>
          <w:tcPr>
            <w:tcW w:w="3020" w:type="dxa"/>
            <w:vAlign w:val="bottom"/>
            <w:tcBorders>
              <w:right w:val="single" w:sz="8" w:color="auto"/>
            </w:tcBorders>
            <w:vMerge w:val="continue"/>
          </w:tcPr>
          <w:p>
            <w:pPr>
              <w:spacing w:after="0"/>
              <w:rPr>
                <w:sz w:val="9"/>
                <w:szCs w:val="9"/>
                <w:color w:val="auto"/>
              </w:rPr>
            </w:pPr>
          </w:p>
        </w:tc>
        <w:tc>
          <w:tcPr>
            <w:tcW w:w="34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 Value vested</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vMerge w:val="continue"/>
          </w:tcPr>
          <w:p>
            <w:pPr>
              <w:spacing w:after="0"/>
              <w:rPr>
                <w:sz w:val="8"/>
                <w:szCs w:val="8"/>
                <w:color w:val="auto"/>
              </w:rPr>
            </w:pPr>
          </w:p>
        </w:tc>
        <w:tc>
          <w:tcPr>
            <w:tcW w:w="3040" w:type="dxa"/>
            <w:vAlign w:val="bottom"/>
            <w:tcBorders>
              <w:right w:val="single" w:sz="8" w:color="auto"/>
            </w:tcBorders>
            <w:vMerge w:val="restart"/>
          </w:tcPr>
          <w:p>
            <w:pPr>
              <w:jc w:val="right"/>
              <w:ind w:right="414"/>
              <w:spacing w:after="0" w:line="314" w:lineRule="exact"/>
              <w:rPr>
                <w:sz w:val="20"/>
                <w:szCs w:val="20"/>
                <w:color w:val="auto"/>
              </w:rPr>
            </w:pPr>
            <w:r>
              <w:rPr>
                <w:rFonts w:ascii="Times New Roman" w:cs="Times New Roman" w:eastAsia="Times New Roman" w:hAnsi="Times New Roman"/>
                <w:sz w:val="17"/>
                <w:szCs w:val="17"/>
                <w:b w:val="1"/>
                <w:bCs w:val="1"/>
                <w:color w:val="auto"/>
              </w:rPr>
              <w:t>vested during the year</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p>
        </w:tc>
        <w:tc>
          <w:tcPr>
            <w:tcW w:w="3020" w:type="dxa"/>
            <w:vAlign w:val="bottom"/>
            <w:tcBorders>
              <w:right w:val="single" w:sz="8" w:color="auto"/>
            </w:tcBorders>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vested during the year ($)</w:t>
            </w:r>
          </w:p>
        </w:tc>
        <w:tc>
          <w:tcPr>
            <w:tcW w:w="34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720" w:type="dxa"/>
            <w:vAlign w:val="bottom"/>
            <w:tcBorders>
              <w:left w:val="single" w:sz="8" w:color="auto"/>
              <w:right w:val="single" w:sz="8" w:color="auto"/>
            </w:tcBorders>
          </w:tcPr>
          <w:p>
            <w:pPr>
              <w:spacing w:after="0"/>
              <w:rPr>
                <w:sz w:val="18"/>
                <w:szCs w:val="18"/>
                <w:color w:val="auto"/>
              </w:rPr>
            </w:pPr>
          </w:p>
        </w:tc>
        <w:tc>
          <w:tcPr>
            <w:tcW w:w="3040" w:type="dxa"/>
            <w:vAlign w:val="bottom"/>
            <w:tcBorders>
              <w:right w:val="single" w:sz="8" w:color="auto"/>
            </w:tcBorders>
            <w:vMerge w:val="continue"/>
          </w:tcPr>
          <w:p>
            <w:pPr>
              <w:spacing w:after="0"/>
              <w:rPr>
                <w:sz w:val="18"/>
                <w:szCs w:val="18"/>
                <w:color w:val="auto"/>
              </w:rPr>
            </w:pPr>
          </w:p>
        </w:tc>
        <w:tc>
          <w:tcPr>
            <w:tcW w:w="3020" w:type="dxa"/>
            <w:vAlign w:val="bottom"/>
            <w:tcBorders>
              <w:right w:val="single" w:sz="8" w:color="auto"/>
            </w:tcBorders>
            <w:vMerge w:val="continue"/>
          </w:tcPr>
          <w:p>
            <w:pPr>
              <w:spacing w:after="0"/>
              <w:rPr>
                <w:sz w:val="18"/>
                <w:szCs w:val="18"/>
                <w:color w:val="auto"/>
              </w:rPr>
            </w:pPr>
          </w:p>
        </w:tc>
        <w:tc>
          <w:tcPr>
            <w:tcW w:w="346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17"/>
                <w:szCs w:val="17"/>
                <w:b w:val="1"/>
                <w:bCs w:val="1"/>
                <w:color w:val="auto"/>
                <w:w w:val="98"/>
              </w:rPr>
              <w:t>during the year</w:t>
            </w:r>
            <w:r>
              <w:rPr>
                <w:rFonts w:ascii="Times New Roman" w:cs="Times New Roman" w:eastAsia="Times New Roman" w:hAnsi="Times New Roman"/>
                <w:sz w:val="28"/>
                <w:szCs w:val="28"/>
                <w:b w:val="1"/>
                <w:bCs w:val="1"/>
                <w:color w:val="auto"/>
                <w:w w:val="98"/>
                <w:vertAlign w:val="superscript"/>
              </w:rPr>
              <w:t>(2)</w:t>
            </w:r>
            <w:r>
              <w:rPr>
                <w:rFonts w:ascii="Times New Roman" w:cs="Times New Roman" w:eastAsia="Times New Roman" w:hAnsi="Times New Roman"/>
                <w:sz w:val="17"/>
                <w:szCs w:val="17"/>
                <w:b w:val="1"/>
                <w:bCs w:val="1"/>
                <w:color w:val="auto"/>
                <w:w w:val="98"/>
              </w:rPr>
              <w:t xml:space="preserve"> ($)</w:t>
            </w:r>
          </w:p>
        </w:tc>
        <w:tc>
          <w:tcPr>
            <w:tcW w:w="0" w:type="dxa"/>
            <w:vAlign w:val="bottom"/>
          </w:tcPr>
          <w:p>
            <w:pPr>
              <w:spacing w:after="0"/>
              <w:rPr>
                <w:sz w:val="1"/>
                <w:szCs w:val="1"/>
                <w:color w:val="auto"/>
              </w:rPr>
            </w:pPr>
          </w:p>
        </w:tc>
      </w:tr>
      <w:tr>
        <w:trPr>
          <w:trHeight w:val="58"/>
        </w:trPr>
        <w:tc>
          <w:tcPr>
            <w:tcW w:w="1720" w:type="dxa"/>
            <w:vAlign w:val="bottom"/>
            <w:tcBorders>
              <w:left w:val="single" w:sz="8" w:color="auto"/>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3020" w:type="dxa"/>
            <w:vAlign w:val="bottom"/>
            <w:tcBorders>
              <w:bottom w:val="single" w:sz="8" w:color="auto"/>
              <w:right w:val="single" w:sz="8" w:color="auto"/>
            </w:tcBorders>
          </w:tcPr>
          <w:p>
            <w:pPr>
              <w:spacing w:after="0"/>
              <w:rPr>
                <w:sz w:val="5"/>
                <w:szCs w:val="5"/>
                <w:color w:val="auto"/>
              </w:rPr>
            </w:pPr>
          </w:p>
        </w:tc>
        <w:tc>
          <w:tcPr>
            <w:tcW w:w="34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Geoffrey Morphy</w:t>
            </w:r>
          </w:p>
        </w:tc>
        <w:tc>
          <w:tcPr>
            <w:tcW w:w="30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1,899,500</w:t>
            </w:r>
          </w:p>
        </w:tc>
        <w:tc>
          <w:tcPr>
            <w:tcW w:w="30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211,667</w:t>
            </w:r>
          </w:p>
        </w:tc>
        <w:tc>
          <w:tcPr>
            <w:tcW w:w="3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Jeffrey Lucas</w:t>
            </w:r>
          </w:p>
        </w:tc>
        <w:tc>
          <w:tcPr>
            <w:tcW w:w="30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1,190,000</w:t>
            </w:r>
          </w:p>
        </w:tc>
        <w:tc>
          <w:tcPr>
            <w:tcW w:w="30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211,667</w:t>
            </w:r>
          </w:p>
        </w:tc>
        <w:tc>
          <w:tcPr>
            <w:tcW w:w="3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Benjamin Gagnon</w:t>
            </w:r>
          </w:p>
        </w:tc>
        <w:tc>
          <w:tcPr>
            <w:tcW w:w="30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298,500</w:t>
            </w:r>
          </w:p>
        </w:tc>
        <w:tc>
          <w:tcPr>
            <w:tcW w:w="30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3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Benoit Gobeil</w:t>
            </w:r>
          </w:p>
        </w:tc>
        <w:tc>
          <w:tcPr>
            <w:tcW w:w="30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398,725</w:t>
            </w:r>
          </w:p>
        </w:tc>
        <w:tc>
          <w:tcPr>
            <w:tcW w:w="30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3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7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Stephanie Wargo</w:t>
            </w:r>
          </w:p>
        </w:tc>
        <w:tc>
          <w:tcPr>
            <w:tcW w:w="30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246,925</w:t>
            </w:r>
          </w:p>
        </w:tc>
        <w:tc>
          <w:tcPr>
            <w:tcW w:w="30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3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US$3,214.</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154" w:lineRule="exact"/>
        <w:rPr>
          <w:sz w:val="20"/>
          <w:szCs w:val="20"/>
          <w:color w:val="auto"/>
        </w:rPr>
      </w:pPr>
    </w:p>
    <w:p>
      <w:pPr>
        <w:ind w:left="620" w:hanging="617"/>
        <w:spacing w:after="0" w:line="265" w:lineRule="auto"/>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ind w:left="620" w:hanging="617"/>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amounts earned pursuant to the Corporation’s annual bonus program.</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Employment and Consulting Agreements and Termination and Change of Control Benefits</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Each of the NEOs has entered into an employment with the Corporation. The employment agreements include provisions regarding base salary, annual bonuses, confidentiality and ownership of intellectual property, among other things. Other than as may be provided pursuant to the employment agreements with Mr.. Morphy, as described herein, except for a Termination Benefit Agreement entered with Messrs. Jeff Lucas, Benjamin Gagnon, Benoit Gobeil and Stephanie Wargo on December 15, 2022, as an amendment to their employment agreement, and as detailed below, the Corporation is not party to any compensation plan or arrangement with NEOs that provides for payment resulting from the resignation, retirement or the termination of employment of any person.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 Geoffrey Morphy</w:t>
      </w:r>
    </w:p>
    <w:p>
      <w:pPr>
        <w:spacing w:after="0" w:line="2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On August 26, 2020, the Corporation entered into an employment agreement with Geoffrey Morphy, pursuant to which Mr. Morphy was employed as Executive Vice-President, Finance, Administration &amp; Corporate Development. On December 29, 2020, Mr. Morphy became the President of the Corporation. On December 8, 2021, he assumed the position of Chief Operating Officer, in addition to his role as President, and his relationship with the Corporation continued to be governed by the employment agreement. On December 28, 2022, the Corporation entered into an employment agreement with Mr. Morphy by which he was appointed Chief Executive Officer, in addition to his role as President. His current annual base salary is US$582,400. Mr. Morphy is in charge of supervising and controlling all strategic and business aspects of the Corporation. His duties and responsibilities include developing and refining the Corporation’s shareholder relations, capital market strategy and corporate development strategy to create accretive growth and maximize shareholder value, optimize existing business operations, develop high quality regional and international business strategies and plans ensuring their alignment with short-term and long-term objectives. The Corporation may terminate the employment agreement without cause at any time, provided that the Corporation may pay Mr. Morphy fourteen (14) months’ payment in lieu of notice of termination for the first year of service and, thereafter, one (1) month of notice plus one (1) month of payment in lieu of notice per six-months of service up to a maximum payment in lieu of notice period of twenty-four (24) months. Double (i.e., two times) such amount will be payable upon the termination of the employment agreement within eighteen months of a Change of Control. Mr. Morphy has entered into a non-competition and non-disclosure agreement with the Corporation.</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Jeffrey Lucas</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June 14, 2021, and as amended on December 15, 2022, the Corporation entered into an employment agreement with Jeffrey Lucas, pursuant to which Mr. Lucas was employed as Chief Financial Officer. His current annual base salary is US$438,165. The Corporation may terminate the employment agreement without cause at any time, provided that the Corporation continues to pay Mr. Lucas on a continuing basis for a period of twelve (12) months following the termination, with the first payment being made after the sixtieth (60) day following such termination. Double (i.e. two times) such amount, with a minimum of twenty-four (24) months, will be payable upon the termination of the employment agreement within eighteen months of a Change of Control. Mr. Lucas has entered into a non-competition and non-disclosure agreement with the Corporation.</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Benjamin Gagnon</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June 17, 2022, and as amended on December 15, 2022, the Corporation entered into an employment agreement with Benjamin Gagnon, pursuant to which Mr. Gagnon was employed as Chief Mining Officer. His currently annual base salary is US$244,400. In case of termination of his employment agreement within eighteen months of a Change of Control, Mr. Gagnon will be entitled to receive the equivalent of eighteen (18) months of his salary payable upon the termination of the employment agreement. Mr. Gagnon has entered into a non-competition and non-disclosure agreement with the Corporation.</w:t>
      </w:r>
    </w:p>
    <w:p>
      <w:pPr>
        <w:spacing w:after="0" w:line="1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Benoit Gobeil</w:t>
      </w:r>
    </w:p>
    <w:p>
      <w:pPr>
        <w:spacing w:after="0" w:line="2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January 12, 2021, and as amended on December 15, 2022, the Corporation enter into an employment agreement with Benoit Gobeil, pursuant to which Mr. Gobeil was employed as Vice President Operations and Infrastructure, then on June 2023 he was promoted to Executive Vice President Operations and Infrastructure. His current annual base salary is US$242,500. The Corporation may terminate the employment agreement without cause at any time, provided that the Corporation pays Mr. Gobeil the equivalent of 6 weeks of notice per partial or completed year of employment, to a maximum of twelve (12) months of salary. Mr. Gobeil would be entitled to receive 1.5 times such amount, with a minimum of eighteen (28) months, upon the termination of the employment agreement within eighteen months of a Change of Control. Mr. Gobeil has entered into a non-competition and non-disclosure agreement with the Corporation.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Stephanie Wargo</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January 13, 2022, and as amended on December 15, 2022, the Corporation entered into an employment agreement with Stephanie Wargo, pursuant to which Ms. Wargo was employed as Vice President Marketing &amp; Communications. Her current annual base salary is US$245,700. In case of termination of her employment agreement within eighteen months of a Change of Control, Ms. Wargo will be entitled to receive the equivalent of eighteen (18) months of her salary payable upon the termination of the employment agreement. Ms. Wargo has entered into a non-competition and non-disclosure agreement with the Corporation.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Pension Plan Benefits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has no pension or retirement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Retirement Savings Benefits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Corporation implemented an employer-sponsored group retirement savings plan in July 2022 (Canada) and January 2023 (United States). There is no such plan in Argentina. The Corporation matches one for one, contributions made by all employees, including NEOs, up to a maximum contribution of four percent (4%) of the base gross salary. All participants are subject to the vesting terms of applicable plans as well as responsible for the management of their individual contribution limits according to the relevant tax-revenue agency.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During the financial year ended December 31, 2023, directors were compensated with respect to general directors’ duties, or for additional service on Board committees. Directors may also receive equity-based compensation pursuant to the Corporation’s LTIP. Options and RSUs are granted at the discretion of the Board upon the recommendation of the Compensation Committee. Directors may also be reimbursed for out-of-pocket expenses incurred in carrying out their duties as directors.</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Officers of the Corporation who, during the year 2023, also acted as directors did not receive additional compensation for services rendered in such capacity, other than as paid by the Corporation pursuant to their capacity as officers.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Director Compensation Table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compensation paid to the non-NEO directors of the Corporation during the last financial year:</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0"/>
        </w:trPr>
        <w:tc>
          <w:tcPr>
            <w:tcW w:w="2160" w:type="dxa"/>
            <w:vAlign w:val="bottom"/>
            <w:tcBorders>
              <w:top w:val="single" w:sz="8" w:color="auto"/>
              <w:left w:val="single" w:sz="8" w:color="auto"/>
              <w:right w:val="single" w:sz="8" w:color="auto"/>
            </w:tcBorders>
          </w:tcPr>
          <w:p>
            <w:pPr>
              <w:spacing w:after="0"/>
              <w:rPr>
                <w:sz w:val="19"/>
                <w:szCs w:val="19"/>
                <w:color w:val="auto"/>
              </w:rPr>
            </w:pPr>
          </w:p>
        </w:tc>
        <w:tc>
          <w:tcPr>
            <w:tcW w:w="13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spacing w:after="0"/>
              <w:rPr>
                <w:sz w:val="19"/>
                <w:szCs w:val="19"/>
                <w:color w:val="auto"/>
              </w:rPr>
            </w:pPr>
          </w:p>
        </w:tc>
        <w:tc>
          <w:tcPr>
            <w:tcW w:w="1460" w:type="dxa"/>
            <w:vAlign w:val="bottom"/>
            <w:tcBorders>
              <w:top w:val="single" w:sz="8" w:color="auto"/>
              <w:right w:val="single" w:sz="8" w:color="auto"/>
            </w:tcBorders>
          </w:tcPr>
          <w:p>
            <w:pPr>
              <w:spacing w:after="0"/>
              <w:rPr>
                <w:sz w:val="19"/>
                <w:szCs w:val="19"/>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1340" w:type="dxa"/>
            <w:vAlign w:val="bottom"/>
            <w:tcBorders>
              <w:top w:val="single" w:sz="8" w:color="auto"/>
              <w:right w:val="single" w:sz="8" w:color="auto"/>
            </w:tcBorders>
          </w:tcPr>
          <w:p>
            <w:pPr>
              <w:jc w:val="right"/>
              <w:ind w:right="195"/>
              <w:spacing w:after="0" w:line="220" w:lineRule="exact"/>
              <w:rPr>
                <w:sz w:val="20"/>
                <w:szCs w:val="20"/>
                <w:color w:val="auto"/>
              </w:rPr>
            </w:pPr>
            <w:r>
              <w:rPr>
                <w:rFonts w:ascii="Times New Roman" w:cs="Times New Roman" w:eastAsia="Times New Roman" w:hAnsi="Times New Roman"/>
                <w:sz w:val="16"/>
                <w:szCs w:val="16"/>
                <w:b w:val="1"/>
                <w:bCs w:val="1"/>
                <w:color w:val="auto"/>
              </w:rPr>
              <w:t>Total ($)</w:t>
            </w:r>
            <w:r>
              <w:rPr>
                <w:rFonts w:ascii="Times New Roman" w:cs="Times New Roman" w:eastAsia="Times New Roman" w:hAnsi="Times New Roman"/>
                <w:sz w:val="25"/>
                <w:szCs w:val="25"/>
                <w:b w:val="1"/>
                <w:bCs w:val="1"/>
                <w:color w:val="auto"/>
                <w:vertAlign w:val="superscript"/>
              </w:rPr>
              <w:t>(2)</w:t>
            </w:r>
          </w:p>
        </w:tc>
        <w:tc>
          <w:tcPr>
            <w:tcW w:w="0" w:type="dxa"/>
            <w:vAlign w:val="bottom"/>
          </w:tcPr>
          <w:p>
            <w:pPr>
              <w:spacing w:after="0"/>
              <w:rPr>
                <w:sz w:val="1"/>
                <w:szCs w:val="1"/>
                <w:color w:val="auto"/>
              </w:rPr>
            </w:pPr>
          </w:p>
        </w:tc>
      </w:tr>
      <w:tr>
        <w:trPr>
          <w:trHeight w:val="199"/>
        </w:trPr>
        <w:tc>
          <w:tcPr>
            <w:tcW w:w="2160" w:type="dxa"/>
            <w:vAlign w:val="bottom"/>
            <w:tcBorders>
              <w:left w:val="single" w:sz="8" w:color="auto"/>
              <w:right w:val="single" w:sz="8" w:color="auto"/>
            </w:tcBorders>
          </w:tcPr>
          <w:p>
            <w:pPr>
              <w:spacing w:after="0"/>
              <w:rPr>
                <w:sz w:val="17"/>
                <w:szCs w:val="17"/>
                <w:color w:val="auto"/>
              </w:rPr>
            </w:pPr>
          </w:p>
        </w:tc>
        <w:tc>
          <w:tcPr>
            <w:tcW w:w="136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Fees Earned</w:t>
            </w:r>
          </w:p>
        </w:tc>
        <w:tc>
          <w:tcPr>
            <w:tcW w:w="1340" w:type="dxa"/>
            <w:vAlign w:val="bottom"/>
            <w:tcBorders>
              <w:right w:val="single" w:sz="8" w:color="auto"/>
            </w:tcBorders>
            <w:vMerge w:val="restart"/>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Share-based</w:t>
            </w:r>
          </w:p>
        </w:tc>
        <w:tc>
          <w:tcPr>
            <w:tcW w:w="146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Option-based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incentive</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value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2160" w:type="dxa"/>
            <w:vAlign w:val="bottom"/>
            <w:tcBorders>
              <w:left w:val="single" w:sz="8" w:color="auto"/>
              <w:right w:val="single" w:sz="8" w:color="auto"/>
            </w:tcBorders>
          </w:tcPr>
          <w:p>
            <w:pPr>
              <w:spacing w:after="0"/>
              <w:rPr>
                <w:sz w:val="7"/>
                <w:szCs w:val="7"/>
                <w:color w:val="auto"/>
              </w:rPr>
            </w:pPr>
          </w:p>
        </w:tc>
        <w:tc>
          <w:tcPr>
            <w:tcW w:w="13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plan</w:t>
            </w: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160" w:type="dxa"/>
            <w:vAlign w:val="bottom"/>
            <w:tcBorders>
              <w:left w:val="single" w:sz="8" w:color="auto"/>
              <w:right w:val="single" w:sz="8" w:color="auto"/>
            </w:tcBorders>
            <w:vMerge w:val="restart"/>
          </w:tcPr>
          <w:p>
            <w:pPr>
              <w:ind w:left="780"/>
              <w:spacing w:after="0" w:line="301" w:lineRule="exact"/>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8"/>
                <w:szCs w:val="28"/>
                <w:b w:val="1"/>
                <w:bCs w:val="1"/>
                <w:color w:val="auto"/>
                <w:vertAlign w:val="superscript"/>
              </w:rPr>
              <w:t>(1)</w:t>
            </w:r>
          </w:p>
        </w:tc>
        <w:tc>
          <w:tcPr>
            <w:tcW w:w="1360" w:type="dxa"/>
            <w:vAlign w:val="bottom"/>
            <w:tcBorders>
              <w:right w:val="single" w:sz="8" w:color="auto"/>
            </w:tcBorders>
            <w:vMerge w:val="restart"/>
          </w:tcPr>
          <w:p>
            <w:pPr>
              <w:jc w:val="right"/>
              <w:ind w:right="414"/>
              <w:spacing w:after="0" w:line="301"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(3)</w:t>
            </w:r>
          </w:p>
        </w:tc>
        <w:tc>
          <w:tcPr>
            <w:tcW w:w="134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awards ($)</w:t>
            </w:r>
          </w:p>
        </w:tc>
        <w:tc>
          <w:tcPr>
            <w:tcW w:w="1460" w:type="dxa"/>
            <w:vAlign w:val="bottom"/>
            <w:tcBorders>
              <w:right w:val="single" w:sz="8" w:color="auto"/>
            </w:tcBorders>
            <w:vMerge w:val="restart"/>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awards ($)</w:t>
            </w:r>
          </w:p>
        </w:tc>
        <w:tc>
          <w:tcPr>
            <w:tcW w:w="13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160" w:type="dxa"/>
            <w:vAlign w:val="bottom"/>
            <w:tcBorders>
              <w:left w:val="single" w:sz="8" w:color="auto"/>
              <w:right w:val="single" w:sz="8" w:color="auto"/>
            </w:tcBorders>
            <w:vMerge w:val="continue"/>
          </w:tcPr>
          <w:p>
            <w:pPr>
              <w:spacing w:after="0"/>
              <w:rPr>
                <w:sz w:val="15"/>
                <w:szCs w:val="15"/>
                <w:color w:val="auto"/>
              </w:rPr>
            </w:pPr>
          </w:p>
        </w:tc>
        <w:tc>
          <w:tcPr>
            <w:tcW w:w="136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90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1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160" w:type="dxa"/>
            <w:vAlign w:val="bottom"/>
            <w:tcBorders>
              <w:left w:val="single" w:sz="8" w:color="auto"/>
              <w:right w:val="single" w:sz="8" w:color="auto"/>
            </w:tcBorders>
          </w:tcPr>
          <w:p>
            <w:pPr>
              <w:spacing w:after="0"/>
              <w:rPr>
                <w:sz w:val="2"/>
                <w:szCs w:val="2"/>
                <w:color w:val="auto"/>
              </w:rPr>
            </w:pPr>
          </w:p>
        </w:tc>
        <w:tc>
          <w:tcPr>
            <w:tcW w:w="136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46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vMerge w:val="continue"/>
          </w:tcPr>
          <w:p>
            <w:pPr>
              <w:spacing w:after="0"/>
              <w:rPr>
                <w:sz w:val="2"/>
                <w:szCs w:val="2"/>
                <w:color w:val="auto"/>
              </w:rPr>
            </w:pPr>
          </w:p>
        </w:tc>
        <w:tc>
          <w:tcPr>
            <w:tcW w:w="90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13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3"/>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13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4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Nicolas Bonta</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US$78,260</w:t>
            </w:r>
          </w:p>
        </w:tc>
        <w:tc>
          <w:tcPr>
            <w:tcW w:w="13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US$144,500</w:t>
            </w:r>
          </w:p>
        </w:tc>
        <w:tc>
          <w:tcPr>
            <w:tcW w:w="1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US$1,172,960</w:t>
            </w:r>
          </w:p>
        </w:tc>
        <w:tc>
          <w:tcPr>
            <w:tcW w:w="13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US$3,650</w:t>
            </w:r>
          </w:p>
        </w:tc>
        <w:tc>
          <w:tcPr>
            <w:tcW w:w="9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US$1,399,370</w:t>
            </w:r>
          </w:p>
        </w:tc>
        <w:tc>
          <w:tcPr>
            <w:tcW w:w="0" w:type="dxa"/>
            <w:vAlign w:val="bottom"/>
          </w:tcPr>
          <w:p>
            <w:pPr>
              <w:spacing w:after="0"/>
              <w:rPr>
                <w:sz w:val="1"/>
                <w:szCs w:val="1"/>
                <w:color w:val="auto"/>
              </w:rPr>
            </w:pP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Andres Finkielsztain</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US$99,152</w:t>
            </w:r>
          </w:p>
        </w:tc>
        <w:tc>
          <w:tcPr>
            <w:tcW w:w="13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US$144,500</w:t>
            </w:r>
          </w:p>
        </w:tc>
        <w:tc>
          <w:tcPr>
            <w:tcW w:w="1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US$493,049</w:t>
            </w:r>
          </w:p>
        </w:tc>
        <w:tc>
          <w:tcPr>
            <w:tcW w:w="13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US$3,650</w:t>
            </w:r>
          </w:p>
        </w:tc>
        <w:tc>
          <w:tcPr>
            <w:tcW w:w="9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US$740,352</w:t>
            </w:r>
          </w:p>
        </w:tc>
        <w:tc>
          <w:tcPr>
            <w:tcW w:w="0" w:type="dxa"/>
            <w:vAlign w:val="bottom"/>
          </w:tcPr>
          <w:p>
            <w:pPr>
              <w:spacing w:after="0"/>
              <w:rPr>
                <w:sz w:val="1"/>
                <w:szCs w:val="1"/>
                <w:color w:val="auto"/>
              </w:rPr>
            </w:pP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Emiliano J. Grodzki</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US$78,260</w:t>
            </w:r>
          </w:p>
        </w:tc>
        <w:tc>
          <w:tcPr>
            <w:tcW w:w="13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US$144,500</w:t>
            </w:r>
          </w:p>
        </w:tc>
        <w:tc>
          <w:tcPr>
            <w:tcW w:w="1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US$1,172,960</w:t>
            </w:r>
          </w:p>
        </w:tc>
        <w:tc>
          <w:tcPr>
            <w:tcW w:w="13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US$3,650</w:t>
            </w:r>
          </w:p>
        </w:tc>
        <w:tc>
          <w:tcPr>
            <w:tcW w:w="9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US$1,399,370</w:t>
            </w:r>
          </w:p>
        </w:tc>
        <w:tc>
          <w:tcPr>
            <w:tcW w:w="0" w:type="dxa"/>
            <w:vAlign w:val="bottom"/>
          </w:tcPr>
          <w:p>
            <w:pPr>
              <w:spacing w:after="0"/>
              <w:rPr>
                <w:sz w:val="1"/>
                <w:szCs w:val="1"/>
                <w:color w:val="auto"/>
              </w:rPr>
            </w:pP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Edith Hofmeister</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US$92,818</w:t>
            </w:r>
          </w:p>
        </w:tc>
        <w:tc>
          <w:tcPr>
            <w:tcW w:w="13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US$144,500</w:t>
            </w:r>
          </w:p>
        </w:tc>
        <w:tc>
          <w:tcPr>
            <w:tcW w:w="1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US$161,000</w:t>
            </w:r>
          </w:p>
        </w:tc>
        <w:tc>
          <w:tcPr>
            <w:tcW w:w="13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US$3,650</w:t>
            </w:r>
          </w:p>
        </w:tc>
        <w:tc>
          <w:tcPr>
            <w:tcW w:w="9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US$401,968</w:t>
            </w:r>
          </w:p>
        </w:tc>
        <w:tc>
          <w:tcPr>
            <w:tcW w:w="0" w:type="dxa"/>
            <w:vAlign w:val="bottom"/>
          </w:tcPr>
          <w:p>
            <w:pPr>
              <w:spacing w:after="0"/>
              <w:rPr>
                <w:sz w:val="1"/>
                <w:szCs w:val="1"/>
                <w:color w:val="auto"/>
              </w:rPr>
            </w:pP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Brian Howlett</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US$102,024</w:t>
            </w:r>
          </w:p>
        </w:tc>
        <w:tc>
          <w:tcPr>
            <w:tcW w:w="13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US$216,750</w:t>
            </w:r>
          </w:p>
        </w:tc>
        <w:tc>
          <w:tcPr>
            <w:tcW w:w="1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US$493,049</w:t>
            </w:r>
          </w:p>
        </w:tc>
        <w:tc>
          <w:tcPr>
            <w:tcW w:w="13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US$3,650</w:t>
            </w:r>
          </w:p>
        </w:tc>
        <w:tc>
          <w:tcPr>
            <w:tcW w:w="9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US$743,223</w:t>
            </w:r>
          </w:p>
        </w:tc>
        <w:tc>
          <w:tcPr>
            <w:tcW w:w="0" w:type="dxa"/>
            <w:vAlign w:val="bottom"/>
          </w:tcPr>
          <w:p>
            <w:pPr>
              <w:spacing w:after="0"/>
              <w:rPr>
                <w:sz w:val="1"/>
                <w:szCs w:val="1"/>
                <w:color w:val="auto"/>
              </w:rPr>
            </w:pPr>
          </w:p>
        </w:tc>
      </w:tr>
      <w:tr>
        <w:trPr>
          <w:trHeight w:val="252"/>
        </w:trPr>
        <w:tc>
          <w:tcPr>
            <w:tcW w:w="2160" w:type="dxa"/>
            <w:vAlign w:val="bottom"/>
            <w:tcBorders>
              <w:left w:val="single" w:sz="8" w:color="auto"/>
              <w:bottom w:val="single" w:sz="8" w:color="auto"/>
              <w:right w:val="single" w:sz="8" w:color="auto"/>
            </w:tcBorders>
          </w:tcPr>
          <w:p>
            <w:pPr>
              <w:ind w:left="120"/>
              <w:spacing w:after="0" w:line="246" w:lineRule="exact"/>
              <w:rPr>
                <w:sz w:val="20"/>
                <w:szCs w:val="20"/>
                <w:color w:val="auto"/>
              </w:rPr>
            </w:pPr>
            <w:r>
              <w:rPr>
                <w:rFonts w:ascii="Times New Roman" w:cs="Times New Roman" w:eastAsia="Times New Roman" w:hAnsi="Times New Roman"/>
                <w:sz w:val="17"/>
                <w:szCs w:val="17"/>
                <w:color w:val="auto"/>
              </w:rPr>
              <w:t>Pierre Seccareccia</w:t>
            </w:r>
            <w:r>
              <w:rPr>
                <w:rFonts w:ascii="Times New Roman" w:cs="Times New Roman" w:eastAsia="Times New Roman" w:hAnsi="Times New Roman"/>
                <w:sz w:val="28"/>
                <w:szCs w:val="28"/>
                <w:color w:val="auto"/>
                <w:vertAlign w:val="superscript"/>
              </w:rPr>
              <w:t>(4)</w:t>
            </w:r>
          </w:p>
        </w:tc>
        <w:tc>
          <w:tcPr>
            <w:tcW w:w="13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US$33,207</w:t>
            </w:r>
          </w:p>
        </w:tc>
        <w:tc>
          <w:tcPr>
            <w:tcW w:w="13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146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7"/>
                <w:szCs w:val="17"/>
                <w:color w:val="auto"/>
              </w:rPr>
              <w:t>US$3,650</w:t>
            </w:r>
          </w:p>
        </w:tc>
        <w:tc>
          <w:tcPr>
            <w:tcW w:w="900" w:type="dxa"/>
            <w:vAlign w:val="bottom"/>
            <w:tcBorders>
              <w:bottom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bottom w:val="single" w:sz="8" w:color="auto"/>
              <w:right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US$36,857</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320" w:hanging="317"/>
        <w:spacing w:after="0"/>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does not include any amount paid as reimbursement for expenses.</w:t>
      </w:r>
    </w:p>
    <w:p>
      <w:pPr>
        <w:spacing w:after="0" w:line="30" w:lineRule="exact"/>
        <w:rPr>
          <w:rFonts w:ascii="Times New Roman" w:cs="Times New Roman" w:eastAsia="Times New Roman" w:hAnsi="Times New Roman"/>
          <w:sz w:val="17"/>
          <w:szCs w:val="17"/>
          <w:color w:val="auto"/>
        </w:rPr>
      </w:pPr>
    </w:p>
    <w:p>
      <w:pPr>
        <w:ind w:left="320" w:hanging="317"/>
        <w:spacing w:after="0" w:line="254" w:lineRule="auto"/>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paid during the year ended December 31, 2023 to a director of the Corporation who was also a NEO will be reflected in the Summary Compensation Table for NEOs.</w:t>
      </w:r>
    </w:p>
    <w:p>
      <w:pPr>
        <w:jc w:val="both"/>
        <w:ind w:left="320" w:hanging="317"/>
        <w:spacing w:after="0" w:line="254" w:lineRule="auto"/>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February 1, 2023, non-executive directors receive an annual cash stipend of US$67,410, with an additional US$11,235 for serving as chair per board committee, and an extra US$5,617.50 for serving as a non-chair member per board committee. The lead director and the Chairman of the Board are also entitled to receive additional compensation in the amount of US$11,235 for exercising that function.</w:t>
      </w:r>
    </w:p>
    <w:p>
      <w:pPr>
        <w:ind w:left="320" w:hanging="317"/>
        <w:spacing w:after="0"/>
        <w:tabs>
          <w:tab w:leader="none" w:pos="3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Seccareccia ceased to be a director on May 24, 2023.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i w:val="1"/>
          <w:iCs w:val="1"/>
          <w:color w:val="auto"/>
        </w:rPr>
        <w:t>Incentive Plan Awards to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Outstanding Option and Share-Based Awards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out the outstanding option-based awards for each non-NEO director as at December 31, 2023:</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2400" w:type="dxa"/>
            <w:vAlign w:val="bottom"/>
            <w:tcBorders>
              <w:top w:val="single" w:sz="8" w:color="auto"/>
              <w:left w:val="single" w:sz="8" w:color="auto"/>
              <w:right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gridSpan w:val="2"/>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Option-Based Awards</w:t>
            </w:r>
          </w:p>
        </w:tc>
        <w:tc>
          <w:tcPr>
            <w:tcW w:w="1220" w:type="dxa"/>
            <w:vAlign w:val="bottom"/>
            <w:tcBorders>
              <w:top w:val="single" w:sz="8" w:color="auto"/>
              <w:right w:val="single" w:sz="8" w:color="auto"/>
            </w:tcBorders>
          </w:tcPr>
          <w:p>
            <w:pPr>
              <w:spacing w:after="0"/>
              <w:rPr>
                <w:sz w:val="24"/>
                <w:szCs w:val="24"/>
                <w:color w:val="auto"/>
              </w:rPr>
            </w:pPr>
          </w:p>
        </w:tc>
        <w:tc>
          <w:tcPr>
            <w:tcW w:w="2980" w:type="dxa"/>
            <w:vAlign w:val="bottom"/>
            <w:tcBorders>
              <w:top w:val="single" w:sz="8" w:color="auto"/>
            </w:tcBorders>
            <w:gridSpan w:val="3"/>
          </w:tcPr>
          <w:p>
            <w:pPr>
              <w:ind w:left="1400"/>
              <w:spacing w:after="0"/>
              <w:rPr>
                <w:sz w:val="20"/>
                <w:szCs w:val="20"/>
                <w:color w:val="auto"/>
              </w:rPr>
            </w:pPr>
            <w:r>
              <w:rPr>
                <w:rFonts w:ascii="Times New Roman" w:cs="Times New Roman" w:eastAsia="Times New Roman" w:hAnsi="Times New Roman"/>
                <w:sz w:val="17"/>
                <w:szCs w:val="17"/>
                <w:b w:val="1"/>
                <w:bCs w:val="1"/>
                <w:color w:val="auto"/>
              </w:rPr>
              <w:t>Share-Based Awards</w:t>
            </w:r>
          </w:p>
        </w:tc>
        <w:tc>
          <w:tcPr>
            <w:tcW w:w="13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gridSpan w:val="2"/>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No. of</w:t>
            </w:r>
          </w:p>
        </w:tc>
        <w:tc>
          <w:tcPr>
            <w:tcW w:w="900" w:type="dxa"/>
            <w:vAlign w:val="bottom"/>
            <w:tcBorders>
              <w:right w:val="single" w:sz="8" w:color="auto"/>
            </w:tcBorders>
          </w:tcPr>
          <w:p>
            <w:pPr>
              <w:spacing w:after="0"/>
              <w:rPr>
                <w:sz w:val="16"/>
                <w:szCs w:val="16"/>
                <w:color w:val="auto"/>
              </w:rPr>
            </w:pPr>
          </w:p>
        </w:tc>
        <w:tc>
          <w:tcPr>
            <w:tcW w:w="11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7"/>
                <w:szCs w:val="17"/>
                <w:b w:val="1"/>
                <w:bCs w:val="1"/>
                <w:color w:val="auto"/>
              </w:rPr>
              <w:t>Market or</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center"/>
              <w:ind w:right="14"/>
              <w:spacing w:after="0" w:line="187" w:lineRule="exact"/>
              <w:rPr>
                <w:sz w:val="20"/>
                <w:szCs w:val="20"/>
                <w:color w:val="auto"/>
              </w:rPr>
            </w:pPr>
            <w:r>
              <w:rPr>
                <w:rFonts w:ascii="Times New Roman" w:cs="Times New Roman" w:eastAsia="Times New Roman" w:hAnsi="Times New Roman"/>
                <w:sz w:val="17"/>
                <w:szCs w:val="17"/>
                <w:b w:val="1"/>
                <w:bCs w:val="1"/>
                <w:color w:val="auto"/>
              </w:rPr>
              <w:t>Market or</w:t>
            </w:r>
          </w:p>
        </w:tc>
        <w:tc>
          <w:tcPr>
            <w:tcW w:w="0" w:type="dxa"/>
            <w:vAlign w:val="bottom"/>
          </w:tcPr>
          <w:p>
            <w:pPr>
              <w:spacing w:after="0"/>
              <w:rPr>
                <w:sz w:val="1"/>
                <w:szCs w:val="1"/>
                <w:color w:val="auto"/>
              </w:rPr>
            </w:pPr>
          </w:p>
        </w:tc>
      </w:tr>
      <w:tr>
        <w:trPr>
          <w:trHeight w:val="103"/>
        </w:trPr>
        <w:tc>
          <w:tcPr>
            <w:tcW w:w="24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payout value</w:t>
            </w: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payout value of</w:t>
            </w:r>
          </w:p>
        </w:tc>
        <w:tc>
          <w:tcPr>
            <w:tcW w:w="0" w:type="dxa"/>
            <w:vAlign w:val="bottom"/>
          </w:tcPr>
          <w:p>
            <w:pPr>
              <w:spacing w:after="0"/>
              <w:rPr>
                <w:sz w:val="1"/>
                <w:szCs w:val="1"/>
                <w:color w:val="auto"/>
              </w:rPr>
            </w:pPr>
          </w:p>
        </w:tc>
      </w:tr>
      <w:tr>
        <w:trPr>
          <w:trHeight w:val="103"/>
        </w:trPr>
        <w:tc>
          <w:tcPr>
            <w:tcW w:w="24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center"/>
              <w:spacing w:after="0" w:line="181" w:lineRule="exact"/>
              <w:rPr>
                <w:sz w:val="20"/>
                <w:szCs w:val="20"/>
                <w:color w:val="auto"/>
              </w:rPr>
            </w:pPr>
            <w:r>
              <w:rPr>
                <w:rFonts w:ascii="Times New Roman" w:cs="Times New Roman" w:eastAsia="Times New Roman" w:hAnsi="Times New Roman"/>
                <w:sz w:val="17"/>
                <w:szCs w:val="17"/>
                <w:b w:val="1"/>
                <w:bCs w:val="1"/>
                <w:color w:val="auto"/>
              </w:rPr>
              <w:t>Common</w:t>
            </w:r>
          </w:p>
        </w:tc>
        <w:tc>
          <w:tcPr>
            <w:tcW w:w="9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2400" w:type="dxa"/>
            <w:vAlign w:val="bottom"/>
            <w:tcBorders>
              <w:left w:val="single" w:sz="8" w:color="auto"/>
              <w:right w:val="single" w:sz="8" w:color="auto"/>
            </w:tcBorders>
          </w:tcPr>
          <w:p>
            <w:pPr>
              <w:spacing w:after="0"/>
              <w:rPr>
                <w:sz w:val="6"/>
                <w:szCs w:val="6"/>
                <w:color w:val="auto"/>
              </w:rPr>
            </w:pPr>
          </w:p>
        </w:tc>
        <w:tc>
          <w:tcPr>
            <w:tcW w:w="124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1220" w:type="dxa"/>
            <w:vAlign w:val="bottom"/>
            <w:tcBorders>
              <w:right w:val="single" w:sz="8" w:color="auto"/>
            </w:tcBorders>
            <w:vMerge w:val="continue"/>
          </w:tcPr>
          <w:p>
            <w:pPr>
              <w:spacing w:after="0"/>
              <w:rPr>
                <w:sz w:val="6"/>
                <w:szCs w:val="6"/>
                <w:color w:val="auto"/>
              </w:rPr>
            </w:pPr>
          </w:p>
        </w:tc>
        <w:tc>
          <w:tcPr>
            <w:tcW w:w="1580" w:type="dxa"/>
            <w:vAlign w:val="bottom"/>
            <w:tcBorders>
              <w:right w:val="single" w:sz="8" w:color="auto"/>
            </w:tcBorders>
            <w:vMerge w:val="restart"/>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of RSUs that</w:t>
            </w:r>
          </w:p>
        </w:tc>
        <w:tc>
          <w:tcPr>
            <w:tcW w:w="60" w:type="dxa"/>
            <w:vAlign w:val="bottom"/>
          </w:tcPr>
          <w:p>
            <w:pPr>
              <w:spacing w:after="0"/>
              <w:rPr>
                <w:sz w:val="6"/>
                <w:szCs w:val="6"/>
                <w:color w:val="auto"/>
              </w:rPr>
            </w:pPr>
          </w:p>
        </w:tc>
        <w:tc>
          <w:tcPr>
            <w:tcW w:w="1380" w:type="dxa"/>
            <w:vAlign w:val="bottom"/>
            <w:tcBorders>
              <w:right w:val="single" w:sz="8" w:color="auto"/>
            </w:tcBorders>
            <w:vMerge w:val="restart"/>
          </w:tcPr>
          <w:p>
            <w:pPr>
              <w:jc w:val="center"/>
              <w:ind w:right="14"/>
              <w:spacing w:after="0"/>
              <w:rPr>
                <w:sz w:val="20"/>
                <w:szCs w:val="20"/>
                <w:color w:val="auto"/>
              </w:rPr>
            </w:pPr>
            <w:r>
              <w:rPr>
                <w:rFonts w:ascii="Times New Roman" w:cs="Times New Roman" w:eastAsia="Times New Roman" w:hAnsi="Times New Roman"/>
                <w:sz w:val="17"/>
                <w:szCs w:val="17"/>
                <w:b w:val="1"/>
                <w:bCs w:val="1"/>
                <w:color w:val="auto"/>
              </w:rPr>
              <w:t>vested share-</w:t>
            </w:r>
          </w:p>
        </w:tc>
        <w:tc>
          <w:tcPr>
            <w:tcW w:w="0" w:type="dxa"/>
            <w:vAlign w:val="bottom"/>
          </w:tcPr>
          <w:p>
            <w:pPr>
              <w:spacing w:after="0"/>
              <w:rPr>
                <w:sz w:val="1"/>
                <w:szCs w:val="1"/>
                <w:color w:val="auto"/>
              </w:rPr>
            </w:pPr>
          </w:p>
        </w:tc>
      </w:tr>
      <w:tr>
        <w:trPr>
          <w:trHeight w:val="129"/>
        </w:trPr>
        <w:tc>
          <w:tcPr>
            <w:tcW w:w="2400" w:type="dxa"/>
            <w:vAlign w:val="bottom"/>
            <w:tcBorders>
              <w:left w:val="single" w:sz="8" w:color="auto"/>
              <w:right w:val="single" w:sz="8" w:color="auto"/>
            </w:tcBorders>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9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158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400" w:type="dxa"/>
            <w:vAlign w:val="bottom"/>
            <w:tcBorders>
              <w:left w:val="single" w:sz="8" w:color="auto"/>
              <w:right w:val="single" w:sz="8" w:color="auto"/>
            </w:tcBorders>
            <w:vMerge w:val="restart"/>
          </w:tcPr>
          <w:p>
            <w:pPr>
              <w:ind w:left="98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40" w:type="dxa"/>
            <w:vAlign w:val="bottom"/>
            <w:tcBorders>
              <w:right w:val="single" w:sz="8" w:color="auto"/>
            </w:tcBorders>
            <w:vMerge w:val="continue"/>
          </w:tcPr>
          <w:p>
            <w:pPr>
              <w:spacing w:after="0"/>
              <w:rPr>
                <w:sz w:val="6"/>
                <w:szCs w:val="6"/>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1220" w:type="dxa"/>
            <w:vAlign w:val="bottom"/>
            <w:tcBorders>
              <w:right w:val="single" w:sz="8" w:color="auto"/>
            </w:tcBorders>
            <w:vMerge w:val="continue"/>
          </w:tcPr>
          <w:p>
            <w:pPr>
              <w:spacing w:after="0"/>
              <w:rPr>
                <w:sz w:val="6"/>
                <w:szCs w:val="6"/>
                <w:color w:val="auto"/>
              </w:rPr>
            </w:pPr>
          </w:p>
        </w:tc>
        <w:tc>
          <w:tcPr>
            <w:tcW w:w="1580" w:type="dxa"/>
            <w:vAlign w:val="bottom"/>
            <w:tcBorders>
              <w:right w:val="single" w:sz="8" w:color="auto"/>
            </w:tcBorders>
            <w:vMerge w:val="restart"/>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RSUs that have</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60" w:type="dxa"/>
            <w:vAlign w:val="bottom"/>
          </w:tcPr>
          <w:p>
            <w:pPr>
              <w:spacing w:after="0"/>
              <w:rPr>
                <w:sz w:val="6"/>
                <w:szCs w:val="6"/>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based</w:t>
            </w:r>
          </w:p>
        </w:tc>
        <w:tc>
          <w:tcPr>
            <w:tcW w:w="0" w:type="dxa"/>
            <w:vAlign w:val="bottom"/>
          </w:tcPr>
          <w:p>
            <w:pPr>
              <w:spacing w:after="0"/>
              <w:rPr>
                <w:sz w:val="1"/>
                <w:szCs w:val="1"/>
                <w:color w:val="auto"/>
              </w:rPr>
            </w:pPr>
          </w:p>
        </w:tc>
      </w:tr>
      <w:tr>
        <w:trPr>
          <w:trHeight w:val="129"/>
        </w:trPr>
        <w:tc>
          <w:tcPr>
            <w:tcW w:w="2400" w:type="dxa"/>
            <w:vAlign w:val="bottom"/>
            <w:tcBorders>
              <w:left w:val="single" w:sz="8" w:color="auto"/>
              <w:right w:val="single" w:sz="8" w:color="auto"/>
            </w:tcBorders>
            <w:vMerge w:val="continue"/>
          </w:tcPr>
          <w:p>
            <w:pPr>
              <w:spacing w:after="0"/>
              <w:rPr>
                <w:sz w:val="11"/>
                <w:szCs w:val="11"/>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underlying</w:t>
            </w:r>
          </w:p>
        </w:tc>
        <w:tc>
          <w:tcPr>
            <w:tcW w:w="9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in-the-money</w:t>
            </w:r>
          </w:p>
        </w:tc>
        <w:tc>
          <w:tcPr>
            <w:tcW w:w="1580" w:type="dxa"/>
            <w:vAlign w:val="bottom"/>
            <w:tcBorders>
              <w:right w:val="single" w:sz="8" w:color="auto"/>
            </w:tcBorders>
            <w:vMerge w:val="continue"/>
          </w:tcPr>
          <w:p>
            <w:pPr>
              <w:spacing w:after="0"/>
              <w:rPr>
                <w:sz w:val="11"/>
                <w:szCs w:val="11"/>
                <w:color w:val="auto"/>
              </w:rPr>
            </w:pPr>
          </w:p>
        </w:tc>
        <w:tc>
          <w:tcPr>
            <w:tcW w:w="1340" w:type="dxa"/>
            <w:vAlign w:val="bottom"/>
            <w:tcBorders>
              <w:right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13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400" w:type="dxa"/>
            <w:vAlign w:val="bottom"/>
            <w:tcBorders>
              <w:left w:val="single" w:sz="8" w:color="auto"/>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price ($)</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date</w:t>
            </w:r>
          </w:p>
        </w:tc>
        <w:tc>
          <w:tcPr>
            <w:tcW w:w="122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not vested (#)</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vested ($)</w:t>
            </w:r>
          </w:p>
        </w:tc>
        <w:tc>
          <w:tcPr>
            <w:tcW w:w="60" w:type="dxa"/>
            <w:vAlign w:val="bottom"/>
          </w:tcPr>
          <w:p>
            <w:pPr>
              <w:spacing w:after="0"/>
              <w:rPr>
                <w:sz w:val="7"/>
                <w:szCs w:val="7"/>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awards not</w:t>
            </w:r>
          </w:p>
        </w:tc>
        <w:tc>
          <w:tcPr>
            <w:tcW w:w="0" w:type="dxa"/>
            <w:vAlign w:val="bottom"/>
          </w:tcPr>
          <w:p>
            <w:pPr>
              <w:spacing w:after="0"/>
              <w:rPr>
                <w:sz w:val="1"/>
                <w:szCs w:val="1"/>
                <w:color w:val="auto"/>
              </w:rPr>
            </w:pPr>
          </w:p>
        </w:tc>
      </w:tr>
      <w:tr>
        <w:trPr>
          <w:trHeight w:val="126"/>
        </w:trPr>
        <w:tc>
          <w:tcPr>
            <w:tcW w:w="24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unexercised</w:t>
            </w:r>
          </w:p>
        </w:tc>
        <w:tc>
          <w:tcPr>
            <w:tcW w:w="900" w:type="dxa"/>
            <w:vAlign w:val="bottom"/>
            <w:tcBorders>
              <w:right w:val="single" w:sz="8" w:color="auto"/>
            </w:tcBorders>
            <w:vMerge w:val="continue"/>
          </w:tcPr>
          <w:p>
            <w:pPr>
              <w:spacing w:after="0"/>
              <w:rPr>
                <w:sz w:val="10"/>
                <w:szCs w:val="10"/>
                <w:color w:val="auto"/>
              </w:rPr>
            </w:pPr>
          </w:p>
        </w:tc>
        <w:tc>
          <w:tcPr>
            <w:tcW w:w="1120" w:type="dxa"/>
            <w:vAlign w:val="bottom"/>
            <w:tcBorders>
              <w:right w:val="single" w:sz="8" w:color="auto"/>
            </w:tcBorders>
            <w:vMerge w:val="continue"/>
          </w:tcPr>
          <w:p>
            <w:pPr>
              <w:spacing w:after="0"/>
              <w:rPr>
                <w:sz w:val="10"/>
                <w:szCs w:val="10"/>
                <w:color w:val="auto"/>
              </w:rPr>
            </w:pPr>
          </w:p>
        </w:tc>
        <w:tc>
          <w:tcPr>
            <w:tcW w:w="1220" w:type="dxa"/>
            <w:vAlign w:val="bottom"/>
            <w:tcBorders>
              <w:right w:val="single" w:sz="8" w:color="auto"/>
            </w:tcBorders>
            <w:vMerge w:val="restart"/>
          </w:tcPr>
          <w:p>
            <w:pPr>
              <w:jc w:val="center"/>
              <w:spacing w:after="0" w:line="228" w:lineRule="exact"/>
              <w:rPr>
                <w:sz w:val="20"/>
                <w:szCs w:val="20"/>
                <w:color w:val="auto"/>
              </w:rPr>
            </w:pPr>
            <w:r>
              <w:rPr>
                <w:rFonts w:ascii="Times New Roman" w:cs="Times New Roman" w:eastAsia="Times New Roman" w:hAnsi="Times New Roman"/>
                <w:sz w:val="16"/>
                <w:szCs w:val="16"/>
                <w:b w:val="1"/>
                <w:bCs w:val="1"/>
                <w:color w:val="auto"/>
              </w:rPr>
              <w:t>options ($)</w:t>
            </w:r>
            <w:r>
              <w:rPr>
                <w:rFonts w:ascii="Times New Roman" w:cs="Times New Roman" w:eastAsia="Times New Roman" w:hAnsi="Times New Roman"/>
                <w:sz w:val="26"/>
                <w:szCs w:val="26"/>
                <w:b w:val="1"/>
                <w:bCs w:val="1"/>
                <w:color w:val="auto"/>
                <w:vertAlign w:val="superscript"/>
              </w:rPr>
              <w:t>(1)</w:t>
            </w:r>
          </w:p>
        </w:tc>
        <w:tc>
          <w:tcPr>
            <w:tcW w:w="15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4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paid out or</w:t>
            </w:r>
          </w:p>
        </w:tc>
        <w:tc>
          <w:tcPr>
            <w:tcW w:w="0" w:type="dxa"/>
            <w:vAlign w:val="bottom"/>
          </w:tcPr>
          <w:p>
            <w:pPr>
              <w:spacing w:after="0"/>
              <w:rPr>
                <w:sz w:val="1"/>
                <w:szCs w:val="1"/>
                <w:color w:val="auto"/>
              </w:rPr>
            </w:pPr>
          </w:p>
        </w:tc>
      </w:tr>
      <w:tr>
        <w:trPr>
          <w:trHeight w:val="103"/>
        </w:trPr>
        <w:tc>
          <w:tcPr>
            <w:tcW w:w="24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restart"/>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9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400" w:type="dxa"/>
            <w:vAlign w:val="bottom"/>
            <w:tcBorders>
              <w:left w:val="single" w:sz="8" w:color="auto"/>
              <w:right w:val="single" w:sz="8" w:color="auto"/>
            </w:tcBorders>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distributed ($)</w:t>
            </w:r>
          </w:p>
        </w:tc>
        <w:tc>
          <w:tcPr>
            <w:tcW w:w="0" w:type="dxa"/>
            <w:vAlign w:val="bottom"/>
          </w:tcPr>
          <w:p>
            <w:pPr>
              <w:spacing w:after="0"/>
              <w:rPr>
                <w:sz w:val="1"/>
                <w:szCs w:val="1"/>
                <w:color w:val="auto"/>
              </w:rPr>
            </w:pPr>
          </w:p>
        </w:tc>
      </w:tr>
      <w:tr>
        <w:trPr>
          <w:trHeight w:val="109"/>
        </w:trPr>
        <w:tc>
          <w:tcPr>
            <w:tcW w:w="2400" w:type="dxa"/>
            <w:vAlign w:val="bottom"/>
            <w:tcBorders>
              <w:left w:val="single" w:sz="8" w:color="auto"/>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90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8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144,900</w:t>
            </w:r>
          </w:p>
        </w:tc>
        <w:tc>
          <w:tcPr>
            <w:tcW w:w="90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1.76</w:t>
            </w:r>
          </w:p>
        </w:tc>
        <w:tc>
          <w:tcPr>
            <w:tcW w:w="112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12/22/2025</w:t>
            </w:r>
          </w:p>
        </w:tc>
        <w:tc>
          <w:tcPr>
            <w:tcW w:w="122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302,841</w:t>
            </w:r>
          </w:p>
        </w:tc>
        <w:tc>
          <w:tcPr>
            <w:tcW w:w="158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54,166</w:t>
            </w:r>
          </w:p>
        </w:tc>
        <w:tc>
          <w:tcPr>
            <w:tcW w:w="134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$208,539</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$48,125</w:t>
            </w: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800,000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05/19/2027</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1,120,000</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Nicolas Bonta</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0.55</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12/27/2027</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198,000</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400" w:type="dxa"/>
            <w:vAlign w:val="bottom"/>
            <w:tcBorders>
              <w:left w:val="single" w:sz="8" w:color="auto"/>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1,200,000</w:t>
            </w:r>
          </w:p>
        </w:tc>
        <w:tc>
          <w:tcPr>
            <w:tcW w:w="90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1.89</w:t>
            </w:r>
          </w:p>
        </w:tc>
        <w:tc>
          <w:tcPr>
            <w:tcW w:w="112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06/30/2028</w:t>
            </w:r>
          </w:p>
        </w:tc>
        <w:tc>
          <w:tcPr>
            <w:tcW w:w="122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2,352,000</w:t>
            </w:r>
          </w:p>
        </w:tc>
        <w:tc>
          <w:tcPr>
            <w:tcW w:w="15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00" w:type="dxa"/>
            <w:vAlign w:val="bottom"/>
            <w:tcBorders>
              <w:left w:val="single" w:sz="8" w:color="auto"/>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40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3.83</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12/22/2028</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2,000</w:t>
            </w:r>
          </w:p>
        </w:tc>
        <w:tc>
          <w:tcPr>
            <w:tcW w:w="15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15,000</w:t>
            </w:r>
          </w:p>
        </w:tc>
        <w:tc>
          <w:tcPr>
            <w:tcW w:w="90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0.55</w:t>
            </w:r>
          </w:p>
        </w:tc>
        <w:tc>
          <w:tcPr>
            <w:tcW w:w="112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12/27/2027</w:t>
            </w:r>
          </w:p>
        </w:tc>
        <w:tc>
          <w:tcPr>
            <w:tcW w:w="122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49,500</w:t>
            </w:r>
          </w:p>
        </w:tc>
        <w:tc>
          <w:tcPr>
            <w:tcW w:w="158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37,500</w:t>
            </w:r>
          </w:p>
        </w:tc>
        <w:tc>
          <w:tcPr>
            <w:tcW w:w="134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$144,375</w:t>
            </w:r>
          </w:p>
        </w:tc>
        <w:tc>
          <w:tcPr>
            <w:tcW w:w="60" w:type="dxa"/>
            <w:vAlign w:val="bottom"/>
          </w:tcPr>
          <w:p>
            <w:pPr>
              <w:spacing w:after="0"/>
              <w:rPr>
                <w:sz w:val="16"/>
                <w:szCs w:val="16"/>
                <w:color w:val="auto"/>
              </w:rPr>
            </w:pPr>
          </w:p>
        </w:tc>
        <w:tc>
          <w:tcPr>
            <w:tcW w:w="138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$48,125</w:t>
            </w:r>
          </w:p>
        </w:tc>
        <w:tc>
          <w:tcPr>
            <w:tcW w:w="0" w:type="dxa"/>
            <w:vAlign w:val="bottom"/>
          </w:tcPr>
          <w:p>
            <w:pPr>
              <w:spacing w:after="0"/>
              <w:rPr>
                <w:sz w:val="1"/>
                <w:szCs w:val="1"/>
                <w:color w:val="auto"/>
              </w:rPr>
            </w:pPr>
          </w:p>
        </w:tc>
      </w:tr>
      <w:tr>
        <w:trPr>
          <w:trHeight w:val="122"/>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Andres Finkielsztain</w:t>
            </w: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295,312</w:t>
            </w:r>
          </w:p>
        </w:tc>
        <w:tc>
          <w:tcPr>
            <w:tcW w:w="90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1.89</w:t>
            </w:r>
          </w:p>
        </w:tc>
        <w:tc>
          <w:tcPr>
            <w:tcW w:w="112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06/30/2028</w:t>
            </w:r>
          </w:p>
        </w:tc>
        <w:tc>
          <w:tcPr>
            <w:tcW w:w="122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578,812</w:t>
            </w:r>
          </w:p>
        </w:tc>
        <w:tc>
          <w:tcPr>
            <w:tcW w:w="1580" w:type="dxa"/>
            <w:vAlign w:val="bottom"/>
            <w:tcBorders>
              <w:right w:val="single" w:sz="8" w:color="auto"/>
            </w:tcBorders>
            <w:vMerge w:val="continue"/>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00" w:type="dxa"/>
            <w:vAlign w:val="bottom"/>
            <w:tcBorders>
              <w:left w:val="single" w:sz="8" w:color="auto"/>
              <w:right w:val="single" w:sz="8" w:color="auto"/>
            </w:tcBorders>
            <w:vMerge w:val="continue"/>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400" w:type="dxa"/>
            <w:vAlign w:val="bottom"/>
            <w:tcBorders>
              <w:left w:val="single" w:sz="8" w:color="auto"/>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100,000</w:t>
            </w:r>
          </w:p>
        </w:tc>
        <w:tc>
          <w:tcPr>
            <w:tcW w:w="90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3.83</w:t>
            </w:r>
          </w:p>
        </w:tc>
        <w:tc>
          <w:tcPr>
            <w:tcW w:w="112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12/22/2028</w:t>
            </w:r>
          </w:p>
        </w:tc>
        <w:tc>
          <w:tcPr>
            <w:tcW w:w="122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2,000</w:t>
            </w:r>
          </w:p>
        </w:tc>
        <w:tc>
          <w:tcPr>
            <w:tcW w:w="15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400" w:type="dxa"/>
            <w:vAlign w:val="bottom"/>
            <w:tcBorders>
              <w:left w:val="single" w:sz="8" w:color="auto"/>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120" w:type="dxa"/>
            <w:vAlign w:val="bottom"/>
            <w:tcBorders>
              <w:right w:val="single" w:sz="8" w:color="auto"/>
            </w:tcBorders>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154,900</w:t>
            </w:r>
          </w:p>
        </w:tc>
        <w:tc>
          <w:tcPr>
            <w:tcW w:w="90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1.76</w:t>
            </w:r>
          </w:p>
        </w:tc>
        <w:tc>
          <w:tcPr>
            <w:tcW w:w="112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12/22/2025</w:t>
            </w:r>
          </w:p>
        </w:tc>
        <w:tc>
          <w:tcPr>
            <w:tcW w:w="122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323,741</w:t>
            </w:r>
          </w:p>
        </w:tc>
        <w:tc>
          <w:tcPr>
            <w:tcW w:w="158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54,166</w:t>
            </w:r>
          </w:p>
        </w:tc>
        <w:tc>
          <w:tcPr>
            <w:tcW w:w="134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$208,539</w:t>
            </w:r>
          </w:p>
        </w:tc>
        <w:tc>
          <w:tcPr>
            <w:tcW w:w="60" w:type="dxa"/>
            <w:vAlign w:val="bottom"/>
          </w:tcPr>
          <w:p>
            <w:pPr>
              <w:spacing w:after="0"/>
              <w:rPr>
                <w:sz w:val="16"/>
                <w:szCs w:val="16"/>
                <w:color w:val="auto"/>
              </w:rPr>
            </w:pPr>
          </w:p>
        </w:tc>
        <w:tc>
          <w:tcPr>
            <w:tcW w:w="138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$368,961</w:t>
            </w: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800,000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05/19/2027</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1,120,000</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Emiliano Grodzki</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0.55</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12/27/2027</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198,000</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400" w:type="dxa"/>
            <w:vAlign w:val="bottom"/>
            <w:tcBorders>
              <w:left w:val="single" w:sz="8" w:color="auto"/>
              <w:right w:val="single" w:sz="8" w:color="auto"/>
            </w:tcBorders>
            <w:vMerge w:val="continue"/>
          </w:tcPr>
          <w:p>
            <w:pPr>
              <w:spacing w:after="0"/>
              <w:rPr>
                <w:sz w:val="10"/>
                <w:szCs w:val="10"/>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1,200,000</w:t>
            </w:r>
          </w:p>
        </w:tc>
        <w:tc>
          <w:tcPr>
            <w:tcW w:w="90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1.89</w:t>
            </w:r>
          </w:p>
        </w:tc>
        <w:tc>
          <w:tcPr>
            <w:tcW w:w="112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06/30/2028</w:t>
            </w:r>
          </w:p>
        </w:tc>
        <w:tc>
          <w:tcPr>
            <w:tcW w:w="122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2,352,000</w:t>
            </w:r>
          </w:p>
        </w:tc>
        <w:tc>
          <w:tcPr>
            <w:tcW w:w="1580" w:type="dxa"/>
            <w:vAlign w:val="bottom"/>
            <w:tcBorders>
              <w:right w:val="single" w:sz="8" w:color="auto"/>
            </w:tcBorders>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400" w:type="dxa"/>
            <w:vAlign w:val="bottom"/>
            <w:tcBorders>
              <w:left w:val="single" w:sz="8" w:color="auto"/>
              <w:right w:val="single" w:sz="8" w:color="auto"/>
            </w:tcBorders>
          </w:tcPr>
          <w:p>
            <w:pPr>
              <w:spacing w:after="0"/>
              <w:rPr>
                <w:sz w:val="7"/>
                <w:szCs w:val="7"/>
                <w:color w:val="auto"/>
              </w:rPr>
            </w:pPr>
          </w:p>
        </w:tc>
        <w:tc>
          <w:tcPr>
            <w:tcW w:w="124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22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3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40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3.83</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12/22/2028</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2,000</w:t>
            </w:r>
          </w:p>
        </w:tc>
        <w:tc>
          <w:tcPr>
            <w:tcW w:w="15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140,000</w:t>
            </w:r>
          </w:p>
        </w:tc>
        <w:tc>
          <w:tcPr>
            <w:tcW w:w="90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1.00</w:t>
            </w:r>
          </w:p>
        </w:tc>
        <w:tc>
          <w:tcPr>
            <w:tcW w:w="112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11/16/2027</w:t>
            </w:r>
          </w:p>
        </w:tc>
        <w:tc>
          <w:tcPr>
            <w:tcW w:w="122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399,000</w:t>
            </w:r>
          </w:p>
        </w:tc>
        <w:tc>
          <w:tcPr>
            <w:tcW w:w="15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Edith Hofmeister</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0.55</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12/27/2027</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99,000</w:t>
            </w:r>
          </w:p>
        </w:tc>
        <w:tc>
          <w:tcPr>
            <w:tcW w:w="15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37,500</w:t>
            </w:r>
          </w:p>
        </w:tc>
        <w:tc>
          <w:tcPr>
            <w:tcW w:w="13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$144,375</w:t>
            </w:r>
          </w:p>
        </w:tc>
        <w:tc>
          <w:tcPr>
            <w:tcW w:w="60" w:type="dxa"/>
            <w:vAlign w:val="bottom"/>
          </w:tcPr>
          <w:p>
            <w:pPr>
              <w:spacing w:after="0"/>
              <w:rPr>
                <w:sz w:val="17"/>
                <w:szCs w:val="17"/>
                <w:color w:val="auto"/>
              </w:rPr>
            </w:pPr>
          </w:p>
        </w:tc>
        <w:tc>
          <w:tcPr>
            <w:tcW w:w="13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$48,125</w:t>
            </w:r>
          </w:p>
        </w:tc>
        <w:tc>
          <w:tcPr>
            <w:tcW w:w="0" w:type="dxa"/>
            <w:vAlign w:val="bottom"/>
          </w:tcPr>
          <w:p>
            <w:pPr>
              <w:spacing w:after="0"/>
              <w:rPr>
                <w:sz w:val="1"/>
                <w:szCs w:val="1"/>
                <w:color w:val="auto"/>
              </w:rPr>
            </w:pPr>
          </w:p>
        </w:tc>
      </w:tr>
      <w:tr>
        <w:trPr>
          <w:trHeight w:val="231"/>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100,000</w:t>
            </w:r>
          </w:p>
        </w:tc>
        <w:tc>
          <w:tcPr>
            <w:tcW w:w="90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3.83</w:t>
            </w:r>
          </w:p>
        </w:tc>
        <w:tc>
          <w:tcPr>
            <w:tcW w:w="112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12/22/2028</w:t>
            </w:r>
          </w:p>
        </w:tc>
        <w:tc>
          <w:tcPr>
            <w:tcW w:w="1220" w:type="dxa"/>
            <w:vAlign w:val="bottom"/>
            <w:tcBorders>
              <w:bottom w:val="single" w:sz="8" w:color="auto"/>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2,000</w:t>
            </w:r>
          </w:p>
        </w:tc>
        <w:tc>
          <w:tcPr>
            <w:tcW w:w="158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50,000</w:t>
            </w:r>
          </w:p>
        </w:tc>
        <w:tc>
          <w:tcPr>
            <w:tcW w:w="90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1.76</w:t>
            </w:r>
          </w:p>
        </w:tc>
        <w:tc>
          <w:tcPr>
            <w:tcW w:w="112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12/22/2025</w:t>
            </w:r>
          </w:p>
        </w:tc>
        <w:tc>
          <w:tcPr>
            <w:tcW w:w="122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104,500</w:t>
            </w:r>
          </w:p>
        </w:tc>
        <w:tc>
          <w:tcPr>
            <w:tcW w:w="15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tcPr>
          <w:p>
            <w:pPr>
              <w:spacing w:after="0"/>
              <w:rPr>
                <w:sz w:val="17"/>
                <w:szCs w:val="17"/>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60,000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0.55</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12/27/2027</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198,000</w:t>
            </w:r>
          </w:p>
        </w:tc>
        <w:tc>
          <w:tcPr>
            <w:tcW w:w="15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Brian Howlett</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393,750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1.89</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06/30/2028</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771,750</w:t>
            </w:r>
          </w:p>
        </w:tc>
        <w:tc>
          <w:tcPr>
            <w:tcW w:w="15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56,250</w:t>
            </w:r>
          </w:p>
        </w:tc>
        <w:tc>
          <w:tcPr>
            <w:tcW w:w="13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$216,563</w:t>
            </w:r>
          </w:p>
        </w:tc>
        <w:tc>
          <w:tcPr>
            <w:tcW w:w="60" w:type="dxa"/>
            <w:vAlign w:val="bottom"/>
          </w:tcPr>
          <w:p>
            <w:pPr>
              <w:spacing w:after="0"/>
              <w:rPr>
                <w:sz w:val="17"/>
                <w:szCs w:val="17"/>
                <w:color w:val="auto"/>
              </w:rPr>
            </w:pPr>
          </w:p>
        </w:tc>
        <w:tc>
          <w:tcPr>
            <w:tcW w:w="13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$72,188</w:t>
            </w:r>
          </w:p>
        </w:tc>
        <w:tc>
          <w:tcPr>
            <w:tcW w:w="0" w:type="dxa"/>
            <w:vAlign w:val="bottom"/>
          </w:tcPr>
          <w:p>
            <w:pPr>
              <w:spacing w:after="0"/>
              <w:rPr>
                <w:sz w:val="1"/>
                <w:szCs w:val="1"/>
                <w:color w:val="auto"/>
              </w:rPr>
            </w:pPr>
          </w:p>
        </w:tc>
      </w:tr>
      <w:tr>
        <w:trPr>
          <w:trHeight w:val="226"/>
        </w:trPr>
        <w:tc>
          <w:tcPr>
            <w:tcW w:w="2400" w:type="dxa"/>
            <w:vAlign w:val="bottom"/>
            <w:tcBorders>
              <w:left w:val="single" w:sz="8" w:color="auto"/>
              <w:right w:val="single" w:sz="8" w:color="auto"/>
            </w:tcBorders>
          </w:tcPr>
          <w:p>
            <w:pPr>
              <w:spacing w:after="0"/>
              <w:rPr>
                <w:sz w:val="19"/>
                <w:szCs w:val="19"/>
                <w:color w:val="auto"/>
              </w:rPr>
            </w:pP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100,000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3.83</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12/22/2028</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2,000</w:t>
            </w:r>
          </w:p>
        </w:tc>
        <w:tc>
          <w:tcPr>
            <w:tcW w:w="15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400" w:type="dxa"/>
            <w:vAlign w:val="bottom"/>
            <w:tcBorders>
              <w:left w:val="single" w:sz="8" w:color="auto"/>
              <w:right w:val="single" w:sz="8" w:color="auto"/>
            </w:tcBorders>
          </w:tcPr>
          <w:p>
            <w:pPr>
              <w:spacing w:after="0"/>
              <w:rPr>
                <w:sz w:val="16"/>
                <w:szCs w:val="16"/>
                <w:color w:val="auto"/>
              </w:rPr>
            </w:pPr>
          </w:p>
        </w:tc>
        <w:tc>
          <w:tcPr>
            <w:tcW w:w="124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187,500</w:t>
            </w:r>
          </w:p>
        </w:tc>
        <w:tc>
          <w:tcPr>
            <w:tcW w:w="90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5.01</w:t>
            </w:r>
          </w:p>
        </w:tc>
        <w:tc>
          <w:tcPr>
            <w:tcW w:w="1120" w:type="dxa"/>
            <w:vAlign w:val="bottom"/>
            <w:tcBorders>
              <w:right w:val="single" w:sz="8" w:color="auto"/>
            </w:tcBorders>
          </w:tcPr>
          <w:p>
            <w:pPr>
              <w:jc w:val="right"/>
              <w:ind w:right="34"/>
              <w:spacing w:after="0" w:line="189" w:lineRule="exact"/>
              <w:rPr>
                <w:sz w:val="20"/>
                <w:szCs w:val="20"/>
                <w:color w:val="auto"/>
              </w:rPr>
            </w:pPr>
            <w:r>
              <w:rPr>
                <w:rFonts w:ascii="Times New Roman" w:cs="Times New Roman" w:eastAsia="Times New Roman" w:hAnsi="Times New Roman"/>
                <w:sz w:val="17"/>
                <w:szCs w:val="17"/>
                <w:color w:val="auto"/>
              </w:rPr>
              <w:t>05/24/2024</w:t>
            </w:r>
          </w:p>
        </w:tc>
        <w:tc>
          <w:tcPr>
            <w:tcW w:w="1220" w:type="dxa"/>
            <w:vAlign w:val="bottom"/>
            <w:tcBorders>
              <w:right w:val="single" w:sz="8" w:color="auto"/>
            </w:tcBorders>
          </w:tcPr>
          <w:p>
            <w:pPr>
              <w:jc w:val="right"/>
              <w:ind w:right="154"/>
              <w:spacing w:after="0" w:line="189" w:lineRule="exact"/>
              <w:rPr>
                <w:sz w:val="20"/>
                <w:szCs w:val="20"/>
                <w:color w:val="auto"/>
              </w:rPr>
            </w:pPr>
            <w:r>
              <w:rPr>
                <w:rFonts w:ascii="Times New Roman" w:cs="Times New Roman" w:eastAsia="Times New Roman" w:hAnsi="Times New Roman"/>
                <w:sz w:val="17"/>
                <w:szCs w:val="17"/>
                <w:color w:val="auto"/>
              </w:rPr>
              <w:t>Nil</w:t>
            </w:r>
          </w:p>
        </w:tc>
        <w:tc>
          <w:tcPr>
            <w:tcW w:w="15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Pierre Seccareccia</w:t>
            </w:r>
            <w:r>
              <w:rPr>
                <w:rFonts w:ascii="Times New Roman" w:cs="Times New Roman" w:eastAsia="Times New Roman" w:hAnsi="Times New Roman"/>
                <w:sz w:val="28"/>
                <w:szCs w:val="28"/>
                <w:color w:val="auto"/>
                <w:vertAlign w:val="superscript"/>
              </w:rPr>
              <w:t>(3)</w:t>
            </w:r>
          </w:p>
        </w:tc>
        <w:tc>
          <w:tcPr>
            <w:tcW w:w="124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75,000</w:t>
            </w:r>
          </w:p>
        </w:tc>
        <w:tc>
          <w:tcPr>
            <w:tcW w:w="90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8.13</w:t>
            </w:r>
          </w:p>
        </w:tc>
        <w:tc>
          <w:tcPr>
            <w:tcW w:w="112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05/24/2024</w:t>
            </w:r>
          </w:p>
        </w:tc>
        <w:tc>
          <w:tcPr>
            <w:tcW w:w="1220" w:type="dxa"/>
            <w:vAlign w:val="bottom"/>
            <w:tcBorders>
              <w:right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Nil</w:t>
            </w:r>
          </w:p>
        </w:tc>
        <w:tc>
          <w:tcPr>
            <w:tcW w:w="158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134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60" w:type="dxa"/>
            <w:vAlign w:val="bottom"/>
          </w:tcPr>
          <w:p>
            <w:pPr>
              <w:spacing w:after="0"/>
              <w:rPr>
                <w:sz w:val="17"/>
                <w:szCs w:val="17"/>
                <w:color w:val="auto"/>
              </w:rPr>
            </w:pPr>
          </w:p>
        </w:tc>
        <w:tc>
          <w:tcPr>
            <w:tcW w:w="138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174"/>
        </w:trPr>
        <w:tc>
          <w:tcPr>
            <w:tcW w:w="2400" w:type="dxa"/>
            <w:vAlign w:val="bottom"/>
            <w:tcBorders>
              <w:left w:val="single" w:sz="8" w:color="auto"/>
              <w:right w:val="single" w:sz="8" w:color="auto"/>
            </w:tcBorders>
            <w:vMerge w:val="continue"/>
          </w:tcPr>
          <w:p>
            <w:pPr>
              <w:spacing w:after="0"/>
              <w:rPr>
                <w:sz w:val="15"/>
                <w:szCs w:val="15"/>
                <w:color w:val="auto"/>
              </w:rPr>
            </w:pPr>
          </w:p>
        </w:tc>
        <w:tc>
          <w:tcPr>
            <w:tcW w:w="124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131,250</w:t>
            </w:r>
          </w:p>
        </w:tc>
        <w:tc>
          <w:tcPr>
            <w:tcW w:w="90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2.45</w:t>
            </w:r>
          </w:p>
        </w:tc>
        <w:tc>
          <w:tcPr>
            <w:tcW w:w="1120" w:type="dxa"/>
            <w:vAlign w:val="bottom"/>
            <w:tcBorders>
              <w:right w:val="single" w:sz="8" w:color="auto"/>
            </w:tcBorders>
            <w:vMerge w:val="restart"/>
          </w:tcPr>
          <w:p>
            <w:pPr>
              <w:jc w:val="right"/>
              <w:ind w:right="34"/>
              <w:spacing w:after="0"/>
              <w:rPr>
                <w:sz w:val="20"/>
                <w:szCs w:val="20"/>
                <w:color w:val="auto"/>
              </w:rPr>
            </w:pPr>
            <w:r>
              <w:rPr>
                <w:rFonts w:ascii="Times New Roman" w:cs="Times New Roman" w:eastAsia="Times New Roman" w:hAnsi="Times New Roman"/>
                <w:sz w:val="17"/>
                <w:szCs w:val="17"/>
                <w:color w:val="auto"/>
              </w:rPr>
              <w:t>05/24/2024</w:t>
            </w:r>
          </w:p>
        </w:tc>
        <w:tc>
          <w:tcPr>
            <w:tcW w:w="1220" w:type="dxa"/>
            <w:vAlign w:val="bottom"/>
            <w:tcBorders>
              <w:right w:val="single" w:sz="8" w:color="auto"/>
            </w:tcBorders>
            <w:vMerge w:val="restart"/>
          </w:tcPr>
          <w:p>
            <w:pPr>
              <w:jc w:val="right"/>
              <w:ind w:right="154"/>
              <w:spacing w:after="0"/>
              <w:rPr>
                <w:sz w:val="20"/>
                <w:szCs w:val="20"/>
                <w:color w:val="auto"/>
              </w:rPr>
            </w:pPr>
            <w:r>
              <w:rPr>
                <w:rFonts w:ascii="Times New Roman" w:cs="Times New Roman" w:eastAsia="Times New Roman" w:hAnsi="Times New Roman"/>
                <w:sz w:val="17"/>
                <w:szCs w:val="17"/>
                <w:color w:val="auto"/>
              </w:rPr>
              <w:t>183,750</w:t>
            </w:r>
          </w:p>
        </w:tc>
        <w:tc>
          <w:tcPr>
            <w:tcW w:w="1580" w:type="dxa"/>
            <w:vAlign w:val="bottom"/>
            <w:tcBorders>
              <w:right w:val="single" w:sz="8" w:color="auto"/>
            </w:tcBorders>
            <w:vMerge w:val="continue"/>
          </w:tcPr>
          <w:p>
            <w:pPr>
              <w:spacing w:after="0"/>
              <w:rPr>
                <w:sz w:val="15"/>
                <w:szCs w:val="15"/>
                <w:color w:val="auto"/>
              </w:rPr>
            </w:pPr>
          </w:p>
        </w:tc>
        <w:tc>
          <w:tcPr>
            <w:tcW w:w="134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3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400" w:type="dxa"/>
            <w:vAlign w:val="bottom"/>
            <w:tcBorders>
              <w:left w:val="single" w:sz="8" w:color="auto"/>
              <w:right w:val="single" w:sz="8" w:color="auto"/>
            </w:tcBorders>
          </w:tcPr>
          <w:p>
            <w:pPr>
              <w:spacing w:after="0"/>
              <w:rPr>
                <w:sz w:val="4"/>
                <w:szCs w:val="4"/>
                <w:color w:val="auto"/>
              </w:rPr>
            </w:pPr>
          </w:p>
        </w:tc>
        <w:tc>
          <w:tcPr>
            <w:tcW w:w="1240" w:type="dxa"/>
            <w:vAlign w:val="bottom"/>
            <w:tcBorders>
              <w:right w:val="single" w:sz="8" w:color="auto"/>
            </w:tcBorders>
            <w:vMerge w:val="continue"/>
          </w:tcPr>
          <w:p>
            <w:pPr>
              <w:spacing w:after="0"/>
              <w:rPr>
                <w:sz w:val="4"/>
                <w:szCs w:val="4"/>
                <w:color w:val="auto"/>
              </w:rPr>
            </w:pPr>
          </w:p>
        </w:tc>
        <w:tc>
          <w:tcPr>
            <w:tcW w:w="900" w:type="dxa"/>
            <w:vAlign w:val="bottom"/>
            <w:tcBorders>
              <w:right w:val="single" w:sz="8" w:color="auto"/>
            </w:tcBorders>
            <w:vMerge w:val="continue"/>
          </w:tcPr>
          <w:p>
            <w:pPr>
              <w:spacing w:after="0"/>
              <w:rPr>
                <w:sz w:val="4"/>
                <w:szCs w:val="4"/>
                <w:color w:val="auto"/>
              </w:rPr>
            </w:pPr>
          </w:p>
        </w:tc>
        <w:tc>
          <w:tcPr>
            <w:tcW w:w="1120" w:type="dxa"/>
            <w:vAlign w:val="bottom"/>
            <w:tcBorders>
              <w:right w:val="single" w:sz="8" w:color="auto"/>
            </w:tcBorders>
            <w:vMerge w:val="continue"/>
          </w:tcPr>
          <w:p>
            <w:pPr>
              <w:spacing w:after="0"/>
              <w:rPr>
                <w:sz w:val="4"/>
                <w:szCs w:val="4"/>
                <w:color w:val="auto"/>
              </w:rPr>
            </w:pPr>
          </w:p>
        </w:tc>
        <w:tc>
          <w:tcPr>
            <w:tcW w:w="1220" w:type="dxa"/>
            <w:vAlign w:val="bottom"/>
            <w:tcBorders>
              <w:right w:val="single" w:sz="8" w:color="auto"/>
            </w:tcBorders>
            <w:vMerge w:val="continue"/>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13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400" w:type="dxa"/>
            <w:vAlign w:val="bottom"/>
            <w:tcBorders>
              <w:left w:val="single" w:sz="8" w:color="auto"/>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22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320" w:hanging="317"/>
        <w:spacing w:after="0" w:line="265" w:lineRule="auto"/>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unexercised in-the-money options is calculated based on the difference between the strike price of the option and the closing price of the Common Shares as of December 31, 2023, which was $3.85.</w:t>
      </w:r>
    </w:p>
    <w:p>
      <w:pPr>
        <w:ind w:left="320" w:hanging="317"/>
        <w:spacing w:after="0"/>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Value of the RSUs is calculated by using the closing price of the Common Shares as of December 31, 2023, which was $3.85</w:t>
      </w:r>
    </w:p>
    <w:p>
      <w:pPr>
        <w:spacing w:after="0" w:line="11"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director. Pierre Seccareccia ceased to be a director on May 24, 2023.</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Value Vested or Earned During the Year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information regarding the value vested or earned on incentive plan awards for each non-NEO director during the fiscal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2023:</w:t>
      </w:r>
    </w:p>
    <w:p>
      <w:pPr>
        <w:spacing w:after="0" w:line="198"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820" w:type="dxa"/>
            <w:vAlign w:val="bottom"/>
            <w:tcBorders>
              <w:top w:val="single" w:sz="8" w:color="auto"/>
              <w:left w:val="single" w:sz="8" w:color="auto"/>
              <w:right w:val="single" w:sz="8" w:color="auto"/>
            </w:tcBorders>
          </w:tcPr>
          <w:p>
            <w:pPr>
              <w:spacing w:after="0"/>
              <w:rPr>
                <w:sz w:val="18"/>
                <w:szCs w:val="18"/>
                <w:color w:val="auto"/>
              </w:rPr>
            </w:pPr>
          </w:p>
        </w:tc>
        <w:tc>
          <w:tcPr>
            <w:tcW w:w="32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Option-based awards – Value</w:t>
            </w:r>
          </w:p>
        </w:tc>
        <w:tc>
          <w:tcPr>
            <w:tcW w:w="3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Share-based awards – Value</w:t>
            </w:r>
          </w:p>
        </w:tc>
        <w:tc>
          <w:tcPr>
            <w:tcW w:w="31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Non-equity incentive plan</w:t>
            </w:r>
          </w:p>
        </w:tc>
        <w:tc>
          <w:tcPr>
            <w:tcW w:w="0" w:type="dxa"/>
            <w:vAlign w:val="bottom"/>
          </w:tcPr>
          <w:p>
            <w:pPr>
              <w:spacing w:after="0"/>
              <w:rPr>
                <w:sz w:val="1"/>
                <w:szCs w:val="1"/>
                <w:color w:val="auto"/>
              </w:rPr>
            </w:pPr>
          </w:p>
        </w:tc>
      </w:tr>
      <w:tr>
        <w:trPr>
          <w:trHeight w:val="107"/>
        </w:trPr>
        <w:tc>
          <w:tcPr>
            <w:tcW w:w="1820" w:type="dxa"/>
            <w:vAlign w:val="bottom"/>
            <w:tcBorders>
              <w:left w:val="single" w:sz="8" w:color="auto"/>
              <w:right w:val="single" w:sz="8" w:color="auto"/>
            </w:tcBorders>
          </w:tcPr>
          <w:p>
            <w:pPr>
              <w:spacing w:after="0"/>
              <w:rPr>
                <w:sz w:val="9"/>
                <w:szCs w:val="9"/>
                <w:color w:val="auto"/>
              </w:rPr>
            </w:pPr>
          </w:p>
        </w:tc>
        <w:tc>
          <w:tcPr>
            <w:tcW w:w="3260" w:type="dxa"/>
            <w:vAlign w:val="bottom"/>
            <w:tcBorders>
              <w:right w:val="single" w:sz="8" w:color="auto"/>
            </w:tcBorders>
            <w:vMerge w:val="continue"/>
          </w:tcPr>
          <w:p>
            <w:pPr>
              <w:spacing w:after="0"/>
              <w:rPr>
                <w:sz w:val="9"/>
                <w:szCs w:val="9"/>
                <w:color w:val="auto"/>
              </w:rPr>
            </w:pPr>
          </w:p>
        </w:tc>
        <w:tc>
          <w:tcPr>
            <w:tcW w:w="3040" w:type="dxa"/>
            <w:vAlign w:val="bottom"/>
            <w:tcBorders>
              <w:right w:val="single" w:sz="8" w:color="auto"/>
            </w:tcBorders>
            <w:vMerge w:val="continue"/>
          </w:tcPr>
          <w:p>
            <w:pPr>
              <w:spacing w:after="0"/>
              <w:rPr>
                <w:sz w:val="9"/>
                <w:szCs w:val="9"/>
                <w:color w:val="auto"/>
              </w:rPr>
            </w:pPr>
          </w:p>
        </w:tc>
        <w:tc>
          <w:tcPr>
            <w:tcW w:w="3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 Value vested</w:t>
            </w: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right w:val="single" w:sz="8" w:color="auto"/>
            </w:tcBorders>
            <w:vMerge w:val="restart"/>
          </w:tcPr>
          <w:p>
            <w:pPr>
              <w:ind w:left="7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3260" w:type="dxa"/>
            <w:vAlign w:val="bottom"/>
            <w:tcBorders>
              <w:right w:val="single" w:sz="8" w:color="auto"/>
            </w:tcBorders>
            <w:vMerge w:val="restart"/>
          </w:tcPr>
          <w:p>
            <w:pPr>
              <w:jc w:val="center"/>
              <w:spacing w:after="0" w:line="314" w:lineRule="exact"/>
              <w:rPr>
                <w:sz w:val="20"/>
                <w:szCs w:val="20"/>
                <w:color w:val="auto"/>
              </w:rPr>
            </w:pPr>
            <w:r>
              <w:rPr>
                <w:rFonts w:ascii="Times New Roman" w:cs="Times New Roman" w:eastAsia="Times New Roman" w:hAnsi="Times New Roman"/>
                <w:sz w:val="17"/>
                <w:szCs w:val="17"/>
                <w:b w:val="1"/>
                <w:bCs w:val="1"/>
                <w:color w:val="auto"/>
                <w:w w:val="99"/>
              </w:rPr>
              <w:t>vested during the year</w:t>
            </w:r>
            <w:r>
              <w:rPr>
                <w:rFonts w:ascii="Times New Roman" w:cs="Times New Roman" w:eastAsia="Times New Roman" w:hAnsi="Times New Roman"/>
                <w:sz w:val="28"/>
                <w:szCs w:val="28"/>
                <w:b w:val="1"/>
                <w:bCs w:val="1"/>
                <w:color w:val="auto"/>
                <w:w w:val="99"/>
                <w:vertAlign w:val="superscript"/>
              </w:rPr>
              <w:t>(1)</w:t>
            </w:r>
            <w:r>
              <w:rPr>
                <w:rFonts w:ascii="Times New Roman" w:cs="Times New Roman" w:eastAsia="Times New Roman" w:hAnsi="Times New Roman"/>
                <w:sz w:val="17"/>
                <w:szCs w:val="17"/>
                <w:b w:val="1"/>
                <w:bCs w:val="1"/>
                <w:color w:val="auto"/>
                <w:w w:val="99"/>
              </w:rPr>
              <w:t xml:space="preserve"> </w:t>
            </w:r>
            <w:r>
              <w:rPr>
                <w:rFonts w:ascii="Times New Roman" w:cs="Times New Roman" w:eastAsia="Times New Roman" w:hAnsi="Times New Roman"/>
                <w:sz w:val="17"/>
                <w:szCs w:val="17"/>
                <w:color w:val="auto"/>
                <w:w w:val="99"/>
              </w:rPr>
              <w:t>($)</w:t>
            </w:r>
          </w:p>
        </w:tc>
        <w:tc>
          <w:tcPr>
            <w:tcW w:w="3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vested during the year ($)</w:t>
            </w:r>
          </w:p>
        </w:tc>
        <w:tc>
          <w:tcPr>
            <w:tcW w:w="31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1820" w:type="dxa"/>
            <w:vAlign w:val="bottom"/>
            <w:tcBorders>
              <w:left w:val="single" w:sz="8" w:color="auto"/>
              <w:right w:val="single" w:sz="8" w:color="auto"/>
            </w:tcBorders>
            <w:vMerge w:val="continue"/>
          </w:tcPr>
          <w:p>
            <w:pPr>
              <w:spacing w:after="0"/>
              <w:rPr>
                <w:sz w:val="18"/>
                <w:szCs w:val="18"/>
                <w:color w:val="auto"/>
              </w:rPr>
            </w:pPr>
          </w:p>
        </w:tc>
        <w:tc>
          <w:tcPr>
            <w:tcW w:w="3260" w:type="dxa"/>
            <w:vAlign w:val="bottom"/>
            <w:tcBorders>
              <w:right w:val="single" w:sz="8" w:color="auto"/>
            </w:tcBorders>
            <w:vMerge w:val="continue"/>
          </w:tcPr>
          <w:p>
            <w:pPr>
              <w:spacing w:after="0"/>
              <w:rPr>
                <w:sz w:val="18"/>
                <w:szCs w:val="18"/>
                <w:color w:val="auto"/>
              </w:rPr>
            </w:pPr>
          </w:p>
        </w:tc>
        <w:tc>
          <w:tcPr>
            <w:tcW w:w="3040" w:type="dxa"/>
            <w:vAlign w:val="bottom"/>
            <w:tcBorders>
              <w:right w:val="single" w:sz="8" w:color="auto"/>
            </w:tcBorders>
            <w:vMerge w:val="continue"/>
          </w:tcPr>
          <w:p>
            <w:pPr>
              <w:spacing w:after="0"/>
              <w:rPr>
                <w:sz w:val="18"/>
                <w:szCs w:val="18"/>
                <w:color w:val="auto"/>
              </w:rPr>
            </w:pPr>
          </w:p>
        </w:tc>
        <w:tc>
          <w:tcPr>
            <w:tcW w:w="3120" w:type="dxa"/>
            <w:vAlign w:val="bottom"/>
            <w:tcBorders>
              <w:right w:val="single" w:sz="8" w:color="auto"/>
            </w:tcBorders>
            <w:vMerge w:val="restart"/>
          </w:tcPr>
          <w:p>
            <w:pPr>
              <w:jc w:val="center"/>
              <w:spacing w:after="0" w:line="262" w:lineRule="exact"/>
              <w:rPr>
                <w:sz w:val="20"/>
                <w:szCs w:val="20"/>
                <w:color w:val="auto"/>
              </w:rPr>
            </w:pPr>
            <w:r>
              <w:rPr>
                <w:rFonts w:ascii="Times New Roman" w:cs="Times New Roman" w:eastAsia="Times New Roman" w:hAnsi="Times New Roman"/>
                <w:sz w:val="17"/>
                <w:szCs w:val="17"/>
                <w:b w:val="1"/>
                <w:bCs w:val="1"/>
                <w:color w:val="auto"/>
                <w:w w:val="97"/>
              </w:rPr>
              <w:t>during the year</w:t>
            </w:r>
            <w:r>
              <w:rPr>
                <w:rFonts w:ascii="Times New Roman" w:cs="Times New Roman" w:eastAsia="Times New Roman" w:hAnsi="Times New Roman"/>
                <w:sz w:val="28"/>
                <w:szCs w:val="28"/>
                <w:b w:val="1"/>
                <w:bCs w:val="1"/>
                <w:color w:val="auto"/>
                <w:w w:val="97"/>
                <w:vertAlign w:val="superscript"/>
              </w:rPr>
              <w:t>(2)</w:t>
            </w:r>
            <w:r>
              <w:rPr>
                <w:rFonts w:ascii="Times New Roman" w:cs="Times New Roman" w:eastAsia="Times New Roman" w:hAnsi="Times New Roman"/>
                <w:sz w:val="17"/>
                <w:szCs w:val="17"/>
                <w:b w:val="1"/>
                <w:bCs w:val="1"/>
                <w:color w:val="auto"/>
                <w:w w:val="97"/>
              </w:rPr>
              <w:t xml:space="preserve"> ($)</w:t>
            </w:r>
          </w:p>
        </w:tc>
        <w:tc>
          <w:tcPr>
            <w:tcW w:w="0" w:type="dxa"/>
            <w:vAlign w:val="bottom"/>
          </w:tcPr>
          <w:p>
            <w:pPr>
              <w:spacing w:after="0"/>
              <w:rPr>
                <w:sz w:val="1"/>
                <w:szCs w:val="1"/>
                <w:color w:val="auto"/>
              </w:rPr>
            </w:pPr>
          </w:p>
        </w:tc>
      </w:tr>
      <w:tr>
        <w:trPr>
          <w:trHeight w:val="58"/>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3260" w:type="dxa"/>
            <w:vAlign w:val="bottom"/>
            <w:tcBorders>
              <w:bottom w:val="single" w:sz="8" w:color="auto"/>
              <w:right w:val="single" w:sz="8" w:color="auto"/>
            </w:tcBorders>
          </w:tcPr>
          <w:p>
            <w:pPr>
              <w:spacing w:after="0"/>
              <w:rPr>
                <w:sz w:val="5"/>
                <w:szCs w:val="5"/>
                <w:color w:val="auto"/>
              </w:rPr>
            </w:pPr>
          </w:p>
        </w:tc>
        <w:tc>
          <w:tcPr>
            <w:tcW w:w="3040" w:type="dxa"/>
            <w:vAlign w:val="bottom"/>
            <w:tcBorders>
              <w:bottom w:val="single" w:sz="8" w:color="auto"/>
              <w:right w:val="single" w:sz="8" w:color="auto"/>
            </w:tcBorders>
          </w:tcPr>
          <w:p>
            <w:pPr>
              <w:spacing w:after="0"/>
              <w:rPr>
                <w:sz w:val="5"/>
                <w:szCs w:val="5"/>
                <w:color w:val="auto"/>
              </w:rPr>
            </w:pPr>
          </w:p>
        </w:tc>
        <w:tc>
          <w:tcPr>
            <w:tcW w:w="312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Nicolas Bonta</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670,200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147,833</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Andres Finkielsztain</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275,138</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63,833</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Emiliano Grodzki</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670,200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147,833</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13"/>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Edith Hofmeister</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136,700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63,833</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213"/>
        </w:trPr>
        <w:tc>
          <w:tcPr>
            <w:tcW w:w="1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Brian Howlett</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275,138</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95,750</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r>
        <w:trPr>
          <w:trHeight w:val="252"/>
        </w:trPr>
        <w:tc>
          <w:tcPr>
            <w:tcW w:w="1820" w:type="dxa"/>
            <w:vAlign w:val="bottom"/>
            <w:tcBorders>
              <w:left w:val="single" w:sz="8" w:color="auto"/>
              <w:bottom w:val="single" w:sz="8" w:color="auto"/>
              <w:right w:val="single" w:sz="8" w:color="auto"/>
            </w:tcBorders>
          </w:tcPr>
          <w:p>
            <w:pPr>
              <w:ind w:left="120"/>
              <w:spacing w:after="0" w:line="246" w:lineRule="exact"/>
              <w:rPr>
                <w:sz w:val="20"/>
                <w:szCs w:val="20"/>
                <w:color w:val="auto"/>
              </w:rPr>
            </w:pPr>
            <w:r>
              <w:rPr>
                <w:rFonts w:ascii="Times New Roman" w:cs="Times New Roman" w:eastAsia="Times New Roman" w:hAnsi="Times New Roman"/>
                <w:sz w:val="17"/>
                <w:szCs w:val="17"/>
                <w:color w:val="auto"/>
              </w:rPr>
              <w:t>Pierre Seccareccia</w:t>
            </w:r>
            <w:r>
              <w:rPr>
                <w:rFonts w:ascii="Times New Roman" w:cs="Times New Roman" w:eastAsia="Times New Roman" w:hAnsi="Times New Roman"/>
                <w:sz w:val="28"/>
                <w:szCs w:val="28"/>
                <w:color w:val="auto"/>
                <w:vertAlign w:val="superscript"/>
              </w:rPr>
              <w:t>(3)</w:t>
            </w:r>
          </w:p>
        </w:tc>
        <w:tc>
          <w:tcPr>
            <w:tcW w:w="3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20,850</w:t>
            </w:r>
          </w:p>
        </w:tc>
        <w:tc>
          <w:tcPr>
            <w:tcW w:w="3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Nil</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US$3,650</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320" w:hanging="317"/>
        <w:spacing w:after="0" w:line="265" w:lineRule="auto"/>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dollar value that would have been realized if the options had been exercised on the vesting date (computed based on the difference between the exercise price of the options and the closing market price of the Common Shares on the vesting date).</w:t>
      </w:r>
    </w:p>
    <w:p>
      <w:pPr>
        <w:ind w:left="320" w:hanging="317"/>
        <w:spacing w:after="0"/>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amounts earned pursuant to the Corporation’s annual bonus program.</w:t>
      </w:r>
    </w:p>
    <w:p>
      <w:pPr>
        <w:spacing w:after="0" w:line="11" w:lineRule="exact"/>
        <w:rPr>
          <w:rFonts w:ascii="Times New Roman" w:cs="Times New Roman" w:eastAsia="Times New Roman" w:hAnsi="Times New Roman"/>
          <w:sz w:val="17"/>
          <w:szCs w:val="17"/>
          <w:color w:val="auto"/>
        </w:rPr>
      </w:pPr>
    </w:p>
    <w:p>
      <w:pPr>
        <w:ind w:left="320" w:hanging="317"/>
        <w:spacing w:after="0"/>
        <w:tabs>
          <w:tab w:leader="none" w:pos="3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director.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On July 16, 2019, the Common Shares began trading on the TSX-V. On June 21, 2021, the Common Shares were also listed on the Nasdaq Stock Market. On April 8, 2022, the Common Shares were listed on the TSX and were voluntarily delisted from the TSX-V.</w:t>
      </w:r>
    </w:p>
    <w:p>
      <w:pPr>
        <w:spacing w:after="0" w:line="14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following performance graph shows the cumulative return for Common Shares compared to both the S&amp;P/TSX Composite Index, and the S&amp;P/TSX Venture Composite Index over the approximately 42-month period preceding December 31, 2023, for which the Corporation has been a reporting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104775</wp:posOffset>
            </wp:positionV>
            <wp:extent cx="5339080" cy="26282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5339080" cy="2628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00" w:type="dxa"/>
        <w:tblCellMar>
          <w:top w:w="0" w:type="dxa"/>
          <w:left w:w="0" w:type="dxa"/>
          <w:bottom w:w="0" w:type="dxa"/>
          <w:right w:w="0" w:type="dxa"/>
        </w:tblCellMar>
      </w:tblPr>
      <w:tr>
        <w:trPr>
          <w:trHeight w:val="244"/>
        </w:trPr>
        <w:tc>
          <w:tcPr>
            <w:tcW w:w="4520" w:type="dxa"/>
            <w:vAlign w:val="bottom"/>
          </w:tcPr>
          <w:p>
            <w:pPr>
              <w:spacing w:after="0"/>
              <w:rPr>
                <w:sz w:val="21"/>
                <w:szCs w:val="21"/>
                <w:color w:val="auto"/>
              </w:rPr>
            </w:pPr>
          </w:p>
        </w:tc>
        <w:tc>
          <w:tcPr>
            <w:tcW w:w="3360" w:type="dxa"/>
            <w:vAlign w:val="bottom"/>
            <w:gridSpan w:val="2"/>
          </w:tcPr>
          <w:p>
            <w:pPr>
              <w:ind w:left="1160"/>
              <w:spacing w:after="0"/>
              <w:rPr>
                <w:sz w:val="20"/>
                <w:szCs w:val="20"/>
                <w:color w:val="auto"/>
              </w:rPr>
            </w:pPr>
            <w:r>
              <w:rPr>
                <w:rFonts w:ascii="Times New Roman" w:cs="Times New Roman" w:eastAsia="Times New Roman" w:hAnsi="Times New Roman"/>
                <w:sz w:val="17"/>
                <w:szCs w:val="17"/>
                <w:color w:val="auto"/>
              </w:rPr>
              <w:t>July 16, 2019</w:t>
            </w:r>
          </w:p>
        </w:tc>
        <w:tc>
          <w:tcPr>
            <w:tcW w:w="326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December 31, 2023</w:t>
            </w: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Bitfarms Ltd. (TSX)</w:t>
            </w: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$192.50</w:t>
            </w:r>
          </w:p>
        </w:tc>
      </w:tr>
      <w:tr>
        <w:trPr>
          <w:trHeight w:val="27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Bitfarms Ltd. (Nasdaq)</w:t>
            </w:r>
          </w:p>
        </w:tc>
        <w:tc>
          <w:tcPr>
            <w:tcW w:w="3260" w:type="dxa"/>
            <w:vAlign w:val="bottom"/>
          </w:tcPr>
          <w:p>
            <w:pPr>
              <w:jc w:val="center"/>
              <w:spacing w:after="0" w:line="273" w:lineRule="exact"/>
              <w:rPr>
                <w:sz w:val="20"/>
                <w:szCs w:val="20"/>
                <w:color w:val="auto"/>
              </w:rPr>
            </w:pPr>
            <w:r>
              <w:rPr>
                <w:rFonts w:ascii="Times New Roman" w:cs="Times New Roman" w:eastAsia="Times New Roman" w:hAnsi="Times New Roman"/>
                <w:sz w:val="17"/>
                <w:szCs w:val="17"/>
                <w:color w:val="auto"/>
                <w:w w:val="96"/>
              </w:rPr>
              <w:t>$100.00</w:t>
            </w:r>
            <w:r>
              <w:rPr>
                <w:rFonts w:ascii="Times New Roman" w:cs="Times New Roman" w:eastAsia="Times New Roman" w:hAnsi="Times New Roman"/>
                <w:sz w:val="28"/>
                <w:szCs w:val="28"/>
                <w:color w:val="auto"/>
                <w:w w:val="96"/>
                <w:vertAlign w:val="superscript"/>
              </w:rPr>
              <w:t>(1)</w:t>
            </w:r>
          </w:p>
        </w:tc>
        <w:tc>
          <w:tcPr>
            <w:tcW w:w="100" w:type="dxa"/>
            <w:vAlign w:val="bottom"/>
          </w:tcPr>
          <w:p>
            <w:pPr>
              <w:spacing w:after="0"/>
              <w:rPr>
                <w:sz w:val="23"/>
                <w:szCs w:val="23"/>
                <w:color w:val="auto"/>
              </w:rPr>
            </w:pPr>
          </w:p>
        </w:tc>
        <w:tc>
          <w:tcPr>
            <w:tcW w:w="3260" w:type="dxa"/>
            <w:vAlign w:val="bottom"/>
          </w:tcPr>
          <w:p>
            <w:pPr>
              <w:jc w:val="center"/>
              <w:spacing w:after="0" w:line="273" w:lineRule="exact"/>
              <w:rPr>
                <w:sz w:val="20"/>
                <w:szCs w:val="20"/>
                <w:color w:val="auto"/>
              </w:rPr>
            </w:pPr>
            <w:r>
              <w:rPr>
                <w:rFonts w:ascii="Times New Roman" w:cs="Times New Roman" w:eastAsia="Times New Roman" w:hAnsi="Times New Roman"/>
                <w:sz w:val="17"/>
                <w:szCs w:val="17"/>
                <w:color w:val="auto"/>
                <w:w w:val="93"/>
              </w:rPr>
              <w:t>$73.49</w:t>
            </w:r>
            <w:r>
              <w:rPr>
                <w:rFonts w:ascii="Times New Roman" w:cs="Times New Roman" w:eastAsia="Times New Roman" w:hAnsi="Times New Roman"/>
                <w:sz w:val="28"/>
                <w:szCs w:val="28"/>
                <w:color w:val="auto"/>
                <w:w w:val="93"/>
                <w:vertAlign w:val="superscript"/>
              </w:rPr>
              <w:t>(1)</w:t>
            </w:r>
          </w:p>
        </w:tc>
      </w:tr>
      <w:tr>
        <w:trPr>
          <w:trHeight w:val="226"/>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S&amp;P/TSX Composite</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$127.78</w:t>
            </w:r>
          </w:p>
        </w:tc>
      </w:tr>
      <w:tr>
        <w:trPr>
          <w:trHeight w:val="233"/>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S&amp;P/TSXV Composite</w:t>
            </w: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$95.30</w:t>
            </w: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w:t>
      </w:r>
    </w:p>
    <w:p>
      <w:pPr>
        <w:spacing w:after="0" w:line="218" w:lineRule="exact"/>
        <w:rPr>
          <w:sz w:val="20"/>
          <w:szCs w:val="20"/>
          <w:color w:val="auto"/>
        </w:rPr>
      </w:pPr>
    </w:p>
    <w:p>
      <w:pPr>
        <w:ind w:left="5480" w:right="2460" w:hanging="5166"/>
        <w:spacing w:after="0" w:line="799" w:lineRule="auto"/>
        <w:tabs>
          <w:tab w:leader="none" w:pos="624"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Reflective of an investment of $100 on June 21, 2021, the date the Common Shares were listed for trading on Nasdaq.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-288290</wp:posOffset>
            </wp:positionV>
            <wp:extent cx="713803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7"/>
          <w:szCs w:val="17"/>
          <w:color w:val="auto"/>
        </w:rPr>
        <w:t>As of December 31, 2023, the value of $100 invested in the Common Shares on July 16, 2019 had increased by approximately 93% compared to increases of 28% for a similar investment in the S&amp;P/TSX Composite Index and a decrease of 5% for a similar investment in the S&amp;P/TSXV Composite Index over the same period. On June 21, 2021, the closing price of the Common Shares listed on the Nasdaq Stock Exchange was US$3.96, compared to US$2.91 at closing on December 31, 2023, representing a decrease of about 27%.</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There is no direct correlation between the performance of the Common Shares and executive compensation. The Common Share price may be affected by a number of factors beyond the control of directors and management, including general and industry-specific economic and market conditions. The Compensation Committee evaluates performance by reference to the overall direction and success of the Corporation rather than by any short-term fluctuations in the trading price of the Common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following table sets forth information in respect of the Corporation’s equity compensation plans under which equity securities of the Corporation are authorized for issuance, aggregated in accordance with all equity plans previously approved by the Shareholders and all equity plans not approved by Shareholders as at December 31, 2023:</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400" w:type="dxa"/>
            <w:vAlign w:val="bottom"/>
            <w:tcBorders>
              <w:top w:val="single" w:sz="8" w:color="auto"/>
              <w:left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spacing w:after="0"/>
              <w:rPr>
                <w:sz w:val="18"/>
                <w:szCs w:val="18"/>
                <w:color w:val="auto"/>
              </w:rPr>
            </w:pPr>
          </w:p>
        </w:tc>
        <w:tc>
          <w:tcPr>
            <w:tcW w:w="2920" w:type="dxa"/>
            <w:vAlign w:val="bottom"/>
            <w:tcBorders>
              <w:top w:val="single" w:sz="8" w:color="auto"/>
              <w:right w:val="single" w:sz="8" w:color="auto"/>
            </w:tcBorders>
          </w:tcPr>
          <w:p>
            <w:pPr>
              <w:spacing w:after="0"/>
              <w:rPr>
                <w:sz w:val="18"/>
                <w:szCs w:val="18"/>
                <w:color w:val="auto"/>
              </w:rPr>
            </w:pPr>
          </w:p>
        </w:tc>
        <w:tc>
          <w:tcPr>
            <w:tcW w:w="2360" w:type="dxa"/>
            <w:vAlign w:val="bottom"/>
            <w:tcBorders>
              <w:top w:val="single" w:sz="8" w:color="auto"/>
              <w:right w:val="single" w:sz="8" w:color="auto"/>
            </w:tcBorders>
          </w:tcPr>
          <w:p>
            <w:pPr>
              <w:spacing w:after="0"/>
              <w:rPr>
                <w:sz w:val="18"/>
                <w:szCs w:val="18"/>
                <w:color w:val="auto"/>
              </w:rPr>
            </w:pPr>
          </w:p>
        </w:tc>
        <w:tc>
          <w:tcPr>
            <w:tcW w:w="2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Securities</w:t>
            </w:r>
          </w:p>
        </w:tc>
        <w:tc>
          <w:tcPr>
            <w:tcW w:w="0" w:type="dxa"/>
            <w:vAlign w:val="bottom"/>
          </w:tcPr>
          <w:p>
            <w:pPr>
              <w:spacing w:after="0"/>
              <w:rPr>
                <w:sz w:val="1"/>
                <w:szCs w:val="1"/>
                <w:color w:val="auto"/>
              </w:rPr>
            </w:pPr>
          </w:p>
        </w:tc>
      </w:tr>
      <w:tr>
        <w:trPr>
          <w:trHeight w:val="207"/>
        </w:trPr>
        <w:tc>
          <w:tcPr>
            <w:tcW w:w="400" w:type="dxa"/>
            <w:vAlign w:val="bottom"/>
            <w:tcBorders>
              <w:left w:val="single" w:sz="8" w:color="auto"/>
            </w:tcBorders>
          </w:tcPr>
          <w:p>
            <w:pPr>
              <w:spacing w:after="0"/>
              <w:rPr>
                <w:sz w:val="17"/>
                <w:szCs w:val="17"/>
                <w:color w:val="auto"/>
              </w:rPr>
            </w:pPr>
          </w:p>
        </w:tc>
        <w:tc>
          <w:tcPr>
            <w:tcW w:w="3000" w:type="dxa"/>
            <w:vAlign w:val="bottom"/>
            <w:tcBorders>
              <w:right w:val="single" w:sz="8" w:color="auto"/>
            </w:tcBorders>
          </w:tcPr>
          <w:p>
            <w:pPr>
              <w:spacing w:after="0"/>
              <w:rPr>
                <w:sz w:val="17"/>
                <w:szCs w:val="17"/>
                <w:color w:val="auto"/>
              </w:rPr>
            </w:pP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 of Securities to be Issued</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Weighted Average Exercise</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Remaining Available for Future</w:t>
            </w:r>
          </w:p>
        </w:tc>
        <w:tc>
          <w:tcPr>
            <w:tcW w:w="0" w:type="dxa"/>
            <w:vAlign w:val="bottom"/>
          </w:tcPr>
          <w:p>
            <w:pPr>
              <w:spacing w:after="0"/>
              <w:rPr>
                <w:sz w:val="1"/>
                <w:szCs w:val="1"/>
                <w:color w:val="auto"/>
              </w:rPr>
            </w:pPr>
          </w:p>
        </w:tc>
      </w:tr>
      <w:tr>
        <w:trPr>
          <w:trHeight w:val="207"/>
        </w:trPr>
        <w:tc>
          <w:tcPr>
            <w:tcW w:w="400" w:type="dxa"/>
            <w:vAlign w:val="bottom"/>
            <w:tcBorders>
              <w:left w:val="single" w:sz="8" w:color="auto"/>
            </w:tcBorders>
          </w:tcPr>
          <w:p>
            <w:pPr>
              <w:spacing w:after="0"/>
              <w:rPr>
                <w:sz w:val="17"/>
                <w:szCs w:val="17"/>
                <w:color w:val="auto"/>
              </w:rPr>
            </w:pPr>
          </w:p>
        </w:tc>
        <w:tc>
          <w:tcPr>
            <w:tcW w:w="3000" w:type="dxa"/>
            <w:vAlign w:val="bottom"/>
            <w:tcBorders>
              <w:right w:val="single" w:sz="8" w:color="auto"/>
            </w:tcBorders>
          </w:tcPr>
          <w:p>
            <w:pPr>
              <w:spacing w:after="0"/>
              <w:rPr>
                <w:sz w:val="17"/>
                <w:szCs w:val="17"/>
                <w:color w:val="auto"/>
              </w:rPr>
            </w:pP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upon Exercis™e of Outstanding</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Price of Outstanding</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Issuance under Equity</w:t>
            </w:r>
          </w:p>
        </w:tc>
        <w:tc>
          <w:tcPr>
            <w:tcW w:w="0" w:type="dxa"/>
            <w:vAlign w:val="bottom"/>
          </w:tcPr>
          <w:p>
            <w:pPr>
              <w:spacing w:after="0"/>
              <w:rPr>
                <w:sz w:val="1"/>
                <w:szCs w:val="1"/>
                <w:color w:val="auto"/>
              </w:rPr>
            </w:pPr>
          </w:p>
        </w:tc>
      </w:tr>
      <w:tr>
        <w:trPr>
          <w:trHeight w:val="214"/>
        </w:trPr>
        <w:tc>
          <w:tcPr>
            <w:tcW w:w="400" w:type="dxa"/>
            <w:vAlign w:val="bottom"/>
            <w:tcBorders>
              <w:left w:val="single" w:sz="8" w:color="auto"/>
            </w:tcBorders>
          </w:tcPr>
          <w:p>
            <w:pPr>
              <w:spacing w:after="0"/>
              <w:rPr>
                <w:sz w:val="18"/>
                <w:szCs w:val="18"/>
                <w:color w:val="auto"/>
              </w:rPr>
            </w:pPr>
          </w:p>
        </w:tc>
        <w:tc>
          <w:tcPr>
            <w:tcW w:w="3000" w:type="dxa"/>
            <w:vAlign w:val="bottom"/>
            <w:tcBorders>
              <w:right w:val="single" w:sz="8" w:color="auto"/>
            </w:tcBorders>
          </w:tcPr>
          <w:p>
            <w:pPr>
              <w:ind w:left="780"/>
              <w:spacing w:after="0"/>
              <w:rPr>
                <w:sz w:val="20"/>
                <w:szCs w:val="20"/>
                <w:color w:val="auto"/>
              </w:rPr>
            </w:pPr>
            <w:r>
              <w:rPr>
                <w:rFonts w:ascii="Times New Roman" w:cs="Times New Roman" w:eastAsia="Times New Roman" w:hAnsi="Times New Roman"/>
                <w:sz w:val="17"/>
                <w:szCs w:val="17"/>
                <w:b w:val="1"/>
                <w:bCs w:val="1"/>
                <w:color w:val="auto"/>
              </w:rPr>
              <w:t>Plan Category</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 and Rights</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Options, and Rights</w:t>
            </w:r>
          </w:p>
        </w:tc>
        <w:tc>
          <w:tcPr>
            <w:tcW w:w="2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Plans</w:t>
            </w:r>
          </w:p>
        </w:tc>
        <w:tc>
          <w:tcPr>
            <w:tcW w:w="0" w:type="dxa"/>
            <w:vAlign w:val="bottom"/>
          </w:tcPr>
          <w:p>
            <w:pPr>
              <w:spacing w:after="0"/>
              <w:rPr>
                <w:sz w:val="1"/>
                <w:szCs w:val="1"/>
                <w:color w:val="auto"/>
              </w:rPr>
            </w:pPr>
          </w:p>
        </w:tc>
      </w:tr>
      <w:tr>
        <w:trPr>
          <w:trHeight w:val="226"/>
        </w:trPr>
        <w:tc>
          <w:tcPr>
            <w:tcW w:w="400" w:type="dxa"/>
            <w:vAlign w:val="bottom"/>
            <w:tcBorders>
              <w:left w:val="single" w:sz="8" w:color="auto"/>
              <w:bottom w:val="single" w:sz="8" w:color="auto"/>
            </w:tcBorders>
          </w:tcPr>
          <w:p>
            <w:pPr>
              <w:spacing w:after="0"/>
              <w:rPr>
                <w:sz w:val="19"/>
                <w:szCs w:val="19"/>
                <w:color w:val="auto"/>
              </w:rPr>
            </w:pPr>
          </w:p>
        </w:tc>
        <w:tc>
          <w:tcPr>
            <w:tcW w:w="3000" w:type="dxa"/>
            <w:vAlign w:val="bottom"/>
            <w:tcBorders>
              <w:bottom w:val="single" w:sz="8" w:color="auto"/>
              <w:right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2"/>
        </w:trPr>
        <w:tc>
          <w:tcPr>
            <w:tcW w:w="340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Equity compensation plans approved by</w:t>
            </w:r>
          </w:p>
        </w:tc>
        <w:tc>
          <w:tcPr>
            <w:tcW w:w="2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21,564,385</w:t>
            </w:r>
            <w:r>
              <w:rPr>
                <w:rFonts w:ascii="Times New Roman" w:cs="Times New Roman" w:eastAsia="Times New Roman" w:hAnsi="Times New Roman"/>
                <w:sz w:val="28"/>
                <w:szCs w:val="28"/>
                <w:color w:val="auto"/>
                <w:vertAlign w:val="superscript"/>
              </w:rPr>
              <w:t>(3)</w:t>
            </w:r>
          </w:p>
        </w:tc>
        <w:tc>
          <w:tcPr>
            <w:tcW w:w="23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16,005,002</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211"/>
        </w:trPr>
        <w:tc>
          <w:tcPr>
            <w:tcW w:w="3400" w:type="dxa"/>
            <w:vAlign w:val="bottom"/>
            <w:tcBorders>
              <w:left w:val="single" w:sz="8" w:color="auto"/>
              <w:right w:val="single" w:sz="8" w:color="auto"/>
            </w:tcBorders>
            <w:gridSpan w:val="2"/>
            <w:vMerge w:val="restart"/>
          </w:tcPr>
          <w:p>
            <w:pPr>
              <w:ind w:left="20"/>
              <w:spacing w:after="0" w:line="314" w:lineRule="exact"/>
              <w:rPr>
                <w:sz w:val="20"/>
                <w:szCs w:val="20"/>
                <w:color w:val="auto"/>
              </w:rPr>
            </w:pPr>
            <w:r>
              <w:rPr>
                <w:rFonts w:ascii="Times New Roman" w:cs="Times New Roman" w:eastAsia="Times New Roman" w:hAnsi="Times New Roman"/>
                <w:sz w:val="17"/>
                <w:szCs w:val="17"/>
                <w:b w:val="1"/>
                <w:bCs w:val="1"/>
                <w:color w:val="auto"/>
              </w:rPr>
              <w:t>securityholders</w:t>
            </w:r>
            <w:r>
              <w:rPr>
                <w:rFonts w:ascii="Times New Roman" w:cs="Times New Roman" w:eastAsia="Times New Roman" w:hAnsi="Times New Roman"/>
                <w:sz w:val="28"/>
                <w:szCs w:val="28"/>
                <w:b w:val="1"/>
                <w:bCs w:val="1"/>
                <w:color w:val="auto"/>
                <w:vertAlign w:val="superscript"/>
              </w:rPr>
              <w:t>(1)</w:t>
            </w:r>
          </w:p>
        </w:tc>
        <w:tc>
          <w:tcPr>
            <w:tcW w:w="2920" w:type="dxa"/>
            <w:vAlign w:val="bottom"/>
            <w:tcBorders>
              <w:right w:val="single" w:sz="8" w:color="auto"/>
            </w:tcBorders>
            <w:vMerge w:val="continue"/>
          </w:tcPr>
          <w:p>
            <w:pPr>
              <w:spacing w:after="0"/>
              <w:rPr>
                <w:sz w:val="18"/>
                <w:szCs w:val="18"/>
                <w:color w:val="auto"/>
              </w:rPr>
            </w:pPr>
          </w:p>
        </w:tc>
        <w:tc>
          <w:tcPr>
            <w:tcW w:w="2360" w:type="dxa"/>
            <w:vAlign w:val="bottom"/>
            <w:tcBorders>
              <w:right w:val="single" w:sz="8" w:color="auto"/>
            </w:tcBorders>
            <w:vMerge w:val="continue"/>
          </w:tcPr>
          <w:p>
            <w:pPr>
              <w:spacing w:after="0"/>
              <w:rPr>
                <w:sz w:val="18"/>
                <w:szCs w:val="18"/>
                <w:color w:val="auto"/>
              </w:rPr>
            </w:pPr>
          </w:p>
        </w:tc>
        <w:tc>
          <w:tcPr>
            <w:tcW w:w="25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3400" w:type="dxa"/>
            <w:vAlign w:val="bottom"/>
            <w:tcBorders>
              <w:left w:val="single" w:sz="8" w:color="auto"/>
              <w:bottom w:val="single" w:sz="8" w:color="auto"/>
              <w:right w:val="single" w:sz="8" w:color="auto"/>
            </w:tcBorders>
            <w:gridSpan w:val="2"/>
            <w:vMerge w:val="continue"/>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25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3400" w:type="dxa"/>
            <w:vAlign w:val="bottom"/>
            <w:tcBorders>
              <w:left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Equity compensation plans not approved by</w:t>
            </w:r>
          </w:p>
        </w:tc>
        <w:tc>
          <w:tcPr>
            <w:tcW w:w="2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23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256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Nil</w:t>
            </w:r>
          </w:p>
        </w:tc>
        <w:tc>
          <w:tcPr>
            <w:tcW w:w="0" w:type="dxa"/>
            <w:vAlign w:val="bottom"/>
          </w:tcPr>
          <w:p>
            <w:pPr>
              <w:spacing w:after="0"/>
              <w:rPr>
                <w:sz w:val="1"/>
                <w:szCs w:val="1"/>
                <w:color w:val="auto"/>
              </w:rPr>
            </w:pPr>
          </w:p>
        </w:tc>
      </w:tr>
      <w:tr>
        <w:trPr>
          <w:trHeight w:val="124"/>
        </w:trPr>
        <w:tc>
          <w:tcPr>
            <w:tcW w:w="3400" w:type="dxa"/>
            <w:vAlign w:val="bottom"/>
            <w:tcBorders>
              <w:left w:val="single" w:sz="8" w:color="auto"/>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securityholders</w:t>
            </w:r>
          </w:p>
        </w:tc>
        <w:tc>
          <w:tcPr>
            <w:tcW w:w="292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25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3400" w:type="dxa"/>
            <w:vAlign w:val="bottom"/>
            <w:tcBorders>
              <w:left w:val="single" w:sz="8" w:color="auto"/>
              <w:right w:val="single" w:sz="8" w:color="auto"/>
            </w:tcBorders>
            <w:gridSpan w:val="2"/>
            <w:vMerge w:val="continue"/>
          </w:tcPr>
          <w:p>
            <w:pPr>
              <w:spacing w:after="0"/>
              <w:rPr>
                <w:sz w:val="8"/>
                <w:szCs w:val="8"/>
                <w:color w:val="auto"/>
              </w:rPr>
            </w:pPr>
          </w:p>
        </w:tc>
        <w:tc>
          <w:tcPr>
            <w:tcW w:w="2920" w:type="dxa"/>
            <w:vAlign w:val="bottom"/>
            <w:tcBorders>
              <w:right w:val="single" w:sz="8" w:color="auto"/>
            </w:tcBorders>
          </w:tcPr>
          <w:p>
            <w:pPr>
              <w:spacing w:after="0"/>
              <w:rPr>
                <w:sz w:val="8"/>
                <w:szCs w:val="8"/>
                <w:color w:val="auto"/>
              </w:rPr>
            </w:pPr>
          </w:p>
        </w:tc>
        <w:tc>
          <w:tcPr>
            <w:tcW w:w="2360" w:type="dxa"/>
            <w:vAlign w:val="bottom"/>
            <w:tcBorders>
              <w:right w:val="single" w:sz="8" w:color="auto"/>
            </w:tcBorders>
          </w:tcPr>
          <w:p>
            <w:pPr>
              <w:spacing w:after="0"/>
              <w:rPr>
                <w:sz w:val="8"/>
                <w:szCs w:val="8"/>
                <w:color w:val="auto"/>
              </w:rPr>
            </w:pPr>
          </w:p>
        </w:tc>
        <w:tc>
          <w:tcPr>
            <w:tcW w:w="25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400" w:type="dxa"/>
            <w:vAlign w:val="bottom"/>
            <w:tcBorders>
              <w:left w:val="single" w:sz="8" w:color="auto"/>
              <w:bottom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920" w:type="dxa"/>
            <w:vAlign w:val="bottom"/>
            <w:tcBorders>
              <w:bottom w:val="single" w:sz="8" w:color="auto"/>
              <w:right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25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34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9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21,564,385</w:t>
            </w:r>
          </w:p>
        </w:tc>
        <w:tc>
          <w:tcPr>
            <w:tcW w:w="23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25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16,005,002</w:t>
            </w:r>
            <w:r>
              <w:rPr>
                <w:rFonts w:ascii="Times New Roman" w:cs="Times New Roman" w:eastAsia="Times New Roman" w:hAnsi="Times New Roman"/>
                <w:sz w:val="28"/>
                <w:szCs w:val="28"/>
                <w:color w:val="auto"/>
                <w:vertAlign w:val="superscript"/>
              </w:rPr>
              <w:t>(2)</w:t>
            </w:r>
          </w:p>
        </w:tc>
        <w:tc>
          <w:tcPr>
            <w:tcW w:w="0" w:type="dxa"/>
            <w:vAlign w:val="bottom"/>
          </w:tcPr>
          <w:p>
            <w:pPr>
              <w:spacing w:after="0"/>
              <w:rPr>
                <w:sz w:val="1"/>
                <w:szCs w:val="1"/>
                <w:color w:val="auto"/>
              </w:rPr>
            </w:pPr>
          </w:p>
        </w:tc>
      </w:tr>
      <w:tr>
        <w:trPr>
          <w:trHeight w:val="375"/>
        </w:trPr>
        <w:tc>
          <w:tcPr>
            <w:tcW w:w="3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w:t>
            </w:r>
          </w:p>
        </w:tc>
        <w:tc>
          <w:tcPr>
            <w:tcW w:w="29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ind w:left="460" w:hanging="457"/>
        <w:spacing w:after="0" w:line="261" w:lineRule="auto"/>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Awarded under the Corporation’s LTIP, last approved by the Shareholders at a meeting held on June 25, 2021, pursuant to which a maximum of 10% of the Common Shares issued and outstanding at the time of grant may be reserved for issuance. For a summary of the LTIP, see “</w:t>
      </w:r>
      <w:r>
        <w:rPr>
          <w:rFonts w:ascii="Times New Roman" w:cs="Times New Roman" w:eastAsia="Times New Roman" w:hAnsi="Times New Roman"/>
          <w:sz w:val="17"/>
          <w:szCs w:val="17"/>
          <w:i w:val="1"/>
          <w:iCs w:val="1"/>
          <w:color w:val="auto"/>
        </w:rPr>
        <w:t>Executive Compensation – Long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 Incentive Plan”.</w:t>
      </w:r>
    </w:p>
    <w:p>
      <w:pPr>
        <w:spacing w:after="0" w:line="1"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375,693,875 Common Shares issued and outstanding on the date hereof.</w:t>
      </w:r>
    </w:p>
    <w:p>
      <w:pPr>
        <w:spacing w:after="0" w:line="11" w:lineRule="exact"/>
        <w:rPr>
          <w:rFonts w:ascii="Times New Roman" w:cs="Times New Roman" w:eastAsia="Times New Roman" w:hAnsi="Times New Roman"/>
          <w:sz w:val="17"/>
          <w:szCs w:val="17"/>
          <w:color w:val="auto"/>
        </w:rPr>
      </w:pPr>
    </w:p>
    <w:p>
      <w:pPr>
        <w:ind w:left="460" w:hanging="457"/>
        <w:spacing w:after="0"/>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624,998 RSUs and 20,939,387 Options.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Risk Considerations</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Compensation Committee is responsible for considering, establishing and reviewing executive compensation programs and whether the programs encourage unnecessary or excessive risk taking. The Corporation anticipates the programs will be balanced and will not motivate unnecessary or excessive risk taking.</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Base salaries are fixed in amount and do not encourage risk taking. While annual incentive awards will focus on the achievement of short-term or annual goals, and while short-term goals may encourage the taking of short-term risks at the expense of long-term results, the Corporation’s annual incentive award program will represent a small percentage of employees’ compensation opportunities.</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Stock option awards are important to further align employees’ interests with those of the Shareholders. The ultimate value of the awards is tied to the price of the Common Shares and since awards are expected to be staggered and subject to long-term vesting schedules, they will help ensure that NEOs have significant value tied in long-term stock price performance.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of Directors</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Pursuant to its Articles, the Corporation may have a minimum of one (1) and a maximum of ten (10) directors. At the date of the Circular, the Corporation has six (6) directors.</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6" w:name="page27"/>
    <w:bookmarkEnd w:id="26"/>
    <w:p>
      <w:pPr>
        <w:jc w:val="both"/>
        <w:spacing w:after="0" w:line="263" w:lineRule="auto"/>
        <w:rPr>
          <w:sz w:val="20"/>
          <w:szCs w:val="20"/>
          <w:color w:val="auto"/>
        </w:rPr>
      </w:pPr>
      <w:r>
        <w:rPr>
          <w:rFonts w:ascii="Times New Roman" w:cs="Times New Roman" w:eastAsia="Times New Roman" w:hAnsi="Times New Roman"/>
          <w:sz w:val="17"/>
          <w:szCs w:val="17"/>
          <w:color w:val="auto"/>
        </w:rPr>
        <w:t>The Corporation regularly reviews the competitiveness of non-executive director compensation levels against the competitive marketplace. While the results of that review have generally demonstrated that non-executive director compensation levels at the Corporation were competitive with the market, adjustments to annual fees have been made throughout the Corporation’s growth cycle in recent years to further strengthen the Corporation’s competitiveness while also reflecting the greater time and commitment required of the roles. In particular, and most recently, an adjustment was made effective February 1, 2023 to the annual fees for non-executive directors. A summary of the changes in compensation provided to the Corporation’s non-executive directors is as follows:</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6980" w:type="dxa"/>
            <w:vAlign w:val="bottom"/>
            <w:tcBorders>
              <w:top w:val="single" w:sz="8" w:color="auto"/>
              <w:left w:val="single" w:sz="8" w:color="auto"/>
              <w:right w:val="single" w:sz="8" w:color="auto"/>
            </w:tcBorders>
          </w:tcPr>
          <w:p>
            <w:pPr>
              <w:spacing w:after="0"/>
              <w:rPr>
                <w:sz w:val="24"/>
                <w:szCs w:val="24"/>
                <w:color w:val="auto"/>
              </w:rPr>
            </w:pPr>
          </w:p>
        </w:tc>
        <w:tc>
          <w:tcPr>
            <w:tcW w:w="4260" w:type="dxa"/>
            <w:vAlign w:val="bottom"/>
            <w:tcBorders>
              <w:top w:val="single" w:sz="8" w:color="auto"/>
              <w:right w:val="single" w:sz="8" w:color="auto"/>
            </w:tcBorders>
          </w:tcPr>
          <w:p>
            <w:pPr>
              <w:jc w:val="right"/>
              <w:ind w:right="1294"/>
              <w:spacing w:after="0"/>
              <w:rPr>
                <w:sz w:val="20"/>
                <w:szCs w:val="20"/>
                <w:color w:val="auto"/>
              </w:rPr>
            </w:pPr>
            <w:r>
              <w:rPr>
                <w:rFonts w:ascii="Times New Roman" w:cs="Times New Roman" w:eastAsia="Times New Roman" w:hAnsi="Times New Roman"/>
                <w:sz w:val="17"/>
                <w:szCs w:val="17"/>
                <w:b w:val="1"/>
                <w:bCs w:val="1"/>
                <w:color w:val="auto"/>
              </w:rPr>
              <w:t>Effective February 1,</w:t>
            </w:r>
          </w:p>
        </w:tc>
      </w:tr>
      <w:tr>
        <w:trPr>
          <w:trHeight w:val="233"/>
        </w:trPr>
        <w:tc>
          <w:tcPr>
            <w:tcW w:w="6980" w:type="dxa"/>
            <w:vAlign w:val="bottom"/>
            <w:tcBorders>
              <w:left w:val="single" w:sz="8" w:color="auto"/>
              <w:bottom w:val="single" w:sz="8" w:color="auto"/>
              <w:right w:val="single" w:sz="8" w:color="auto"/>
            </w:tcBorders>
          </w:tcPr>
          <w:p>
            <w:pPr>
              <w:ind w:left="3320"/>
              <w:spacing w:after="0"/>
              <w:rPr>
                <w:sz w:val="20"/>
                <w:szCs w:val="20"/>
                <w:color w:val="auto"/>
              </w:rPr>
            </w:pPr>
            <w:r>
              <w:rPr>
                <w:rFonts w:ascii="Times New Roman" w:cs="Times New Roman" w:eastAsia="Times New Roman" w:hAnsi="Times New Roman"/>
                <w:sz w:val="17"/>
                <w:szCs w:val="17"/>
                <w:b w:val="1"/>
                <w:bCs w:val="1"/>
                <w:color w:val="auto"/>
              </w:rPr>
              <w:t>Item</w:t>
            </w:r>
          </w:p>
        </w:tc>
        <w:tc>
          <w:tcPr>
            <w:tcW w:w="4260" w:type="dxa"/>
            <w:vAlign w:val="bottom"/>
            <w:tcBorders>
              <w:bottom w:val="single" w:sz="8" w:color="auto"/>
              <w:right w:val="single" w:sz="8" w:color="auto"/>
            </w:tcBorders>
          </w:tcPr>
          <w:p>
            <w:pPr>
              <w:jc w:val="right"/>
              <w:ind w:right="18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59"/>
        </w:trPr>
        <w:tc>
          <w:tcPr>
            <w:tcW w:w="6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Non-Executive Director Annual Cash Stipend</w:t>
            </w:r>
          </w:p>
        </w:tc>
        <w:tc>
          <w:tcPr>
            <w:tcW w:w="42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US$67,410</w:t>
            </w:r>
          </w:p>
        </w:tc>
      </w:tr>
      <w:tr>
        <w:trPr>
          <w:trHeight w:val="57"/>
        </w:trPr>
        <w:tc>
          <w:tcPr>
            <w:tcW w:w="698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bottom w:val="single" w:sz="8" w:color="auto"/>
              <w:right w:val="single" w:sz="8" w:color="auto"/>
            </w:tcBorders>
          </w:tcPr>
          <w:p>
            <w:pPr>
              <w:spacing w:after="0"/>
              <w:rPr>
                <w:sz w:val="4"/>
                <w:szCs w:val="4"/>
                <w:color w:val="auto"/>
              </w:rPr>
            </w:pPr>
          </w:p>
        </w:tc>
      </w:tr>
      <w:tr>
        <w:trPr>
          <w:trHeight w:val="259"/>
        </w:trPr>
        <w:tc>
          <w:tcPr>
            <w:tcW w:w="6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Board Chairman, Board Committee Chair and Lead Director Fee</w:t>
            </w:r>
          </w:p>
        </w:tc>
        <w:tc>
          <w:tcPr>
            <w:tcW w:w="42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US$11,235</w:t>
            </w:r>
          </w:p>
        </w:tc>
      </w:tr>
      <w:tr>
        <w:trPr>
          <w:trHeight w:val="57"/>
        </w:trPr>
        <w:tc>
          <w:tcPr>
            <w:tcW w:w="698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bottom w:val="single" w:sz="8" w:color="auto"/>
              <w:right w:val="single" w:sz="8" w:color="auto"/>
            </w:tcBorders>
          </w:tcPr>
          <w:p>
            <w:pPr>
              <w:spacing w:after="0"/>
              <w:rPr>
                <w:sz w:val="4"/>
                <w:szCs w:val="4"/>
                <w:color w:val="auto"/>
              </w:rPr>
            </w:pPr>
          </w:p>
        </w:tc>
      </w:tr>
      <w:tr>
        <w:trPr>
          <w:trHeight w:val="259"/>
        </w:trPr>
        <w:tc>
          <w:tcPr>
            <w:tcW w:w="69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Board Committee Non-Chair Fee</w:t>
            </w:r>
          </w:p>
        </w:tc>
        <w:tc>
          <w:tcPr>
            <w:tcW w:w="426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US$5,617.50</w:t>
            </w:r>
          </w:p>
        </w:tc>
      </w:tr>
      <w:tr>
        <w:trPr>
          <w:trHeight w:val="57"/>
        </w:trPr>
        <w:tc>
          <w:tcPr>
            <w:tcW w:w="698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bottom w:val="single" w:sz="8" w:color="auto"/>
              <w:right w:val="single" w:sz="8" w:color="auto"/>
            </w:tcBorders>
          </w:tcPr>
          <w:p>
            <w:pPr>
              <w:spacing w:after="0"/>
              <w:rPr>
                <w:sz w:val="4"/>
                <w:szCs w:val="4"/>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6"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Audit Committee is responsible for monitoring the Corporation’s accounting and financial reporting practices and procedures, the adequacy of internal accounting controls and procedures, the quality and integrity of financial statements and for directing the auditors’ examination of specific areas.</w:t>
      </w:r>
    </w:p>
    <w:p>
      <w:pPr>
        <w:spacing w:after="0" w:line="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The current members of the Audit Committee are Edith Hofmeister, Brian Howlett and Andres Finkielsztain. No member of the Audit Committee is an executive officer, employee, or control person of the Corporation or any of its affiliates and all are considered “independent” directors as defined in National Instrument 52-110 – </w:t>
      </w:r>
      <w:r>
        <w:rPr>
          <w:rFonts w:ascii="Times New Roman" w:cs="Times New Roman" w:eastAsia="Times New Roman" w:hAnsi="Times New Roman"/>
          <w:sz w:val="17"/>
          <w:szCs w:val="17"/>
          <w:i w:val="1"/>
          <w:iCs w:val="1"/>
          <w:color w:val="auto"/>
        </w:rPr>
        <w:t>Audit Committees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NI 52-110</w:t>
      </w:r>
      <w:r>
        <w:rPr>
          <w:rFonts w:ascii="Times New Roman" w:cs="Times New Roman" w:eastAsia="Times New Roman" w:hAnsi="Times New Roman"/>
          <w:sz w:val="17"/>
          <w:szCs w:val="17"/>
          <w:color w:val="auto"/>
        </w:rPr>
        <w:t>”). Each member of the Audit Committee is considered to be “financially literate” within the meaning of NI 52-110, which includes the ability to read and understand a set of financial statements that present a breadth and level of complexity of accounting issues that are generally comparable to the breadth and complexity of the Corporation’s financial statements. The full text of the charter of the Audit Committee (the “</w:t>
      </w:r>
      <w:r>
        <w:rPr>
          <w:rFonts w:ascii="Times New Roman" w:cs="Times New Roman" w:eastAsia="Times New Roman" w:hAnsi="Times New Roman"/>
          <w:sz w:val="17"/>
          <w:szCs w:val="17"/>
          <w:b w:val="1"/>
          <w:bCs w:val="1"/>
          <w:color w:val="auto"/>
        </w:rPr>
        <w:t>Audit Committee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Charter</w:t>
      </w:r>
      <w:r>
        <w:rPr>
          <w:rFonts w:ascii="Times New Roman" w:cs="Times New Roman" w:eastAsia="Times New Roman" w:hAnsi="Times New Roman"/>
          <w:sz w:val="17"/>
          <w:szCs w:val="17"/>
          <w:color w:val="auto"/>
        </w:rPr>
        <w:t>”) is attached as Schedule “A”. A copy of the Audit Committee Charter is also available on the Corporation’s website at Bitfarms -Audit-Committee-Charter and under the Corporation’s SEDAR+ profile at www.sedarplus.ca.</w:t>
      </w:r>
    </w:p>
    <w:p>
      <w:pPr>
        <w:spacing w:after="0" w:line="1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Corporation has filed an Annual Information Form (the “</w:t>
      </w:r>
      <w:r>
        <w:rPr>
          <w:rFonts w:ascii="Times New Roman" w:cs="Times New Roman" w:eastAsia="Times New Roman" w:hAnsi="Times New Roman"/>
          <w:sz w:val="17"/>
          <w:szCs w:val="17"/>
          <w:b w:val="1"/>
          <w:bCs w:val="1"/>
          <w:color w:val="auto"/>
        </w:rPr>
        <w:t>AIF</w:t>
      </w:r>
      <w:r>
        <w:rPr>
          <w:rFonts w:ascii="Times New Roman" w:cs="Times New Roman" w:eastAsia="Times New Roman" w:hAnsi="Times New Roman"/>
          <w:sz w:val="17"/>
          <w:szCs w:val="17"/>
          <w:color w:val="auto"/>
        </w:rPr>
        <w:t>”) for the fiscal year ended December 31, 2023, on SEDAR at www.sedarplus.ca and on EDGAR at www.sec.gov/EDGAR, which contains, among other things, all of the financial disclosure (including copies of the Financial Statements and Management’s Discussion and Analysis) required under NI 51-110. In particular, the information that is required to be disclosed in Form 51-110F1 of NI 51-110 may be found under the heading “Audit Committee” in the AIF.</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Relevant Education and Experience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relevant education and experience of each of the members of the Audit Committee is as follows:</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1380" w:type="dxa"/>
            <w:vAlign w:val="bottom"/>
            <w:tcBorders>
              <w:top w:val="single" w:sz="8" w:color="auto"/>
              <w:left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Name of Member</w:t>
            </w:r>
          </w:p>
        </w:tc>
        <w:tc>
          <w:tcPr>
            <w:tcW w:w="2240" w:type="dxa"/>
            <w:vAlign w:val="bottom"/>
            <w:tcBorders>
              <w:top w:val="single" w:sz="8" w:color="auto"/>
              <w:bottom w:val="single" w:sz="8" w:color="auto"/>
              <w:right w:val="single" w:sz="8" w:color="auto"/>
            </w:tcBorders>
          </w:tcPr>
          <w:p>
            <w:pPr>
              <w:ind w:left="740"/>
              <w:spacing w:after="0"/>
              <w:rPr>
                <w:sz w:val="20"/>
                <w:szCs w:val="20"/>
                <w:color w:val="auto"/>
              </w:rPr>
            </w:pPr>
            <w:r>
              <w:rPr>
                <w:rFonts w:ascii="Times New Roman" w:cs="Times New Roman" w:eastAsia="Times New Roman" w:hAnsi="Times New Roman"/>
                <w:sz w:val="17"/>
                <w:szCs w:val="17"/>
                <w:b w:val="1"/>
                <w:bCs w:val="1"/>
                <w:color w:val="auto"/>
              </w:rPr>
              <w:t>Education</w:t>
            </w:r>
          </w:p>
        </w:tc>
        <w:tc>
          <w:tcPr>
            <w:tcW w:w="7620" w:type="dxa"/>
            <w:vAlign w:val="bottom"/>
            <w:tcBorders>
              <w:top w:val="single" w:sz="8" w:color="auto"/>
              <w:bottom w:val="single" w:sz="8" w:color="auto"/>
              <w:right w:val="single" w:sz="8" w:color="auto"/>
            </w:tcBorders>
          </w:tcPr>
          <w:p>
            <w:pPr>
              <w:ind w:left="3400"/>
              <w:spacing w:after="0"/>
              <w:rPr>
                <w:sz w:val="20"/>
                <w:szCs w:val="20"/>
                <w:color w:val="auto"/>
              </w:rPr>
            </w:pPr>
            <w:r>
              <w:rPr>
                <w:rFonts w:ascii="Times New Roman" w:cs="Times New Roman" w:eastAsia="Times New Roman" w:hAnsi="Times New Roman"/>
                <w:sz w:val="17"/>
                <w:szCs w:val="17"/>
                <w:b w:val="1"/>
                <w:bCs w:val="1"/>
                <w:color w:val="auto"/>
              </w:rPr>
              <w:t>Experience</w:t>
            </w:r>
          </w:p>
        </w:tc>
      </w:tr>
      <w:tr>
        <w:trPr>
          <w:trHeight w:val="194"/>
        </w:trPr>
        <w:tc>
          <w:tcPr>
            <w:tcW w:w="1380" w:type="dxa"/>
            <w:vAlign w:val="bottom"/>
            <w:tcBorders>
              <w:left w:val="single" w:sz="8" w:color="auto"/>
              <w:right w:val="single" w:sz="8" w:color="auto"/>
            </w:tcBorders>
            <w:gridSpan w:val="2"/>
          </w:tcPr>
          <w:p>
            <w:pPr>
              <w:ind w:left="120"/>
              <w:spacing w:after="0" w:line="194" w:lineRule="exact"/>
              <w:rPr>
                <w:sz w:val="20"/>
                <w:szCs w:val="20"/>
                <w:color w:val="auto"/>
              </w:rPr>
            </w:pPr>
            <w:r>
              <w:rPr>
                <w:rFonts w:ascii="Times New Roman" w:cs="Times New Roman" w:eastAsia="Times New Roman" w:hAnsi="Times New Roman"/>
                <w:sz w:val="14"/>
                <w:szCs w:val="14"/>
                <w:color w:val="auto"/>
              </w:rPr>
              <w:t>Brian</w:t>
            </w:r>
            <w:r>
              <w:rPr>
                <w:rFonts w:ascii="Times New Roman" w:cs="Times New Roman" w:eastAsia="Times New Roman" w:hAnsi="Times New Roman"/>
                <w:sz w:val="22"/>
                <w:szCs w:val="22"/>
                <w:b w:val="1"/>
                <w:bCs w:val="1"/>
                <w:color w:val="auto"/>
                <w:vertAlign w:val="superscript"/>
              </w:rPr>
              <w:t>(1)</w:t>
            </w:r>
          </w:p>
        </w:tc>
        <w:tc>
          <w:tcPr>
            <w:tcW w:w="224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7"/>
                <w:szCs w:val="17"/>
                <w:color w:val="auto"/>
              </w:rPr>
              <w:t>Bachelor of Commerce from</w:t>
            </w:r>
          </w:p>
        </w:tc>
        <w:tc>
          <w:tcPr>
            <w:tcW w:w="7620" w:type="dxa"/>
            <w:vAlign w:val="bottom"/>
            <w:tcBorders>
              <w:right w:val="single" w:sz="8" w:color="auto"/>
            </w:tcBorders>
          </w:tcPr>
          <w:p>
            <w:pPr>
              <w:ind w:left="100"/>
              <w:spacing w:after="0" w:line="194" w:lineRule="exact"/>
              <w:rPr>
                <w:sz w:val="20"/>
                <w:szCs w:val="20"/>
                <w:color w:val="auto"/>
              </w:rPr>
            </w:pPr>
            <w:r>
              <w:rPr>
                <w:rFonts w:ascii="Times New Roman" w:cs="Times New Roman" w:eastAsia="Times New Roman" w:hAnsi="Times New Roman"/>
                <w:sz w:val="17"/>
                <w:szCs w:val="17"/>
                <w:color w:val="auto"/>
              </w:rPr>
              <w:t>Mr. Howlett serves as the Lead Director of the Corporation. Mr. Howlett is a seasoned professional with</w:t>
            </w:r>
          </w:p>
        </w:tc>
      </w:tr>
      <w:tr>
        <w:trPr>
          <w:trHeight w:val="207"/>
        </w:trPr>
        <w:tc>
          <w:tcPr>
            <w:tcW w:w="1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Howlett, CPA,</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Concordia University</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over thirty years of senior management experience. Mr. Howlett is currently the President, Chief Executive</w:t>
            </w:r>
          </w:p>
        </w:tc>
      </w:tr>
      <w:tr>
        <w:trPr>
          <w:trHeight w:val="207"/>
        </w:trPr>
        <w:tc>
          <w:tcPr>
            <w:tcW w:w="1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CMA</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(1982). CMA designation</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Officer and Director of Hemlo Explorers Inc. Mr. Howlett served on the board of Nighthawk Gold Corp</w:t>
            </w:r>
          </w:p>
        </w:tc>
      </w:tr>
      <w:tr>
        <w:trPr>
          <w:trHeight w:val="201"/>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(1989)</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from 2016 to 2024. Mr. Howlett formerly served as the President, Chief Executive Officer and a Director</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 Dundee Sustainable Technologies Inc. and as the President and CEO of Copper Road Resources Inc.</w:t>
            </w:r>
          </w:p>
        </w:tc>
      </w:tr>
      <w:tr>
        <w:trPr>
          <w:trHeight w:val="231"/>
        </w:trPr>
        <w:tc>
          <w:tcPr>
            <w:tcW w:w="40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(formerly ‘Stone Gold Inc.’.</w:t>
            </w:r>
          </w:p>
        </w:tc>
      </w:tr>
      <w:tr>
        <w:trPr>
          <w:trHeight w:val="189"/>
        </w:trPr>
        <w:tc>
          <w:tcPr>
            <w:tcW w:w="1380" w:type="dxa"/>
            <w:vAlign w:val="bottom"/>
            <w:tcBorders>
              <w:left w:val="single" w:sz="8" w:color="auto"/>
              <w:right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7"/>
                <w:szCs w:val="17"/>
                <w:color w:val="auto"/>
              </w:rPr>
              <w:t>Andres</w:t>
            </w:r>
          </w:p>
        </w:tc>
        <w:tc>
          <w:tcPr>
            <w:tcW w:w="22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Bachelor in Economics from</w:t>
            </w:r>
          </w:p>
        </w:tc>
        <w:tc>
          <w:tcPr>
            <w:tcW w:w="76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Mr. Finkielsztain serves as a Director of the Corporation. Mr. Finkielsztain is the Founding Managing</w:t>
            </w:r>
          </w:p>
        </w:tc>
      </w:tr>
      <w:tr>
        <w:trPr>
          <w:trHeight w:val="207"/>
        </w:trPr>
        <w:tc>
          <w:tcPr>
            <w:tcW w:w="1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Finkielsztain</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Bard College (1999), New</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Partner of FINK LLC, a private investment office specializing in private equity, real estate, media and</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York (1999)</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technology. He was also the co-head of the Special Situations division at Banco Industrial in Argentina,</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where he analyzed and provided financing solutions to Argentine-based companies and institutions from</w:t>
            </w:r>
          </w:p>
        </w:tc>
      </w:tr>
      <w:tr>
        <w:trPr>
          <w:trHeight w:val="205"/>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2017 to 2023. Mr. Finkielsztain previously served, until February 2018, as a financial advisor for Soros</w:t>
            </w:r>
          </w:p>
        </w:tc>
      </w:tr>
      <w:tr>
        <w:trPr>
          <w:trHeight w:val="209"/>
        </w:trPr>
        <w:tc>
          <w:tcPr>
            <w:tcW w:w="40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tcPr>
          <w:p>
            <w:pPr>
              <w:spacing w:after="0"/>
              <w:rPr>
                <w:sz w:val="18"/>
                <w:szCs w:val="18"/>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Brothers Investments (“</w:t>
            </w:r>
            <w:r>
              <w:rPr>
                <w:rFonts w:ascii="Times New Roman" w:cs="Times New Roman" w:eastAsia="Times New Roman" w:hAnsi="Times New Roman"/>
                <w:sz w:val="17"/>
                <w:szCs w:val="17"/>
                <w:b w:val="1"/>
                <w:bCs w:val="1"/>
                <w:color w:val="auto"/>
              </w:rPr>
              <w:t>SBI</w:t>
            </w:r>
            <w:r>
              <w:rPr>
                <w:rFonts w:ascii="Times New Roman" w:cs="Times New Roman" w:eastAsia="Times New Roman" w:hAnsi="Times New Roman"/>
                <w:sz w:val="17"/>
                <w:szCs w:val="17"/>
                <w:color w:val="auto"/>
              </w:rPr>
              <w:t>”), a private investment office founded in 2011 by Alexander and Gregory</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Soros, and as an analyst for Emerging Markets at Soros Fund Management LLC. Mr. Finkielsztain also</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worked at J.P. Morgan for over 10 years in various capacities within Asset Management, including the role</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 Global Investment Opportunity and Emerging Markets Specialist. Mr. Finkielsztain graduated with a</w:t>
            </w:r>
          </w:p>
        </w:tc>
      </w:tr>
      <w:tr>
        <w:trPr>
          <w:trHeight w:val="231"/>
        </w:trPr>
        <w:tc>
          <w:tcPr>
            <w:tcW w:w="40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BA in Economics from Bard College where he served as the President of a Latin American organization.</w:t>
            </w:r>
          </w:p>
        </w:tc>
      </w:tr>
      <w:tr>
        <w:trPr>
          <w:trHeight w:val="189"/>
        </w:trPr>
        <w:tc>
          <w:tcPr>
            <w:tcW w:w="1380" w:type="dxa"/>
            <w:vAlign w:val="bottom"/>
            <w:tcBorders>
              <w:left w:val="single" w:sz="8" w:color="auto"/>
              <w:right w:val="single" w:sz="8" w:color="auto"/>
            </w:tcBorders>
            <w:gridSpan w:val="2"/>
          </w:tcPr>
          <w:p>
            <w:pPr>
              <w:ind w:left="120"/>
              <w:spacing w:after="0" w:line="189" w:lineRule="exact"/>
              <w:rPr>
                <w:sz w:val="20"/>
                <w:szCs w:val="20"/>
                <w:color w:val="auto"/>
              </w:rPr>
            </w:pPr>
            <w:r>
              <w:rPr>
                <w:rFonts w:ascii="Times New Roman" w:cs="Times New Roman" w:eastAsia="Times New Roman" w:hAnsi="Times New Roman"/>
                <w:sz w:val="17"/>
                <w:szCs w:val="17"/>
                <w:color w:val="auto"/>
              </w:rPr>
              <w:t>Edith</w:t>
            </w:r>
          </w:p>
        </w:tc>
        <w:tc>
          <w:tcPr>
            <w:tcW w:w="22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Juris Doctor degree from</w:t>
            </w:r>
          </w:p>
        </w:tc>
        <w:tc>
          <w:tcPr>
            <w:tcW w:w="762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Ms. Hofmeister is an Attorney and C-suite executive who has advised large and small multi-national</w:t>
            </w:r>
          </w:p>
        </w:tc>
      </w:tr>
      <w:tr>
        <w:trPr>
          <w:trHeight w:val="207"/>
        </w:trPr>
        <w:tc>
          <w:tcPr>
            <w:tcW w:w="1380" w:type="dxa"/>
            <w:vAlign w:val="bottom"/>
            <w:tcBorders>
              <w:left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7"/>
                <w:szCs w:val="17"/>
                <w:color w:val="auto"/>
              </w:rPr>
              <w:t>Hofmeister</w:t>
            </w: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the University of San</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extractive companies on legal and ESG matters for over twenty years, where she reviewed and prepared</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Francisco</w:t>
            </w: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disclosure documents, led SEC communications, oversaw internal controls and SOX compliance, anti-</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corruption, whistleblower and governance programs and audits, and acted as corporate secretary to audit</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and risk committees of NYSE listed companies. She has also served as Executive Vice President Corporate</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Affairs and General Counsel for Tahoe Resources where she led the Legal, Sustainability and Government</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Affairs departments and helped grow Tahoe from a junior exploration company to a mid-cap precious</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metals producer from 2010 to 2019. Ms. Hofmeister also received a Bachelor of Arts degree in</w:t>
            </w:r>
          </w:p>
        </w:tc>
      </w:tr>
      <w:tr>
        <w:trPr>
          <w:trHeight w:val="207"/>
        </w:trPr>
        <w:tc>
          <w:tcPr>
            <w:tcW w:w="400" w:type="dxa"/>
            <w:vAlign w:val="bottom"/>
            <w:tcBorders>
              <w:lef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7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international relations from UCLA, a Juris Doctor Degree from University of San Francisco and a Master</w:t>
            </w:r>
          </w:p>
        </w:tc>
      </w:tr>
      <w:tr>
        <w:trPr>
          <w:trHeight w:val="231"/>
        </w:trPr>
        <w:tc>
          <w:tcPr>
            <w:tcW w:w="400" w:type="dxa"/>
            <w:vAlign w:val="bottom"/>
            <w:tcBorders>
              <w:left w:val="single" w:sz="8" w:color="auto"/>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76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of Arts degree in international studies from the University of Notre Dame.</w:t>
            </w:r>
          </w:p>
        </w:tc>
      </w:tr>
      <w:tr>
        <w:trPr>
          <w:trHeight w:val="310"/>
        </w:trPr>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Notes:</w:t>
            </w:r>
          </w:p>
        </w:tc>
        <w:tc>
          <w:tcPr>
            <w:tcW w:w="2240" w:type="dxa"/>
            <w:vAlign w:val="bottom"/>
          </w:tcPr>
          <w:p>
            <w:pPr>
              <w:spacing w:after="0"/>
              <w:rPr>
                <w:sz w:val="24"/>
                <w:szCs w:val="24"/>
                <w:color w:val="auto"/>
              </w:rPr>
            </w:pPr>
          </w:p>
        </w:tc>
        <w:tc>
          <w:tcPr>
            <w:tcW w:w="7620" w:type="dxa"/>
            <w:vAlign w:val="bottom"/>
          </w:tcPr>
          <w:p>
            <w:pPr>
              <w:spacing w:after="0"/>
              <w:rPr>
                <w:sz w:val="24"/>
                <w:szCs w:val="24"/>
                <w:color w:val="auto"/>
              </w:rPr>
            </w:pPr>
          </w:p>
        </w:tc>
      </w:tr>
      <w:tr>
        <w:trPr>
          <w:trHeight w:val="20"/>
        </w:trPr>
        <w:tc>
          <w:tcPr>
            <w:tcW w:w="400" w:type="dxa"/>
            <w:vAlign w:val="bottom"/>
            <w:tcBorders>
              <w:left w:val="single" w:sz="8" w:color="auto"/>
            </w:tcBorders>
            <w:shd w:val="clear" w:color="auto" w:fill="000000"/>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368"/>
        </w:trPr>
        <w:tc>
          <w:tcPr>
            <w:tcW w:w="36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(1) Chair of the Audit Committee</w:t>
            </w:r>
          </w:p>
        </w:tc>
        <w:tc>
          <w:tcPr>
            <w:tcW w:w="7620" w:type="dxa"/>
            <w:vAlign w:val="bottom"/>
          </w:tcPr>
          <w:p>
            <w:pPr>
              <w:spacing w:after="0"/>
              <w:rPr>
                <w:sz w:val="24"/>
                <w:szCs w:val="24"/>
                <w:color w:val="auto"/>
              </w:rPr>
            </w:pPr>
          </w:p>
        </w:tc>
      </w:tr>
      <w:tr>
        <w:trPr>
          <w:trHeight w:val="562"/>
        </w:trPr>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7"/>
                <w:szCs w:val="17"/>
                <w:color w:val="auto"/>
              </w:rPr>
              <w:t>-22-</w:t>
            </w:r>
          </w:p>
        </w:tc>
      </w:tr>
    </w:tbl>
    <w:p>
      <w:pPr>
        <w:sectPr>
          <w:pgSz w:w="11900" w:h="16838" w:orient="portrait"/>
          <w:cols w:equalWidth="0" w:num="1">
            <w:col w:w="11240"/>
          </w:cols>
          <w:pgMar w:left="320" w:top="26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Audit Committee Oversight</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Since the commencement of the Corporation’s most recently completed financial year, there has not been a recommendation of the Audit Committee to nominate or compensate an external auditor which was not adopted by the Board.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Policies and Procedures</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Audit Committee is required to pre-approve all audit and non-audit services not prohibited by law to be provided by the independent auditors of the Corporation.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External Auditor Service Fees</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following table provides details in respect of audit, audit related, tax and other fees billed by the Corporation’s external auditor during the fiscal years ended December 31, 2023 and December 31, 2022.</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85"/>
        </w:trPr>
        <w:tc>
          <w:tcPr>
            <w:tcW w:w="2840" w:type="dxa"/>
            <w:vAlign w:val="bottom"/>
            <w:tcBorders>
              <w:top w:val="single" w:sz="8" w:color="auto"/>
              <w:left w:val="single" w:sz="8" w:color="auto"/>
              <w:right w:val="single" w:sz="8" w:color="auto"/>
            </w:tcBorders>
          </w:tcPr>
          <w:p>
            <w:pPr>
              <w:spacing w:after="0"/>
              <w:rPr>
                <w:sz w:val="24"/>
                <w:szCs w:val="24"/>
                <w:color w:val="auto"/>
              </w:rPr>
            </w:pPr>
          </w:p>
        </w:tc>
        <w:tc>
          <w:tcPr>
            <w:tcW w:w="338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880" w:type="dxa"/>
            <w:vAlign w:val="bottom"/>
            <w:tcBorders>
              <w:top w:val="single" w:sz="8" w:color="auto"/>
              <w:right w:val="single" w:sz="8" w:color="auto"/>
            </w:tcBorders>
          </w:tcPr>
          <w:p>
            <w:pPr>
              <w:spacing w:after="0"/>
              <w:rPr>
                <w:sz w:val="24"/>
                <w:szCs w:val="24"/>
                <w:color w:val="auto"/>
              </w:rPr>
            </w:pPr>
          </w:p>
        </w:tc>
        <w:tc>
          <w:tcPr>
            <w:tcW w:w="4140" w:type="dxa"/>
            <w:vAlign w:val="bottom"/>
            <w:tcBorders>
              <w:top w:val="single" w:sz="8" w:color="auto"/>
              <w:right w:val="single" w:sz="8" w:color="auto"/>
            </w:tcBorders>
          </w:tcPr>
          <w:p>
            <w:pPr>
              <w:jc w:val="right"/>
              <w:ind w:right="834"/>
              <w:spacing w:after="0"/>
              <w:rPr>
                <w:sz w:val="20"/>
                <w:szCs w:val="20"/>
                <w:color w:val="auto"/>
              </w:rPr>
            </w:pPr>
            <w:r>
              <w:rPr>
                <w:rFonts w:ascii="Times New Roman" w:cs="Times New Roman" w:eastAsia="Times New Roman" w:hAnsi="Times New Roman"/>
                <w:sz w:val="17"/>
                <w:szCs w:val="17"/>
                <w:b w:val="1"/>
                <w:bCs w:val="1"/>
                <w:color w:val="auto"/>
              </w:rPr>
              <w:t>Year Ended December 31, 2022</w:t>
            </w:r>
          </w:p>
        </w:tc>
      </w:tr>
      <w:tr>
        <w:trPr>
          <w:trHeight w:val="57"/>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r>
      <w:tr>
        <w:trPr>
          <w:trHeight w:val="355"/>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33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$444,000</w:t>
            </w:r>
          </w:p>
        </w:tc>
        <w:tc>
          <w:tcPr>
            <w:tcW w:w="41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$651,000</w:t>
            </w:r>
          </w:p>
        </w:tc>
      </w:tr>
      <w:tr>
        <w:trPr>
          <w:trHeight w:val="355"/>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Audit Related Fees</w:t>
            </w:r>
            <w:r>
              <w:rPr>
                <w:rFonts w:ascii="Times New Roman" w:cs="Times New Roman" w:eastAsia="Times New Roman" w:hAnsi="Times New Roman"/>
                <w:sz w:val="28"/>
                <w:szCs w:val="28"/>
                <w:color w:val="auto"/>
                <w:vertAlign w:val="superscript"/>
              </w:rPr>
              <w:t>(2)</w:t>
            </w:r>
          </w:p>
        </w:tc>
        <w:tc>
          <w:tcPr>
            <w:tcW w:w="33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$287,000</w:t>
            </w:r>
          </w:p>
        </w:tc>
        <w:tc>
          <w:tcPr>
            <w:tcW w:w="41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$310,000</w:t>
            </w:r>
          </w:p>
        </w:tc>
      </w:tr>
      <w:tr>
        <w:trPr>
          <w:trHeight w:val="355"/>
        </w:trPr>
        <w:tc>
          <w:tcPr>
            <w:tcW w:w="28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8"/>
                <w:szCs w:val="28"/>
                <w:color w:val="auto"/>
                <w:vertAlign w:val="superscript"/>
              </w:rPr>
              <w:t>(3)</w:t>
            </w:r>
          </w:p>
        </w:tc>
        <w:tc>
          <w:tcPr>
            <w:tcW w:w="33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4140" w:type="dxa"/>
            <w:vAlign w:val="bottom"/>
            <w:tcBorders>
              <w:bottom w:val="single" w:sz="8" w:color="auto"/>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$23,000</w:t>
            </w:r>
          </w:p>
        </w:tc>
      </w:tr>
      <w:tr>
        <w:trPr>
          <w:trHeight w:val="259"/>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All Other Fees</w:t>
            </w:r>
          </w:p>
        </w:tc>
        <w:tc>
          <w:tcPr>
            <w:tcW w:w="3380" w:type="dxa"/>
            <w:vAlign w:val="bottom"/>
          </w:tcPr>
          <w:p>
            <w:pPr>
              <w:spacing w:after="0"/>
              <w:rPr>
                <w:sz w:val="22"/>
                <w:szCs w:val="22"/>
                <w:color w:val="auto"/>
              </w:rPr>
            </w:pPr>
          </w:p>
        </w:tc>
        <w:tc>
          <w:tcPr>
            <w:tcW w:w="8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c>
          <w:tcPr>
            <w:tcW w:w="41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Nil</w:t>
            </w:r>
          </w:p>
        </w:tc>
      </w:tr>
      <w:tr>
        <w:trPr>
          <w:trHeight w:val="57"/>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r>
      <w:tr>
        <w:trPr>
          <w:trHeight w:val="259"/>
        </w:trPr>
        <w:tc>
          <w:tcPr>
            <w:tcW w:w="2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3380" w:type="dxa"/>
            <w:vAlign w:val="bottom"/>
          </w:tcPr>
          <w:p>
            <w:pPr>
              <w:spacing w:after="0"/>
              <w:rPr>
                <w:sz w:val="22"/>
                <w:szCs w:val="22"/>
                <w:color w:val="auto"/>
              </w:rPr>
            </w:pPr>
          </w:p>
        </w:tc>
        <w:tc>
          <w:tcPr>
            <w:tcW w:w="88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$731,000</w:t>
            </w:r>
          </w:p>
        </w:tc>
        <w:tc>
          <w:tcPr>
            <w:tcW w:w="4140" w:type="dxa"/>
            <w:vAlign w:val="bottom"/>
            <w:tcBorders>
              <w:right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$984,000</w:t>
            </w:r>
          </w:p>
        </w:tc>
      </w:tr>
      <w:tr>
        <w:trPr>
          <w:trHeight w:val="57"/>
        </w:trPr>
        <w:tc>
          <w:tcPr>
            <w:tcW w:w="2840" w:type="dxa"/>
            <w:vAlign w:val="bottom"/>
            <w:tcBorders>
              <w:left w:val="single" w:sz="8" w:color="auto"/>
              <w:bottom w:val="single" w:sz="8" w:color="auto"/>
              <w:right w:val="single" w:sz="8" w:color="auto"/>
            </w:tcBorders>
          </w:tcPr>
          <w:p>
            <w:pPr>
              <w:spacing w:after="0"/>
              <w:rPr>
                <w:sz w:val="4"/>
                <w:szCs w:val="4"/>
                <w:color w:val="auto"/>
              </w:rPr>
            </w:pPr>
          </w:p>
        </w:tc>
        <w:tc>
          <w:tcPr>
            <w:tcW w:w="338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140" w:type="dxa"/>
            <w:vAlign w:val="bottom"/>
            <w:tcBorders>
              <w:bottom w:val="single" w:sz="8" w:color="auto"/>
              <w:right w:val="single" w:sz="8" w:color="auto"/>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ind w:left="620" w:hanging="617"/>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fees billed for professional services rendered by the auditor for the audit of the Corporation’s annual financial statements.</w:t>
      </w:r>
    </w:p>
    <w:p>
      <w:pPr>
        <w:spacing w:after="0" w:line="30" w:lineRule="exact"/>
        <w:rPr>
          <w:rFonts w:ascii="Times New Roman" w:cs="Times New Roman" w:eastAsia="Times New Roman" w:hAnsi="Times New Roman"/>
          <w:sz w:val="17"/>
          <w:szCs w:val="17"/>
          <w:color w:val="auto"/>
        </w:rPr>
      </w:pPr>
    </w:p>
    <w:p>
      <w:pPr>
        <w:ind w:left="620" w:hanging="617"/>
        <w:spacing w:after="0" w:line="254"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fees billed for professional services rendered by the auditor and consisted primarily of file quality review fees and fees for the review of quarterly financial statements and related documents.</w:t>
      </w:r>
    </w:p>
    <w:p>
      <w:pPr>
        <w:ind w:left="620" w:hanging="617"/>
        <w:spacing w:after="0" w:line="268"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fees billed for tax compliance, tax advice and tax planning professional services. These services included reviewing tax returns and assisting in responses to government tax authorities.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w:t>
      </w:r>
    </w:p>
    <w:p>
      <w:pPr>
        <w:spacing w:after="0" w:line="2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National Policy 58-201 – </w:t>
      </w:r>
      <w:r>
        <w:rPr>
          <w:rFonts w:ascii="Times New Roman" w:cs="Times New Roman" w:eastAsia="Times New Roman" w:hAnsi="Times New Roman"/>
          <w:sz w:val="17"/>
          <w:szCs w:val="17"/>
          <w:i w:val="1"/>
          <w:iCs w:val="1"/>
          <w:color w:val="auto"/>
        </w:rPr>
        <w:t>Corporate Governance Guidelines</w:t>
      </w:r>
      <w:r>
        <w:rPr>
          <w:rFonts w:ascii="Times New Roman" w:cs="Times New Roman" w:eastAsia="Times New Roman" w:hAnsi="Times New Roman"/>
          <w:sz w:val="17"/>
          <w:szCs w:val="17"/>
          <w:color w:val="auto"/>
        </w:rPr>
        <w:t xml:space="preserve"> of the Canadian Securities Administrators sets out a series of guidelines for effective corporate governance (the “</w:t>
      </w:r>
      <w:r>
        <w:rPr>
          <w:rFonts w:ascii="Times New Roman" w:cs="Times New Roman" w:eastAsia="Times New Roman" w:hAnsi="Times New Roman"/>
          <w:sz w:val="17"/>
          <w:szCs w:val="17"/>
          <w:b w:val="1"/>
          <w:bCs w:val="1"/>
          <w:color w:val="auto"/>
        </w:rPr>
        <w:t>Guidelines</w:t>
      </w:r>
      <w:r>
        <w:rPr>
          <w:rFonts w:ascii="Times New Roman" w:cs="Times New Roman" w:eastAsia="Times New Roman" w:hAnsi="Times New Roman"/>
          <w:sz w:val="17"/>
          <w:szCs w:val="17"/>
          <w:color w:val="auto"/>
        </w:rPr>
        <w:t xml:space="preserve">”). The Guidelines address matters such as the constitution and independence of corporate boards, the functions to be performed by boards and their committees and the effectiveness and education of board members. National Instrument 58-101 – </w:t>
      </w:r>
      <w:r>
        <w:rPr>
          <w:rFonts w:ascii="Times New Roman" w:cs="Times New Roman" w:eastAsia="Times New Roman" w:hAnsi="Times New Roman"/>
          <w:sz w:val="17"/>
          <w:szCs w:val="17"/>
          <w:i w:val="1"/>
          <w:iCs w:val="1"/>
          <w:color w:val="auto"/>
        </w:rPr>
        <w:t>Disclosure of Corporate Governance Practices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NI 58-101</w:t>
      </w:r>
      <w:r>
        <w:rPr>
          <w:rFonts w:ascii="Times New Roman" w:cs="Times New Roman" w:eastAsia="Times New Roman" w:hAnsi="Times New Roman"/>
          <w:sz w:val="17"/>
          <w:szCs w:val="17"/>
          <w:color w:val="auto"/>
        </w:rPr>
        <w:t>”) requires the disclosure by each listed corporation of its approach to corporate governance with reference to the Guidelines as it is recognized that the unique characteristics of individual corporations will result in varying degrees of compliance.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Set out below is a description of the Corporation’s approach to corporate governance in relation to the Guidelines.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NI 58-101 defines an “independent director” as a director who has no direct or indirect material relationship with the Corporation. A “material relationship” is in turn defined as a relationship which could, in the view of the Board, be reasonably expected to interfere with such member’s independent judgment.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is currently comprised of six (6) members, three (3) of whom the Board has determined to be “independent directors” within the meaning of NI 58-</w:t>
      </w:r>
    </w:p>
    <w:p>
      <w:pPr>
        <w:spacing w:after="0" w:line="30" w:lineRule="exact"/>
        <w:rPr>
          <w:sz w:val="20"/>
          <w:szCs w:val="20"/>
          <w:color w:val="auto"/>
        </w:rPr>
      </w:pPr>
    </w:p>
    <w:p>
      <w:pPr>
        <w:jc w:val="both"/>
        <w:ind w:firstLine="3"/>
        <w:spacing w:after="0" w:line="256" w:lineRule="auto"/>
        <w:tabs>
          <w:tab w:leader="none" w:pos="374"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Andres Finkielsztain, Edith Hofmeister and Brian Howlett are considered independent directors within the meaning of NI 58-101 since they are each independent of management and free from any material relationship with the Corporation. The basis for this determination is that, since the date of incorporation of the Corporation, none of the independent directors has worked for the Corporation, received remuneration from the Corporation or had material contracts with or material interests in the Corporation which could interfere with their ability to act with a view to the best interests of the Corporation. Nicolas Bonta is not considered an independent director because of his status as an officer of the Corporation and the professional fees he received, of more than $150,000, which ended on December 28, 2022.Emiliano Grodzki is not considered an independent director because of his previous status as Chief Executive Officer and the professional fees he received of more than $150,000, which ended on December 28, 2022.</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Nicolas Bonta serves as Chairman of the Board. The Chairman is responsible for providing leadership to enhance Board effectiveness and be explicitly accountable for ensuring that the Board carries out its responsibilities effectively, overseeing all aspects of its direction and administration, adopting procedures to ensure that the Board can conduct its work effectively and efficiently, responding to conflict of interest situation, managing relations with external stakeholders and facilitating effective communication with independent directors and management. In the event that the Chairman is not an independent director, the Board is required to appoint an independent Lead Director to perform the duties of the Chairman required to be performed by an independent director. The Board has appointed Brian Howlett as its independent Lead Director.</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 xml:space="preserve">The Board functions independently of management. When appropriate, the Board and the Committees of the Board may meet in the absence of members of management, or the independent directors may hold </w:t>
      </w:r>
      <w:r>
        <w:rPr>
          <w:rFonts w:ascii="Times New Roman" w:cs="Times New Roman" w:eastAsia="Times New Roman" w:hAnsi="Times New Roman"/>
          <w:sz w:val="17"/>
          <w:szCs w:val="17"/>
          <w:i w:val="1"/>
          <w:iCs w:val="1"/>
          <w:color w:val="auto"/>
        </w:rPr>
        <w:t>in camera</w:t>
      </w:r>
      <w:r>
        <w:rPr>
          <w:rFonts w:ascii="Times New Roman" w:cs="Times New Roman" w:eastAsia="Times New Roman" w:hAnsi="Times New Roman"/>
          <w:sz w:val="17"/>
          <w:szCs w:val="17"/>
          <w:color w:val="auto"/>
        </w:rPr>
        <w:t xml:space="preserve"> sessions at which neither the former executive directors, not yet considered independent, nor the officers of the Corporation are in attendance. The Compensation Committee is composed by a majority of independent directors who hold meetings from time to time and makes recommendations to the Board on matters pertaining to their mandate.</w:t>
      </w:r>
    </w:p>
    <w:p>
      <w:pPr>
        <w:spacing w:after="0" w:line="1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Board has adopted a written mandate, a copy of which is available on the Corporation’s website at www.bitfarms.com and under the Corporation’s SEDAR+ profile at www.sedarplus.ca. The Board has not adopted written position descriptions for the Chair of the Board or the committee chairs on the basis that the roles are well understood by all of the directors. The Board has also not adopted a written position description for the Chief Executive Officer on the same basis, however, the Board has developed corporate goals and objectives for the Chief Executive Officer by setting out key responsibilities.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Directorships</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Certain of the directors and proposed directors of the Corporation are also current directors of other reporting issuers (or equivalent) in a jurisdiction or a foreign jurisdiction as follows: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160" w:type="dxa"/>
            <w:vAlign w:val="bottom"/>
            <w:tcBorders>
              <w:top w:val="single" w:sz="8" w:color="auto"/>
              <w:left w:val="single" w:sz="8" w:color="auto"/>
              <w:right w:val="single" w:sz="8" w:color="auto"/>
            </w:tcBorders>
          </w:tcPr>
          <w:p>
            <w:pPr>
              <w:spacing w:after="0"/>
              <w:rPr>
                <w:sz w:val="18"/>
                <w:szCs w:val="18"/>
                <w:color w:val="auto"/>
              </w:rPr>
            </w:pPr>
          </w:p>
        </w:tc>
        <w:tc>
          <w:tcPr>
            <w:tcW w:w="4040" w:type="dxa"/>
            <w:vAlign w:val="bottom"/>
            <w:tcBorders>
              <w:top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7"/>
                <w:szCs w:val="17"/>
                <w:b w:val="1"/>
                <w:bCs w:val="1"/>
                <w:color w:val="auto"/>
              </w:rPr>
              <w:t>Other reporting issuer</w:t>
            </w:r>
          </w:p>
        </w:tc>
        <w:tc>
          <w:tcPr>
            <w:tcW w:w="5040" w:type="dxa"/>
            <w:vAlign w:val="bottom"/>
            <w:tcBorders>
              <w:top w:val="single" w:sz="8" w:color="auto"/>
              <w:right w:val="single" w:sz="8" w:color="auto"/>
            </w:tcBorders>
          </w:tcPr>
          <w:p>
            <w:pPr>
              <w:spacing w:after="0"/>
              <w:rPr>
                <w:sz w:val="18"/>
                <w:szCs w:val="18"/>
                <w:color w:val="auto"/>
              </w:rPr>
            </w:pPr>
          </w:p>
        </w:tc>
      </w:tr>
      <w:tr>
        <w:trPr>
          <w:trHeight w:val="233"/>
        </w:trPr>
        <w:tc>
          <w:tcPr>
            <w:tcW w:w="2160" w:type="dxa"/>
            <w:vAlign w:val="bottom"/>
            <w:tcBorders>
              <w:left w:val="single" w:sz="8" w:color="auto"/>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7"/>
                <w:szCs w:val="17"/>
                <w:b w:val="1"/>
                <w:bCs w:val="1"/>
                <w:color w:val="auto"/>
              </w:rPr>
              <w:t>Name of Director</w:t>
            </w:r>
          </w:p>
        </w:tc>
        <w:tc>
          <w:tcPr>
            <w:tcW w:w="404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rPr>
              <w:t>(or equivalent in a foreign jurisdiction)</w:t>
            </w:r>
          </w:p>
        </w:tc>
        <w:tc>
          <w:tcPr>
            <w:tcW w:w="5040" w:type="dxa"/>
            <w:vAlign w:val="bottom"/>
            <w:tcBorders>
              <w:bottom w:val="single" w:sz="8" w:color="auto"/>
              <w:right w:val="single" w:sz="8" w:color="auto"/>
            </w:tcBorders>
          </w:tcPr>
          <w:p>
            <w:pPr>
              <w:ind w:left="1920"/>
              <w:spacing w:after="0"/>
              <w:rPr>
                <w:sz w:val="20"/>
                <w:szCs w:val="20"/>
                <w:color w:val="auto"/>
              </w:rPr>
            </w:pPr>
            <w:r>
              <w:rPr>
                <w:rFonts w:ascii="Times New Roman" w:cs="Times New Roman" w:eastAsia="Times New Roman" w:hAnsi="Times New Roman"/>
                <w:sz w:val="17"/>
                <w:szCs w:val="17"/>
                <w:b w:val="1"/>
                <w:bCs w:val="1"/>
                <w:color w:val="auto"/>
              </w:rPr>
              <w:t>Trading Market</w:t>
            </w: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Nicolas Bonta</w:t>
            </w:r>
          </w:p>
        </w:tc>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w:t>
            </w:r>
          </w:p>
        </w:tc>
        <w:tc>
          <w:tcPr>
            <w:tcW w:w="5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w:t>
            </w:r>
          </w:p>
        </w:tc>
      </w:tr>
      <w:tr>
        <w:trPr>
          <w:trHeight w:val="189"/>
        </w:trPr>
        <w:tc>
          <w:tcPr>
            <w:tcW w:w="216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7"/>
                <w:szCs w:val="17"/>
                <w:color w:val="auto"/>
              </w:rPr>
              <w:t>Andres Finkielsztain</w:t>
            </w:r>
          </w:p>
        </w:tc>
        <w:tc>
          <w:tcPr>
            <w:tcW w:w="40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Goldmoney Inc.</w:t>
            </w:r>
          </w:p>
        </w:tc>
        <w:tc>
          <w:tcPr>
            <w:tcW w:w="50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TSX: XAU</w:t>
            </w:r>
          </w:p>
        </w:tc>
      </w:tr>
      <w:tr>
        <w:trPr>
          <w:trHeight w:val="231"/>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Mene Inc.</w:t>
            </w:r>
          </w:p>
        </w:tc>
        <w:tc>
          <w:tcPr>
            <w:tcW w:w="5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TSXV: MENE and USA (OTC): MENEF</w:t>
            </w:r>
          </w:p>
        </w:tc>
      </w:tr>
      <w:tr>
        <w:trPr>
          <w:trHeight w:val="213"/>
        </w:trPr>
        <w:tc>
          <w:tcPr>
            <w:tcW w:w="21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Emiliano J. Grodzki</w:t>
            </w:r>
          </w:p>
        </w:tc>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w:t>
            </w:r>
          </w:p>
        </w:tc>
        <w:tc>
          <w:tcPr>
            <w:tcW w:w="5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N/A</w:t>
            </w:r>
          </w:p>
        </w:tc>
      </w:tr>
      <w:tr>
        <w:trPr>
          <w:trHeight w:val="189"/>
        </w:trPr>
        <w:tc>
          <w:tcPr>
            <w:tcW w:w="2160" w:type="dxa"/>
            <w:vAlign w:val="bottom"/>
            <w:tcBorders>
              <w:left w:val="single" w:sz="8" w:color="auto"/>
              <w:right w:val="single" w:sz="8" w:color="auto"/>
            </w:tcBorders>
          </w:tcPr>
          <w:p>
            <w:pPr>
              <w:ind w:left="120"/>
              <w:spacing w:after="0" w:line="189" w:lineRule="exact"/>
              <w:rPr>
                <w:sz w:val="20"/>
                <w:szCs w:val="20"/>
                <w:color w:val="auto"/>
              </w:rPr>
            </w:pPr>
            <w:r>
              <w:rPr>
                <w:rFonts w:ascii="Times New Roman" w:cs="Times New Roman" w:eastAsia="Times New Roman" w:hAnsi="Times New Roman"/>
                <w:sz w:val="17"/>
                <w:szCs w:val="17"/>
                <w:color w:val="auto"/>
              </w:rPr>
              <w:t>Edith Hofmeister</w:t>
            </w:r>
          </w:p>
        </w:tc>
        <w:tc>
          <w:tcPr>
            <w:tcW w:w="40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7"/>
                <w:szCs w:val="17"/>
                <w:color w:val="auto"/>
              </w:rPr>
              <w:t>STLLR Gold Inc.</w:t>
            </w:r>
          </w:p>
        </w:tc>
        <w:tc>
          <w:tcPr>
            <w:tcW w:w="5040" w:type="dxa"/>
            <w:vAlign w:val="bottom"/>
            <w:tcBorders>
              <w:right w:val="single" w:sz="8" w:color="auto"/>
            </w:tcBorders>
          </w:tcPr>
          <w:p>
            <w:pPr>
              <w:spacing w:after="0"/>
              <w:rPr>
                <w:sz w:val="16"/>
                <w:szCs w:val="16"/>
                <w:color w:val="auto"/>
              </w:rPr>
            </w:pPr>
          </w:p>
        </w:tc>
      </w:tr>
      <w:tr>
        <w:trPr>
          <w:trHeight w:val="207"/>
        </w:trPr>
        <w:tc>
          <w:tcPr>
            <w:tcW w:w="2160" w:type="dxa"/>
            <w:vAlign w:val="bottom"/>
            <w:tcBorders>
              <w:left w:val="single" w:sz="8" w:color="auto"/>
              <w:right w:val="single" w:sz="8" w:color="auto"/>
            </w:tcBorders>
          </w:tcPr>
          <w:p>
            <w:pPr>
              <w:spacing w:after="0"/>
              <w:rPr>
                <w:sz w:val="17"/>
                <w:szCs w:val="17"/>
                <w:color w:val="auto"/>
              </w:rPr>
            </w:pPr>
          </w:p>
        </w:tc>
        <w:tc>
          <w:tcPr>
            <w:tcW w:w="4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Osisko Gold Royalties</w:t>
            </w:r>
          </w:p>
        </w:tc>
        <w:tc>
          <w:tcPr>
            <w:tcW w:w="5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TSX: OR and NYSE: OR</w:t>
            </w:r>
          </w:p>
        </w:tc>
      </w:tr>
      <w:tr>
        <w:trPr>
          <w:trHeight w:val="231"/>
        </w:trPr>
        <w:tc>
          <w:tcPr>
            <w:tcW w:w="2160" w:type="dxa"/>
            <w:vAlign w:val="bottom"/>
            <w:tcBorders>
              <w:left w:val="single" w:sz="8" w:color="auto"/>
              <w:bottom w:val="single" w:sz="8" w:color="auto"/>
              <w:right w:val="single" w:sz="8" w:color="auto"/>
            </w:tcBorders>
          </w:tcPr>
          <w:p>
            <w:pPr>
              <w:spacing w:after="0"/>
              <w:rPr>
                <w:sz w:val="20"/>
                <w:szCs w:val="20"/>
                <w:color w:val="auto"/>
              </w:rPr>
            </w:pPr>
          </w:p>
        </w:tc>
        <w:tc>
          <w:tcPr>
            <w:tcW w:w="4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Prime Mining Corp.</w:t>
            </w:r>
          </w:p>
        </w:tc>
        <w:tc>
          <w:tcPr>
            <w:tcW w:w="50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TSX.V: PRYM / OTCQX: PRMNF / FRA: O4V3</w:t>
            </w:r>
          </w:p>
        </w:tc>
      </w:tr>
      <w:tr>
        <w:trPr>
          <w:trHeight w:val="226"/>
        </w:trPr>
        <w:tc>
          <w:tcPr>
            <w:tcW w:w="21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Brian Howlett</w:t>
            </w:r>
          </w:p>
        </w:tc>
        <w:tc>
          <w:tcPr>
            <w:tcW w:w="4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Hemlo Explorers Inc.</w:t>
            </w:r>
          </w:p>
        </w:tc>
        <w:tc>
          <w:tcPr>
            <w:tcW w:w="50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TSXV: HMLO</w:t>
            </w:r>
          </w:p>
        </w:tc>
      </w:tr>
      <w:tr>
        <w:trPr>
          <w:trHeight w:val="194"/>
        </w:trPr>
        <w:tc>
          <w:tcPr>
            <w:tcW w:w="2160" w:type="dxa"/>
            <w:vAlign w:val="bottom"/>
            <w:tcBorders>
              <w:left w:val="single" w:sz="8" w:color="auto"/>
              <w:bottom w:val="single" w:sz="8" w:color="auto"/>
              <w:right w:val="single" w:sz="8" w:color="auto"/>
            </w:tcBorders>
          </w:tcPr>
          <w:p>
            <w:pPr>
              <w:spacing w:after="0"/>
              <w:rPr>
                <w:sz w:val="16"/>
                <w:szCs w:val="16"/>
                <w:color w:val="auto"/>
              </w:rPr>
            </w:pPr>
          </w:p>
        </w:tc>
        <w:tc>
          <w:tcPr>
            <w:tcW w:w="4040" w:type="dxa"/>
            <w:vAlign w:val="bottom"/>
            <w:tcBorders>
              <w:bottom w:val="single" w:sz="8" w:color="auto"/>
              <w:right w:val="single" w:sz="8" w:color="auto"/>
            </w:tcBorders>
          </w:tcPr>
          <w:p>
            <w:pPr>
              <w:spacing w:after="0"/>
              <w:rPr>
                <w:sz w:val="16"/>
                <w:szCs w:val="16"/>
                <w:color w:val="auto"/>
              </w:rPr>
            </w:pPr>
          </w:p>
        </w:tc>
        <w:tc>
          <w:tcPr>
            <w:tcW w:w="5040" w:type="dxa"/>
            <w:vAlign w:val="bottom"/>
            <w:tcBorders>
              <w:bottom w:val="single" w:sz="8" w:color="auto"/>
              <w:right w:val="single" w:sz="8" w:color="auto"/>
            </w:tcBorders>
          </w:tcPr>
          <w:p>
            <w:pPr>
              <w:spacing w:after="0"/>
              <w:rPr>
                <w:sz w:val="16"/>
                <w:szCs w:val="16"/>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refer to “</w:t>
      </w:r>
      <w:r>
        <w:rPr>
          <w:rFonts w:ascii="Times New Roman" w:cs="Times New Roman" w:eastAsia="Times New Roman" w:hAnsi="Times New Roman"/>
          <w:sz w:val="17"/>
          <w:szCs w:val="17"/>
          <w:i w:val="1"/>
          <w:iCs w:val="1"/>
          <w:color w:val="auto"/>
        </w:rPr>
        <w:t>Business of the Meeting – Election of Directors”.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Orientation and Continuing Education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participated in a number of continuing education sessions during the year, including the topics of 1) SOX compliance presented by its audit firm, PWC;</w:t>
      </w:r>
    </w:p>
    <w:p>
      <w:pPr>
        <w:spacing w:after="0" w:line="30" w:lineRule="exact"/>
        <w:rPr>
          <w:sz w:val="20"/>
          <w:szCs w:val="20"/>
          <w:color w:val="auto"/>
        </w:rPr>
      </w:pPr>
    </w:p>
    <w:p>
      <w:pPr>
        <w:jc w:val="both"/>
        <w:ind w:firstLine="3"/>
        <w:spacing w:after="0" w:line="255" w:lineRule="auto"/>
        <w:tabs>
          <w:tab w:leader="none" w:pos="187"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finance and M&amp;A trends presented by banks, and 3) numerous presentations by Ernst and Young in which the directors learned about key ESG trends, risks and best practices in the crypto currency industry. The Board of Directors also conducted an operational visit to the Company’s bitcoin mining sites in Sout America during the fall of 2023 as part of their ongoing continuing education. The visit allowed the Board Members to gain firsthand knowledge of the Corporation’s operations, challenges, and opportunities in the region. By engaging directly with the local management teams and observing the mining processes, the Board was able to enhance their understanding of the business and make more informed decisions to support the Corporation’s strategic objectives. These are part of the formal orientation and education program for new and existing Board members. In addition, information (such as recent financial statements, annual information form, and various other operating, property and budget reports) is provided to new Board members to ensure that new directors are familiarized with the Corporation’s business and the procedures of the Board. Directors also visit and meet with management on a regular basis, and new directors receive a copy of the Corporation’s Corporate Governance policies to familiarize themselves with the Corporation’s rules and procedures. The Corporation encourages continuing education of its directors and officers, where appropriate, in order to ensure that they have the necessary skills and knowledge to meet their respective obligations towards the Corporation. The Board’s continuing education also includes meetings with the Corporation’s legal counsel to remain up to date with developments in relevant corporate and securities law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Ethical Business Conduct</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Board has adopted a written code of business conduct and ethics (the “Code of Business Conduct and Ethics”) to encourage and promote a culture of ethical business conduct amongst the directors, officers, employees and consultants of the corporation. The Code of Business Conduct and Ethics is available on the Corporation’s website at www.bitfarms.com, and copies are available upon written request from the Vice President and Corporate Secretary of the Corporation at legal@bitfarms.com. The Board is responsible for ensuring compliance with the Code of Business Conduct and Ethics. There have been no departures therefrom since its adoption.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In addition to the Corporation’s Code of Business Conduct and Ethics, the Board has adopted a series of corporate policies which include a Securities Trading Policy, a Disclosure and Confidentiality Policy, an Anti-Bribery and Anti-Corruption Policy, and a Whistleblower Policy. The Board also relies on director adherence to the fiduciary duties placed on individual directors by the Corporation’s governing corporate legislation and the common law and the restrictions placed by applicable corporate legislation on an individual director’s participation in decisions of the Board in which the director has an interest will ensure that the Board operates independently of management and in the best interests of the Corporation.</w:t>
      </w:r>
    </w:p>
    <w:p>
      <w:pPr>
        <w:spacing w:after="0" w:line="17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Under corporate legislation, a director is required to act honestly and in good faith with a view to the best interests of the Corporation and to exercise the care, diligence and skill that a reasonably prudent person would exercise in comparable circumstances. In addition, as some of the directors and proposed directors of the Corporation also serve as directors and officers of other companies engaged in similar business activities, directors must comply with the conflict of interest provisions of the OBCA, as well as the relevant securities regulatory instruments, in order to ensure that directors exercise independent judgment in considering transactions and agreements in respect of which a director or officer has a material interest.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0" w:name="page31"/>
    <w:bookmarkEnd w:id="30"/>
    <w:p>
      <w:pPr>
        <w:jc w:val="both"/>
        <w:spacing w:after="0" w:line="291" w:lineRule="auto"/>
        <w:rPr>
          <w:sz w:val="20"/>
          <w:szCs w:val="20"/>
          <w:color w:val="auto"/>
        </w:rPr>
      </w:pPr>
      <w:r>
        <w:rPr>
          <w:rFonts w:ascii="Times New Roman" w:cs="Times New Roman" w:eastAsia="Times New Roman" w:hAnsi="Times New Roman"/>
          <w:sz w:val="17"/>
          <w:szCs w:val="17"/>
          <w:color w:val="auto"/>
        </w:rPr>
        <w:t>Any interested director will be required to declare the nature and extent of his or her interest and will not be entitled to vote at meetings of directors at which matters that give rise to such a conflict of interest are considered.</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copy of the Corporation’s Code of Business Conduct and Ethics is available on the Corporation’s website at www.bitfarms.com, and under the Corporation’s SEDAR+ profile at www.sedarplus.ca. The Corporation believes that it has adopted corporate governance procedures and policies that encourage ethical behaviour by directors, officers and employees.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currently has four committees:</w:t>
      </w:r>
    </w:p>
    <w:p>
      <w:pPr>
        <w:spacing w:after="0" w:line="218" w:lineRule="exact"/>
        <w:rPr>
          <w:sz w:val="20"/>
          <w:szCs w:val="20"/>
          <w:color w:val="auto"/>
        </w:rPr>
      </w:pPr>
    </w:p>
    <w:p>
      <w:pPr>
        <w:ind w:left="620" w:hanging="306"/>
        <w:spacing w:after="0"/>
        <w:tabs>
          <w:tab w:leader="none" w:pos="620" w:val="left"/>
        </w:tabs>
        <w:numPr>
          <w:ilvl w:val="0"/>
          <w:numId w:val="3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Audit Committee;</w:t>
      </w:r>
    </w:p>
    <w:p>
      <w:pPr>
        <w:spacing w:after="0" w:line="244" w:lineRule="exact"/>
        <w:rPr>
          <w:rFonts w:ascii="Wingdings" w:cs="Wingdings" w:eastAsia="Wingdings" w:hAnsi="Wingdings"/>
          <w:sz w:val="17"/>
          <w:szCs w:val="17"/>
          <w:b w:val="1"/>
          <w:bCs w:val="1"/>
          <w:color w:val="auto"/>
        </w:rPr>
      </w:pPr>
    </w:p>
    <w:p>
      <w:pPr>
        <w:ind w:left="620" w:hanging="306"/>
        <w:spacing w:after="0"/>
        <w:tabs>
          <w:tab w:leader="none" w:pos="620" w:val="left"/>
        </w:tabs>
        <w:numPr>
          <w:ilvl w:val="0"/>
          <w:numId w:val="3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Governance and Nominating Committee;</w:t>
      </w:r>
    </w:p>
    <w:p>
      <w:pPr>
        <w:spacing w:after="0" w:line="244" w:lineRule="exact"/>
        <w:rPr>
          <w:rFonts w:ascii="Wingdings" w:cs="Wingdings" w:eastAsia="Wingdings" w:hAnsi="Wingdings"/>
          <w:sz w:val="17"/>
          <w:szCs w:val="17"/>
          <w:b w:val="1"/>
          <w:bCs w:val="1"/>
          <w:color w:val="auto"/>
        </w:rPr>
      </w:pPr>
    </w:p>
    <w:p>
      <w:pPr>
        <w:ind w:left="620" w:hanging="306"/>
        <w:spacing w:after="0"/>
        <w:tabs>
          <w:tab w:leader="none" w:pos="620" w:val="left"/>
        </w:tabs>
        <w:numPr>
          <w:ilvl w:val="0"/>
          <w:numId w:val="3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Compensation Committee; and</w:t>
      </w:r>
    </w:p>
    <w:p>
      <w:pPr>
        <w:spacing w:after="0" w:line="244" w:lineRule="exact"/>
        <w:rPr>
          <w:rFonts w:ascii="Wingdings" w:cs="Wingdings" w:eastAsia="Wingdings" w:hAnsi="Wingdings"/>
          <w:sz w:val="17"/>
          <w:szCs w:val="17"/>
          <w:b w:val="1"/>
          <w:bCs w:val="1"/>
          <w:color w:val="auto"/>
        </w:rPr>
      </w:pPr>
    </w:p>
    <w:p>
      <w:pPr>
        <w:ind w:left="620" w:hanging="306"/>
        <w:spacing w:after="0"/>
        <w:tabs>
          <w:tab w:leader="none" w:pos="620" w:val="left"/>
        </w:tabs>
        <w:numPr>
          <w:ilvl w:val="0"/>
          <w:numId w:val="35"/>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Environmental and Social Responsibility Committee.</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members of the Audit Committee are provided in this Circular under the heading “</w:t>
      </w: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color w:val="auto"/>
        </w:rPr>
        <w:t xml:space="preserve"> above, and the members of the other committees are provided below. The Board has adopted the Audit Committee Charter, which is attached as Schedule “A” to this Circular. Copies of the charters for the other Board committees are available on the Corporation’s website at www.bitfarms.com.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Nominating Committee</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Governance and Nominating Committee is responsible for: (i) assisting management in developing responsible corporate governance policies and practices for the Corporation; (ii) overseeing adherence to corporate governance rules, policies and principles; (iii) identifying individuals qualified to be nominated as members of the Board; (iv) the structure and composition of Board committees; (v) evaluating the performance and effectiveness of the Board and its committees; and (vi) overseeing compliance with the Corporation’s Code of Business Conduct and Ethics. The current members of the Governance and Nominating Committee are Edith Hofmeister (Chair), Andres Finkielsztain, Emiliano Grodzki, and Brian Howlett.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Corporation’s Compensation Committee is responsible for ensuring that the Corporation has in place an appropriate plan for executive compensation and for making recommendations with respect to the compensation of the Board and the Corporation’s executive officers. The Board ensures that compensation paid to named executive officers (NEOs) and executives is fair, reasonable, and consistent with the Corporation’s compensation policies and best practices.</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current members of the Compensation Committee are Andres Finkielsztain (Chair), Brian Howlett and Emiliano Grodzki. The strategy of the Compensation Committee is described further in the “</w:t>
      </w:r>
      <w:r>
        <w:rPr>
          <w:rFonts w:ascii="Times New Roman" w:cs="Times New Roman" w:eastAsia="Times New Roman" w:hAnsi="Times New Roman"/>
          <w:sz w:val="17"/>
          <w:szCs w:val="17"/>
          <w:i w:val="1"/>
          <w:iCs w:val="1"/>
          <w:color w:val="auto"/>
        </w:rPr>
        <w:t>Statement of Executive Compensation”</w:t>
      </w:r>
      <w:r>
        <w:rPr>
          <w:rFonts w:ascii="Times New Roman" w:cs="Times New Roman" w:eastAsia="Times New Roman" w:hAnsi="Times New Roman"/>
          <w:sz w:val="17"/>
          <w:szCs w:val="17"/>
          <w:color w:val="auto"/>
        </w:rPr>
        <w:t xml:space="preserve"> section above.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Environmental and Social Responsibility Committee</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has recently created an Environmental and Social Responsibility Committee, which is responsible for assisting the Board in overseeing the Corporation’s programs, policies and practices relating to health and safety, environmental sustainability and corporate social responsibility. The current members of the Environmental and Social Responsibility Committee are Edith Hofmeister (Chair), Emiliano Grodzki, and Brian Howlett.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Board Committees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has no committees other than those discussed above. The Board may establish additional committees depending on the needs of the Corporation.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Assessments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Board assesses, on an annual basis, the contributions of the Board as a whole and each of the individual directors in order to determine whether each is functioning effectively. The Board satisfies itself that the Board, its committees, and its individual directors are performing effectively through ongoing informal assessments made and discussed at the meetings of the Board. The Board has also implemented a formal evaluation procedure whereby each director is required to fill out a skills and experience matrix pertaining to, among other things, the skills and experience of the director, and the performance of the director and the Board as a whole. The skills and experience matrix allows the Board to identify gaps in experience or skills on the Board and assists the Governance and Nominating Committee in making recommendations to the Board. The Board will also from time to time assess its policies, procedures and guidelines to ensure that they remain current and relevant.</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Board Renewal &amp; Diversity</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Corporation recognizes the benefits of promoting diversity among its employees, management team and Board of Directors to enhance organisational strength, problem solving ability and opportunity for innovation.</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is working to put programs in place to improve its representation and retention of women and other underrepresented groups. On February 17, 2022, the Corporation adopted a written corporate diversity policy (the “</w:t>
      </w:r>
      <w:r>
        <w:rPr>
          <w:rFonts w:ascii="Times New Roman" w:cs="Times New Roman" w:eastAsia="Times New Roman" w:hAnsi="Times New Roman"/>
          <w:sz w:val="17"/>
          <w:szCs w:val="17"/>
          <w:b w:val="1"/>
          <w:bCs w:val="1"/>
          <w:color w:val="auto"/>
        </w:rPr>
        <w:t>Diversity Policy</w:t>
      </w:r>
      <w:r>
        <w:rPr>
          <w:rFonts w:ascii="Times New Roman" w:cs="Times New Roman" w:eastAsia="Times New Roman" w:hAnsi="Times New Roman"/>
          <w:sz w:val="17"/>
          <w:szCs w:val="17"/>
          <w:color w:val="auto"/>
        </w:rPr>
        <w:t>”) that sets out the Corporation’s objectives for shaping the composition of its Board, its workforce and management.</w:t>
      </w:r>
    </w:p>
    <w:p>
      <w:pPr>
        <w:spacing w:after="0" w:line="1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The Corporation’s current senior management and Board are composed of professionals from varying backgrounds and expertise and were selected on the belief that the Corporation and its stakeholders would benefit from such a broad range of talent and cumulative experience. Management periodically reviews the Corporation’s recruitment and selection practices at all levels to ensure they are appropriately structured so that a diverse range of candidates are considered and that there are no conscious or unconscious biases that might discriminate against certain candidates. Management will lead the implementation of the Diversity Policy by regarding it as a key business issue and an essential part of the Corporation’s daily business activities. Furthermore, management will annually report to the Board on the number and proportion, in percentage terms, of women in the executive and management teams of the Corporation and in the Board of its subsidiaries. The Corporation will conduct regular reviews of its workforce diversity and take steps to ensure that the diversity and inclusion objectives set out in the Diversity Policy are met.</w:t>
      </w:r>
    </w:p>
    <w:p>
      <w:pPr>
        <w:spacing w:after="0" w:line="38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While the Board considers merit as the essential requirement for board and executive appointments, in 2023, and in order to comply with Nasdaq’s continued listing requirements, including, in particular, Nasdaq Listing Rules 5605 and 5606 (the “</w:t>
      </w:r>
      <w:r>
        <w:rPr>
          <w:rFonts w:ascii="Times New Roman" w:cs="Times New Roman" w:eastAsia="Times New Roman" w:hAnsi="Times New Roman"/>
          <w:sz w:val="17"/>
          <w:szCs w:val="17"/>
          <w:b w:val="1"/>
          <w:bCs w:val="1"/>
          <w:color w:val="auto"/>
        </w:rPr>
        <w:t>Nasdaq Board Diversity Rule</w:t>
      </w:r>
      <w:r>
        <w:rPr>
          <w:rFonts w:ascii="Times New Roman" w:cs="Times New Roman" w:eastAsia="Times New Roman" w:hAnsi="Times New Roman"/>
          <w:sz w:val="17"/>
          <w:szCs w:val="17"/>
          <w:color w:val="auto"/>
        </w:rPr>
        <w:t>”), the Board had set a target of having at least one female director on or before August 7, 2023. On November 16, 2022, the Board appointed Mrs. Edith Hofmeister to the Board.</w:t>
      </w:r>
    </w:p>
    <w:p>
      <w:pPr>
        <w:spacing w:after="0" w:line="16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According to the Nasdaq Board Diversity Rule, the Corporation shall disclose in its documents for the annual meeting of shareholders, a board-level diversity disclosure. As of April 16, 2024, the following is the Corporation’s Board Diversity Matrix:</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2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Board Diversity Matrix for</w:t>
            </w:r>
          </w:p>
        </w:tc>
        <w:tc>
          <w:tcPr>
            <w:tcW w:w="8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BITFARMS LTD.</w:t>
            </w:r>
          </w:p>
        </w:tc>
        <w:tc>
          <w:tcPr>
            <w:tcW w:w="1260" w:type="dxa"/>
            <w:vAlign w:val="bottom"/>
            <w:tcBorders>
              <w:top w:val="single" w:sz="8" w:color="auto"/>
              <w:bottom w:val="single" w:sz="8" w:color="auto"/>
            </w:tcBorders>
          </w:tcPr>
          <w:p>
            <w:pPr>
              <w:spacing w:after="0"/>
              <w:rPr>
                <w:sz w:val="20"/>
                <w:szCs w:val="20"/>
                <w:color w:val="auto"/>
              </w:rPr>
            </w:pPr>
          </w:p>
        </w:tc>
        <w:tc>
          <w:tcPr>
            <w:tcW w:w="2460" w:type="dxa"/>
            <w:vAlign w:val="bottom"/>
            <w:tcBorders>
              <w:top w:val="single" w:sz="8" w:color="auto"/>
              <w:bottom w:val="single" w:sz="8" w:color="auto"/>
              <w:right w:val="single" w:sz="8" w:color="auto"/>
            </w:tcBorders>
          </w:tcPr>
          <w:p>
            <w:pPr>
              <w:spacing w:after="0"/>
              <w:rPr>
                <w:sz w:val="20"/>
                <w:szCs w:val="20"/>
                <w:color w:val="auto"/>
              </w:rPr>
            </w:pPr>
          </w:p>
        </w:tc>
      </w:tr>
      <w:tr>
        <w:trPr>
          <w:trHeight w:val="213"/>
        </w:trPr>
        <w:tc>
          <w:tcPr>
            <w:tcW w:w="520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As of April 16, 2024</w:t>
            </w: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r>
      <w:tr>
        <w:trPr>
          <w:trHeight w:val="21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Total Number of Directors</w:t>
            </w: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6</w:t>
            </w:r>
          </w:p>
        </w:tc>
        <w:tc>
          <w:tcPr>
            <w:tcW w:w="2460" w:type="dxa"/>
            <w:vAlign w:val="bottom"/>
            <w:tcBorders>
              <w:bottom w:val="single" w:sz="8" w:color="auto"/>
              <w:right w:val="single" w:sz="8" w:color="auto"/>
            </w:tcBorders>
          </w:tcPr>
          <w:p>
            <w:pPr>
              <w:spacing w:after="0"/>
              <w:rPr>
                <w:sz w:val="18"/>
                <w:szCs w:val="18"/>
                <w:color w:val="auto"/>
              </w:rPr>
            </w:pPr>
          </w:p>
        </w:tc>
      </w:tr>
      <w:tr>
        <w:trPr>
          <w:trHeight w:val="21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Part I: Gender Identity</w:t>
            </w: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7"/>
                <w:szCs w:val="17"/>
                <w:b w:val="1"/>
                <w:bCs w:val="1"/>
                <w:color w:val="auto"/>
              </w:rPr>
              <w:t>Female</w:t>
            </w:r>
          </w:p>
        </w:tc>
        <w:tc>
          <w:tcPr>
            <w:tcW w:w="2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7"/>
                <w:szCs w:val="17"/>
                <w:b w:val="1"/>
                <w:bCs w:val="1"/>
                <w:color w:val="auto"/>
              </w:rPr>
              <w:t>Male</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w w:val="99"/>
              </w:rPr>
              <w:t>Non -Binary</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Did not Disclose Gender</w:t>
            </w:r>
          </w:p>
        </w:tc>
      </w:tr>
      <w:tr>
        <w:trPr>
          <w:trHeight w:val="21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Directors</w:t>
            </w:r>
          </w:p>
        </w:tc>
        <w:tc>
          <w:tcPr>
            <w:tcW w:w="860" w:type="dxa"/>
            <w:vAlign w:val="bottom"/>
            <w:tcBorders>
              <w:bottom w:val="single" w:sz="8" w:color="auto"/>
            </w:tcBorders>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w w:val="93"/>
              </w:rPr>
              <w:t>1</w:t>
            </w:r>
          </w:p>
        </w:tc>
        <w:tc>
          <w:tcPr>
            <w:tcW w:w="260" w:type="dxa"/>
            <w:vAlign w:val="bottom"/>
            <w:tcBorders>
              <w:bottom w:val="single" w:sz="8" w:color="auto"/>
              <w:right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5</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28"/>
        </w:trPr>
        <w:tc>
          <w:tcPr>
            <w:tcW w:w="5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Part II: Demographic Background</w:t>
            </w: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60" w:type="dxa"/>
            <w:vAlign w:val="bottom"/>
            <w:tcBorders>
              <w:right w:val="single" w:sz="8" w:color="auto"/>
            </w:tcBorders>
          </w:tcPr>
          <w:p>
            <w:pPr>
              <w:spacing w:after="0"/>
              <w:rPr>
                <w:sz w:val="19"/>
                <w:szCs w:val="19"/>
                <w:color w:val="auto"/>
              </w:rPr>
            </w:pPr>
          </w:p>
        </w:tc>
      </w:tr>
      <w:tr>
        <w:trPr>
          <w:trHeight w:val="192"/>
        </w:trPr>
        <w:tc>
          <w:tcPr>
            <w:tcW w:w="5200" w:type="dxa"/>
            <w:vAlign w:val="bottom"/>
            <w:tcBorders>
              <w:left w:val="single" w:sz="8" w:color="auto"/>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460" w:type="dxa"/>
            <w:vAlign w:val="bottom"/>
            <w:tcBorders>
              <w:bottom w:val="single" w:sz="8" w:color="auto"/>
              <w:right w:val="single" w:sz="8" w:color="auto"/>
            </w:tcBorders>
          </w:tcPr>
          <w:p>
            <w:pPr>
              <w:spacing w:after="0"/>
              <w:rPr>
                <w:sz w:val="16"/>
                <w:szCs w:val="16"/>
                <w:color w:val="auto"/>
              </w:rPr>
            </w:pPr>
          </w:p>
        </w:tc>
      </w:tr>
      <w:tr>
        <w:trPr>
          <w:trHeight w:val="187"/>
        </w:trPr>
        <w:tc>
          <w:tcPr>
            <w:tcW w:w="5200" w:type="dxa"/>
            <w:vAlign w:val="bottom"/>
            <w:tcBorders>
              <w:left w:val="single" w:sz="8" w:color="auto"/>
              <w:right w:val="single" w:sz="8" w:color="auto"/>
            </w:tcBorders>
          </w:tcPr>
          <w:p>
            <w:pPr>
              <w:ind w:left="120"/>
              <w:spacing w:after="0" w:line="187" w:lineRule="exact"/>
              <w:rPr>
                <w:sz w:val="20"/>
                <w:szCs w:val="20"/>
                <w:color w:val="auto"/>
              </w:rPr>
            </w:pPr>
            <w:r>
              <w:rPr>
                <w:rFonts w:ascii="Times New Roman" w:cs="Times New Roman" w:eastAsia="Times New Roman" w:hAnsi="Times New Roman"/>
                <w:sz w:val="17"/>
                <w:szCs w:val="17"/>
                <w:b w:val="1"/>
                <w:bCs w:val="1"/>
                <w:color w:val="auto"/>
              </w:rPr>
              <w:t>African American or Black</w:t>
            </w:r>
          </w:p>
        </w:tc>
        <w:tc>
          <w:tcPr>
            <w:tcW w:w="860" w:type="dxa"/>
            <w:vAlign w:val="bottom"/>
          </w:tcPr>
          <w:p>
            <w:pPr>
              <w:jc w:val="center"/>
              <w:ind w:left="154"/>
              <w:spacing w:after="0" w:line="187" w:lineRule="exact"/>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34"/>
              <w:spacing w:after="0" w:line="187" w:lineRule="exact"/>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6"/>
                <w:szCs w:val="16"/>
                <w:color w:val="auto"/>
              </w:rPr>
            </w:pPr>
          </w:p>
        </w:tc>
        <w:tc>
          <w:tcPr>
            <w:tcW w:w="1260" w:type="dxa"/>
            <w:vAlign w:val="bottom"/>
          </w:tcPr>
          <w:p>
            <w:pPr>
              <w:jc w:val="center"/>
              <w:ind w:right="114"/>
              <w:spacing w:after="0" w:line="187" w:lineRule="exact"/>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Alaskan Native of American Indian</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Asian</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Hispanic or Latinx</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w w:val="93"/>
              </w:rPr>
              <w:t>3</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Native Hawaiian of Pacific Islander</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White</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1</w:t>
            </w:r>
          </w:p>
        </w:tc>
        <w:tc>
          <w:tcPr>
            <w:tcW w:w="1280" w:type="dxa"/>
            <w:vAlign w:val="bottom"/>
            <w:gridSpan w:val="2"/>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w w:val="93"/>
              </w:rPr>
              <w:t>2</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Two or More Races or Ethnicities</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07"/>
        </w:trPr>
        <w:tc>
          <w:tcPr>
            <w:tcW w:w="52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LGBTQ+</w:t>
            </w:r>
          </w:p>
        </w:tc>
        <w:tc>
          <w:tcPr>
            <w:tcW w:w="860" w:type="dxa"/>
            <w:vAlign w:val="bottom"/>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Pr>
          <w:p>
            <w:pPr>
              <w:spacing w:after="0"/>
              <w:rPr>
                <w:sz w:val="17"/>
                <w:szCs w:val="17"/>
                <w:color w:val="auto"/>
              </w:rPr>
            </w:pPr>
          </w:p>
        </w:tc>
        <w:tc>
          <w:tcPr>
            <w:tcW w:w="12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233"/>
        </w:trPr>
        <w:tc>
          <w:tcPr>
            <w:tcW w:w="52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Did Not Disclose Demographic Background</w:t>
            </w:r>
          </w:p>
        </w:tc>
        <w:tc>
          <w:tcPr>
            <w:tcW w:w="860" w:type="dxa"/>
            <w:vAlign w:val="bottom"/>
            <w:tcBorders>
              <w:bottom w:val="single" w:sz="8" w:color="auto"/>
            </w:tcBorders>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bottom w:val="single" w:sz="8" w:color="auto"/>
            </w:tcBorders>
            <w:gridSpan w:val="2"/>
          </w:tcPr>
          <w:p>
            <w:pPr>
              <w:jc w:val="center"/>
              <w:ind w:left="134"/>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w:t>
            </w:r>
          </w:p>
        </w:tc>
        <w:tc>
          <w:tcPr>
            <w:tcW w:w="2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r>
    </w:tbl>
    <w:p>
      <w:pPr>
        <w:spacing w:after="0" w:line="18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Corporation has not adopted term limits or other mechanisms of Board renewal as it takes the view that they may result in directors who have accumulated valuable industry experience being forced to leave their position arbitrarily. The Corporation believes that directors should be assessed based on their ability to continue to make a meaningful contribution to the Corporation.</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INDEBTEDNESS OF DIRECTORS AND EXECUTIVE OFFICERS</w:t>
      </w:r>
    </w:p>
    <w:p>
      <w:pPr>
        <w:spacing w:after="0" w:line="22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No director, executive officer, or employee of the Corporation or any of its subsidiaries, former director, executive officer, or employee of the Corporation or any of its subsidiaries, or any associate of any of the foregoing, has during the year ended December 31, 2023, or any time from December 31, 2023 to the date of this Circular, (i) been indebted to the Corporation or any of its subsidiaries, or (ii) had any indebtedness to another entity at any time during its last completed fiscal year which has been the subject of a guarantee, support agreement, letter of credit, or other similar arrangement provided by the Corporation or any of its subsidiaries.</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INTEREST OF INFORMED PERSONS IN MATERIAL TRANSACTIONS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To the knowledge of the Corporation, no director, executive officer or Shareholder who beneficially owns, or controls or directs, directly or indirectly, more than 10% of the outstanding Common Shares, or any known associates or affiliates or such persons, has or has had any material interest, direct or indirect, in any transaction or in any proposed transaction that has materially affected or is reasonably expected to materially affect the Corporation.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 CONTRACTS</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There are no management functions of the Corporation which are to any substantial degree performed by a person or a company other than the directors or executive officers of the Corporation.</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Corporation will provide to any Shareholder, upon written request to the Chief Financial Officer of the Corporation at 110 Yonge Street, Suite 1601, Toronto, ON M5C 1T4, telephone: (514) 691-6228, a copy of:</w:t>
      </w:r>
    </w:p>
    <w:p>
      <w:pPr>
        <w:spacing w:after="0" w:line="147" w:lineRule="exact"/>
        <w:rPr>
          <w:sz w:val="20"/>
          <w:szCs w:val="20"/>
          <w:color w:val="auto"/>
        </w:rPr>
      </w:pPr>
    </w:p>
    <w:p>
      <w:pPr>
        <w:jc w:val="both"/>
        <w:ind w:left="1240" w:hanging="616"/>
        <w:spacing w:after="0" w:line="272" w:lineRule="auto"/>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consolidated financial statements of the Corporation for its most recently completed financial year, together with the management’s discussion and analysis of such financial results and the auditor’s report thereon, and one copy of any interim financial statements subsequent to the financial statements of the Corporation that have been filed for any period after the end of its most recently completed financial year; and</w:t>
      </w:r>
    </w:p>
    <w:p>
      <w:pPr>
        <w:spacing w:after="0" w:line="1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Circular.</w:t>
      </w:r>
    </w:p>
    <w:p>
      <w:pPr>
        <w:spacing w:after="0" w:line="21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Additional information relating to the Corporation is available on SEDAR+ at www.sedarplus.ca. Financial information about the Corporation may be found in the Corporation’s consolidated financial statements and management’s discussion and analysis for its most recently completed financial period.</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contents of this Circular and the sending thereof to the Shareholders have been approved by the Board.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April 16, 2024.</w:t>
      </w:r>
    </w:p>
    <w:p>
      <w:pPr>
        <w:spacing w:after="0" w:line="2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2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(Signed) “Nicolas Bonta”</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Nicolas Bonta</w:t>
      </w:r>
    </w:p>
    <w:p>
      <w:pPr>
        <w:spacing w:after="0" w:line="3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Chairman of the Board of Directors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SCHEDULE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CHARTER</w:t>
      </w:r>
    </w:p>
    <w:p>
      <w:pPr>
        <w:spacing w:after="0" w:line="21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This charter (the “</w:t>
      </w:r>
      <w:r>
        <w:rPr>
          <w:rFonts w:ascii="Times New Roman" w:cs="Times New Roman" w:eastAsia="Times New Roman" w:hAnsi="Times New Roman"/>
          <w:sz w:val="17"/>
          <w:szCs w:val="17"/>
          <w:b w:val="1"/>
          <w:bCs w:val="1"/>
          <w:color w:val="auto"/>
        </w:rPr>
        <w:t>Charter</w:t>
      </w:r>
      <w:r>
        <w:rPr>
          <w:rFonts w:ascii="Times New Roman" w:cs="Times New Roman" w:eastAsia="Times New Roman" w:hAnsi="Times New Roman"/>
          <w:sz w:val="17"/>
          <w:szCs w:val="17"/>
          <w:color w:val="auto"/>
        </w:rPr>
        <w:t>”) sets forth the purpose, composition, responsibilities and authority of the Audit Committee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of 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of Bitfarms Ltd.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620" w:hanging="617"/>
        <w:spacing w:after="0"/>
        <w:tabs>
          <w:tab w:leader="none" w:pos="620" w:val="left"/>
        </w:tabs>
        <w:numPr>
          <w:ilvl w:val="0"/>
          <w:numId w:val="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MANDATE</w:t>
      </w:r>
    </w:p>
    <w:p>
      <w:pPr>
        <w:spacing w:after="0" w:line="220"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Committee shall:</w:t>
      </w:r>
    </w:p>
    <w:p>
      <w:pPr>
        <w:spacing w:after="0" w:line="218" w:lineRule="exact"/>
        <w:rPr>
          <w:rFonts w:ascii="Times New Roman" w:cs="Times New Roman" w:eastAsia="Times New Roman" w:hAnsi="Times New Roman"/>
          <w:sz w:val="17"/>
          <w:szCs w:val="17"/>
          <w:b w:val="1"/>
          <w:bCs w:val="1"/>
          <w:color w:val="auto"/>
        </w:rPr>
      </w:pPr>
    </w:p>
    <w:p>
      <w:pPr>
        <w:ind w:left="620"/>
        <w:spacing w:after="0" w:line="29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assist the Board in its oversight role with respect to the quality and integrity of the Corporation’s financial statements, financial reporting processes, and systems of internal controls and disclosure controls regarding risk management, finance, accounting and legal and regulatory compliance;</w:t>
      </w:r>
    </w:p>
    <w:p>
      <w:pPr>
        <w:spacing w:after="0" w:line="144" w:lineRule="exact"/>
        <w:rPr>
          <w:rFonts w:ascii="Times New Roman" w:cs="Times New Roman" w:eastAsia="Times New Roman" w:hAnsi="Times New Roman"/>
          <w:sz w:val="17"/>
          <w:szCs w:val="17"/>
          <w:b w:val="1"/>
          <w:bCs w:val="1"/>
          <w:color w:val="auto"/>
        </w:rPr>
      </w:pPr>
    </w:p>
    <w:p>
      <w:pPr>
        <w:ind w:left="940" w:hanging="316"/>
        <w:spacing w:after="0"/>
        <w:tabs>
          <w:tab w:leader="none" w:pos="9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assess the effectiveness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risk management and compliance practices;</w:t>
      </w:r>
    </w:p>
    <w:p>
      <w:pPr>
        <w:spacing w:after="0" w:line="220"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 the independent auditor’s performance, qualifications and independence;</w:t>
      </w:r>
    </w:p>
    <w:p>
      <w:pPr>
        <w:spacing w:after="0" w:line="216"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assess the performance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internal audit function; review the periodic audits performed by the independent auditor and the Corporation’s internal accounting department;</w:t>
      </w:r>
    </w:p>
    <w:p>
      <w:pPr>
        <w:spacing w:after="0" w:line="143"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financial statements, management discussion and analysis and annual and interim earnings press release before the Corporation publicly discloses such information;</w:t>
      </w:r>
    </w:p>
    <w:p>
      <w:pPr>
        <w:spacing w:after="0" w:line="143"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ensure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compliance with legal and regulatory requirements; and</w:t>
      </w:r>
    </w:p>
    <w:p>
      <w:pPr>
        <w:spacing w:after="0" w:line="218"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all filings and disclosure documents required to be prepared by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and/or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pursuant to all applicable federal, provincial and state securities legislation and the rules and regulations of all securities commissions having jurisdiction over the Corporation.</w:t>
      </w:r>
    </w:p>
    <w:p>
      <w:pPr>
        <w:spacing w:after="0" w:line="146" w:lineRule="exact"/>
        <w:rPr>
          <w:sz w:val="20"/>
          <w:szCs w:val="20"/>
          <w:color w:val="auto"/>
        </w:rPr>
      </w:pPr>
    </w:p>
    <w:p>
      <w:pPr>
        <w:jc w:val="both"/>
        <w:ind w:left="620" w:right="40"/>
        <w:spacing w:after="0" w:line="260" w:lineRule="auto"/>
        <w:rPr>
          <w:sz w:val="20"/>
          <w:szCs w:val="20"/>
          <w:color w:val="auto"/>
        </w:rPr>
      </w:pPr>
      <w:r>
        <w:rPr>
          <w:rFonts w:ascii="Times New Roman" w:cs="Times New Roman" w:eastAsia="Times New Roman" w:hAnsi="Times New Roman"/>
          <w:sz w:val="17"/>
          <w:szCs w:val="17"/>
          <w:color w:val="auto"/>
        </w:rPr>
        <w:t xml:space="preserve">Despite the foregoing, it is not the duty of the Committee to plan or conduct audits, or to determine that the Company’s financial statements are complete and accurate or in accordance with generally accepted accounting principles, accounting standards or applicable laws and regulations. This is the responsibility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management, internal accounting department and independent auditors. The primary function of the Committee is oversight, and it is therefore entitled to rely on the expertise, skills and knowledge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management, internal accounting department, independent auditors and other external advisors and the integrity and accuracy in information provided by such persons or entities. Nothing in this Charter is intended to change or in any way limit the responsibilities and duties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management, internal accounting department, or independent auditors.</w:t>
      </w:r>
    </w:p>
    <w:p>
      <w:pPr>
        <w:spacing w:after="0" w:line="171" w:lineRule="exact"/>
        <w:rPr>
          <w:sz w:val="20"/>
          <w:szCs w:val="20"/>
          <w:color w:val="auto"/>
        </w:rPr>
      </w:pPr>
    </w:p>
    <w:p>
      <w:pPr>
        <w:ind w:left="620" w:hanging="617"/>
        <w:spacing w:after="0"/>
        <w:tabs>
          <w:tab w:leader="none" w:pos="62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COMPOSITION AND MEMBERSHIP</w:t>
      </w:r>
    </w:p>
    <w:p>
      <w:pPr>
        <w:spacing w:after="0" w:line="220" w:lineRule="exact"/>
        <w:rPr>
          <w:rFonts w:ascii="Times New Roman" w:cs="Times New Roman" w:eastAsia="Times New Roman" w:hAnsi="Times New Roman"/>
          <w:sz w:val="17"/>
          <w:szCs w:val="17"/>
          <w:b w:val="1"/>
          <w:bCs w:val="1"/>
          <w:color w:val="auto"/>
        </w:rPr>
      </w:pPr>
    </w:p>
    <w:p>
      <w:pPr>
        <w:jc w:val="both"/>
        <w:ind w:left="620" w:right="40"/>
        <w:spacing w:after="0" w:line="27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Committee shall be composed of not less than three members, each of whom shall be a director of the Corporation. All members of the Committee shall not be an officer or employee of the Corporation, and shall satisfy the applicable independence and experience requirements of the laws governing the Corporation, the applicable stock exchanges on which the Corporation’s securities are listed and applicable securities regulatory authorities.</w:t>
      </w:r>
    </w:p>
    <w:p>
      <w:pPr>
        <w:spacing w:after="0" w:line="163" w:lineRule="exact"/>
        <w:rPr>
          <w:rFonts w:ascii="Times New Roman" w:cs="Times New Roman" w:eastAsia="Times New Roman" w:hAnsi="Times New Roman"/>
          <w:sz w:val="17"/>
          <w:szCs w:val="17"/>
          <w:b w:val="1"/>
          <w:bCs w:val="1"/>
          <w:color w:val="auto"/>
        </w:rPr>
      </w:pPr>
    </w:p>
    <w:p>
      <w:pPr>
        <w:ind w:left="620" w:right="40"/>
        <w:spacing w:after="0" w:line="29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Each member of the Committee shall be financially literate as such qualification is interpreted by the Board in its business judgment. At least one member of the Committee will qualify as an audit committee financial expert as defined by the U.S. Securities and Exchange Commission (the “SEC”).</w:t>
      </w:r>
    </w:p>
    <w:p>
      <w:pPr>
        <w:spacing w:after="0" w:line="144" w:lineRule="exact"/>
        <w:rPr>
          <w:rFonts w:ascii="Times New Roman" w:cs="Times New Roman" w:eastAsia="Times New Roman" w:hAnsi="Times New Roman"/>
          <w:sz w:val="17"/>
          <w:szCs w:val="17"/>
          <w:b w:val="1"/>
          <w:bCs w:val="1"/>
          <w:color w:val="auto"/>
        </w:rPr>
      </w:pPr>
    </w:p>
    <w:p>
      <w:pPr>
        <w:jc w:val="both"/>
        <w:ind w:left="620" w:right="40"/>
        <w:spacing w:after="0" w:line="26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Members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be appointed or reappointed at the annual meeting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and, in the normal course of business, will serve a minimum of three years. Each member shall continue to be a member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until a successor is appointed, unless the member resigns, is removed, ceases to be a director or ceases to meet the requirements established by any applicable securities regulatory authority, including but not limited to the Ontario Securities Commission and the Securities and Exchange Commission of the United States of America.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may fill a vacancy that occurs in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at any time.</w:t>
      </w:r>
    </w:p>
    <w:p>
      <w:pPr>
        <w:spacing w:after="0" w:line="170" w:lineRule="exact"/>
        <w:rPr>
          <w:rFonts w:ascii="Times New Roman" w:cs="Times New Roman" w:eastAsia="Times New Roman" w:hAnsi="Times New Roman"/>
          <w:sz w:val="17"/>
          <w:szCs w:val="17"/>
          <w:b w:val="1"/>
          <w:bCs w:val="1"/>
          <w:color w:val="auto"/>
        </w:rPr>
      </w:pPr>
    </w:p>
    <w:p>
      <w:pPr>
        <w:jc w:val="both"/>
        <w:ind w:left="620" w:right="40"/>
        <w:spacing w:after="0" w:line="27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or, in the event of its failure to do so, the members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appoint or reappoint, at the annual meeting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a Chair among their number. The Chair shall not be a former Officer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Such Chair shall serve as a liaison between members and senior management.</w:t>
      </w:r>
    </w:p>
    <w:p>
      <w:pPr>
        <w:spacing w:after="0" w:line="162" w:lineRule="exact"/>
        <w:rPr>
          <w:rFonts w:ascii="Times New Roman" w:cs="Times New Roman" w:eastAsia="Times New Roman" w:hAnsi="Times New Roman"/>
          <w:sz w:val="17"/>
          <w:szCs w:val="17"/>
          <w:b w:val="1"/>
          <w:bCs w:val="1"/>
          <w:color w:val="auto"/>
        </w:rPr>
      </w:pPr>
    </w:p>
    <w:p>
      <w:pPr>
        <w:ind w:left="620" w:right="40"/>
        <w:spacing w:after="0" w:line="26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time and place of meetings of the Committee and the procedure at such meetings shall be determined from time to time by the members provided that:</w:t>
      </w:r>
    </w:p>
    <w:p>
      <w:pPr>
        <w:spacing w:after="0" w:line="200" w:lineRule="exact"/>
        <w:rPr>
          <w:rFonts w:ascii="Times New Roman" w:cs="Times New Roman" w:eastAsia="Times New Roman" w:hAnsi="Times New Roman"/>
          <w:sz w:val="17"/>
          <w:szCs w:val="17"/>
          <w:b w:val="1"/>
          <w:bCs w:val="1"/>
          <w:color w:val="auto"/>
        </w:rPr>
      </w:pPr>
    </w:p>
    <w:p>
      <w:pPr>
        <w:spacing w:after="0" w:line="205" w:lineRule="exact"/>
        <w:rPr>
          <w:rFonts w:ascii="Times New Roman" w:cs="Times New Roman" w:eastAsia="Times New Roman" w:hAnsi="Times New Roman"/>
          <w:sz w:val="17"/>
          <w:szCs w:val="17"/>
          <w:b w:val="1"/>
          <w:bCs w:val="1"/>
          <w:color w:val="auto"/>
        </w:rPr>
      </w:pPr>
    </w:p>
    <w:p>
      <w:pPr>
        <w:ind w:left="940" w:hanging="316"/>
        <w:spacing w:after="0" w:line="291" w:lineRule="auto"/>
        <w:tabs>
          <w:tab w:leader="none" w:pos="9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quorum for meetings shall be a majority of the members, present in person or by telephone or other telecommunication device that permits all persons participating in the meeting to speak or hear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384175</wp:posOffset>
            </wp:positionV>
            <wp:extent cx="713803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4" w:name="page35"/>
    <w:bookmarkEnd w:id="34"/>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meet at least quarterly;</w:t>
      </w:r>
    </w:p>
    <w:p>
      <w:pPr>
        <w:spacing w:after="0" w:line="220" w:lineRule="exact"/>
        <w:rPr>
          <w:rFonts w:ascii="Times New Roman" w:cs="Times New Roman" w:eastAsia="Times New Roman" w:hAnsi="Times New Roman"/>
          <w:sz w:val="17"/>
          <w:szCs w:val="17"/>
          <w:color w:val="auto"/>
        </w:rPr>
      </w:pPr>
    </w:p>
    <w:p>
      <w:pPr>
        <w:ind w:left="940" w:hanging="316"/>
        <w:spacing w:after="0" w:line="291" w:lineRule="auto"/>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notice of the time and place of every meeting shall be given in writing or by telephone, facsimile, email or other electronic communication to each member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at least 24 hours in advance of such meeting;</w:t>
      </w:r>
    </w:p>
    <w:p>
      <w:pPr>
        <w:spacing w:after="0" w:line="144" w:lineRule="exact"/>
        <w:rPr>
          <w:rFonts w:ascii="Times New Roman" w:cs="Times New Roman" w:eastAsia="Times New Roman" w:hAnsi="Times New Roman"/>
          <w:sz w:val="17"/>
          <w:szCs w:val="17"/>
          <w:color w:val="auto"/>
        </w:rPr>
      </w:pPr>
    </w:p>
    <w:p>
      <w:pPr>
        <w:jc w:val="both"/>
        <w:ind w:left="940" w:hanging="316"/>
        <w:spacing w:after="0" w:line="273" w:lineRule="auto"/>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direct management to maintain minutes or other records of meetings and activities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and shall ensure minutes are kept in sufficient detail to convey the substance of all discussions held. Upon approval of the minutes by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the minutes shall be circulated to members of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left="940" w:hanging="316"/>
        <w:spacing w:after="0" w:line="273" w:lineRule="auto"/>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independent auditor is entitled to attend and be heard at each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meeting, and in addition,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may invite to a meeting any officers or employees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legal counsel, advisors and other persons whose attendance it considers necessary or desirable in order to carry out its responsibilities; and</w:t>
      </w:r>
    </w:p>
    <w:p>
      <w:pPr>
        <w:spacing w:after="0" w:line="160" w:lineRule="exact"/>
        <w:rPr>
          <w:rFonts w:ascii="Times New Roman" w:cs="Times New Roman" w:eastAsia="Times New Roman" w:hAnsi="Times New Roman"/>
          <w:sz w:val="17"/>
          <w:szCs w:val="17"/>
          <w:color w:val="auto"/>
        </w:rPr>
      </w:pPr>
    </w:p>
    <w:p>
      <w:pPr>
        <w:ind w:left="940" w:hanging="316"/>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may act by unanimous written consent in lieu of a meeting.</w:t>
      </w:r>
    </w:p>
    <w:p>
      <w:pPr>
        <w:spacing w:after="0" w:line="218" w:lineRule="exact"/>
        <w:rPr>
          <w:sz w:val="20"/>
          <w:szCs w:val="20"/>
          <w:color w:val="auto"/>
        </w:rPr>
      </w:pPr>
    </w:p>
    <w:p>
      <w:pPr>
        <w:jc w:val="both"/>
        <w:ind w:left="620"/>
        <w:spacing w:after="0" w:line="26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report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on its activities after each of its meetings.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review and assess the adequacy of this </w:t>
      </w:r>
      <w:r>
        <w:rPr>
          <w:rFonts w:ascii="Times New Roman" w:cs="Times New Roman" w:eastAsia="Times New Roman" w:hAnsi="Times New Roman"/>
          <w:sz w:val="17"/>
          <w:szCs w:val="17"/>
          <w:b w:val="1"/>
          <w:bCs w:val="1"/>
          <w:color w:val="auto"/>
        </w:rPr>
        <w:t xml:space="preserve">Charter </w:t>
      </w:r>
      <w:r>
        <w:rPr>
          <w:rFonts w:ascii="Times New Roman" w:cs="Times New Roman" w:eastAsia="Times New Roman" w:hAnsi="Times New Roman"/>
          <w:sz w:val="17"/>
          <w:szCs w:val="17"/>
          <w:color w:val="auto"/>
        </w:rPr>
        <w:t>annually and, where necessary, recommend changes to the</w:t>
      </w:r>
      <w:r>
        <w:rPr>
          <w:rFonts w:ascii="Times New Roman" w:cs="Times New Roman" w:eastAsia="Times New Roman" w:hAnsi="Times New Roman"/>
          <w:sz w:val="17"/>
          <w:szCs w:val="17"/>
          <w:b w:val="1"/>
          <w:bCs w:val="1"/>
          <w:color w:val="auto"/>
        </w:rPr>
        <w:t xml:space="preserve"> Board </w:t>
      </w:r>
      <w:r>
        <w:rPr>
          <w:rFonts w:ascii="Times New Roman" w:cs="Times New Roman" w:eastAsia="Times New Roman" w:hAnsi="Times New Roman"/>
          <w:sz w:val="17"/>
          <w:szCs w:val="17"/>
          <w:color w:val="auto"/>
        </w:rPr>
        <w:t>for its approval. The</w:t>
      </w:r>
      <w:r>
        <w:rPr>
          <w:rFonts w:ascii="Times New Roman" w:cs="Times New Roman" w:eastAsia="Times New Roman" w:hAnsi="Times New Roman"/>
          <w:sz w:val="17"/>
          <w:szCs w:val="17"/>
          <w:b w:val="1"/>
          <w:bCs w:val="1"/>
          <w:color w:val="auto"/>
        </w:rPr>
        <w:t xml:space="preserve"> Committee </w:t>
      </w:r>
      <w:r>
        <w:rPr>
          <w:rFonts w:ascii="Times New Roman" w:cs="Times New Roman" w:eastAsia="Times New Roman" w:hAnsi="Times New Roman"/>
          <w:sz w:val="17"/>
          <w:szCs w:val="17"/>
          <w:color w:val="auto"/>
        </w:rPr>
        <w:t>shall undertake and review with the</w:t>
      </w:r>
      <w:r>
        <w:rPr>
          <w:rFonts w:ascii="Times New Roman" w:cs="Times New Roman" w:eastAsia="Times New Roman" w:hAnsi="Times New Roman"/>
          <w:sz w:val="17"/>
          <w:szCs w:val="17"/>
          <w:b w:val="1"/>
          <w:bCs w:val="1"/>
          <w:color w:val="auto"/>
        </w:rPr>
        <w:t xml:space="preserve"> Board </w:t>
      </w:r>
      <w:r>
        <w:rPr>
          <w:rFonts w:ascii="Times New Roman" w:cs="Times New Roman" w:eastAsia="Times New Roman" w:hAnsi="Times New Roman"/>
          <w:sz w:val="17"/>
          <w:szCs w:val="17"/>
          <w:color w:val="auto"/>
        </w:rPr>
        <w:t xml:space="preserve">an annual performance evaluation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which shall assess the performance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against the requirements of this </w:t>
      </w:r>
      <w:r>
        <w:rPr>
          <w:rFonts w:ascii="Times New Roman" w:cs="Times New Roman" w:eastAsia="Times New Roman" w:hAnsi="Times New Roman"/>
          <w:sz w:val="17"/>
          <w:szCs w:val="17"/>
          <w:b w:val="1"/>
          <w:bCs w:val="1"/>
          <w:color w:val="auto"/>
        </w:rPr>
        <w:t>Charter</w:t>
      </w:r>
      <w:r>
        <w:rPr>
          <w:rFonts w:ascii="Times New Roman" w:cs="Times New Roman" w:eastAsia="Times New Roman" w:hAnsi="Times New Roman"/>
          <w:sz w:val="17"/>
          <w:szCs w:val="17"/>
          <w:color w:val="auto"/>
        </w:rPr>
        <w:t xml:space="preserve">. The performance evaluation by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be conducted in such manner as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deems appropriate. The report to the Board of Directors may take the form of an oral report by the chairperson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or any other designated member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20" w:hanging="617"/>
        <w:spacing w:after="0"/>
        <w:tabs>
          <w:tab w:leader="none" w:pos="620" w:val="left"/>
        </w:tabs>
        <w:numPr>
          <w:ilvl w:val="0"/>
          <w:numId w:val="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 AND RESPONSIBILITIES</w:t>
      </w:r>
    </w:p>
    <w:p>
      <w:pPr>
        <w:spacing w:after="0" w:line="21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3.1 Oversight of the Independent Auditor</w:t>
      </w:r>
    </w:p>
    <w:p>
      <w:pPr>
        <w:spacing w:after="0" w:line="220" w:lineRule="exact"/>
        <w:rPr>
          <w:rFonts w:ascii="Times New Roman" w:cs="Times New Roman" w:eastAsia="Times New Roman" w:hAnsi="Times New Roman"/>
          <w:sz w:val="17"/>
          <w:szCs w:val="17"/>
          <w:b w:val="1"/>
          <w:bCs w:val="1"/>
          <w:color w:val="auto"/>
        </w:rPr>
      </w:pPr>
    </w:p>
    <w:p>
      <w:pPr>
        <w:jc w:val="both"/>
        <w:ind w:left="1240" w:hanging="305"/>
        <w:spacing w:after="0" w:line="266" w:lineRule="auto"/>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authority to recommend to the Board for its approval, the appointment or replacement of the independent auditor and its compensation (subject to shareholder ratification) and responsibility for the oversight of the work of the independent auditor (including resolution of disagreements between company management (“Management”) and the independent auditor regarding financial reporting) for the purpose of preparing or issuing an audit report or related work. The independent auditor shall report directly to the Committee;</w:t>
      </w:r>
    </w:p>
    <w:p>
      <w:pPr>
        <w:spacing w:after="0" w:line="168" w:lineRule="exact"/>
        <w:rPr>
          <w:rFonts w:ascii="Times New Roman" w:cs="Times New Roman" w:eastAsia="Times New Roman" w:hAnsi="Times New Roman"/>
          <w:sz w:val="17"/>
          <w:szCs w:val="17"/>
          <w:color w:val="auto"/>
        </w:rPr>
      </w:pPr>
    </w:p>
    <w:p>
      <w:pPr>
        <w:ind w:left="1240" w:hanging="305"/>
        <w:spacing w:after="0" w:line="291" w:lineRule="auto"/>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authority to pre-approve all audit services as well as non-audit services (including the fees, terms and conditions for the performance of such services) to be performed by the independent auditor;</w:t>
      </w:r>
    </w:p>
    <w:p>
      <w:pPr>
        <w:spacing w:after="0" w:line="146" w:lineRule="exact"/>
        <w:rPr>
          <w:rFonts w:ascii="Times New Roman" w:cs="Times New Roman" w:eastAsia="Times New Roman" w:hAnsi="Times New Roman"/>
          <w:sz w:val="17"/>
          <w:szCs w:val="17"/>
          <w:color w:val="auto"/>
        </w:rPr>
      </w:pPr>
    </w:p>
    <w:p>
      <w:pPr>
        <w:jc w:val="both"/>
        <w:ind w:left="1240" w:hanging="305"/>
        <w:spacing w:after="0" w:line="272" w:lineRule="auto"/>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 the qualifications, performance and independence of the independent auditor, including (i) reviewing and evaluating the lead partner on the independent auditor’s engagement with the Corporation, and (ii) considering whether the auditor’s quality controls are adequate and the provision of permitted non-audit services is compatible with maintaining the auditor’s independence;</w:t>
      </w:r>
    </w:p>
    <w:p>
      <w:pPr>
        <w:spacing w:after="0" w:line="163" w:lineRule="exact"/>
        <w:rPr>
          <w:rFonts w:ascii="Times New Roman" w:cs="Times New Roman" w:eastAsia="Times New Roman" w:hAnsi="Times New Roman"/>
          <w:sz w:val="17"/>
          <w:szCs w:val="17"/>
          <w:color w:val="auto"/>
        </w:rPr>
      </w:pPr>
    </w:p>
    <w:p>
      <w:pPr>
        <w:jc w:val="both"/>
        <w:ind w:left="1240" w:hanging="305"/>
        <w:spacing w:after="0" w:line="266" w:lineRule="auto"/>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review a report from the independent auditor at least annually regarding: the independent auditor’s internal quality-control procedures; any material issues raised by the most recent internal quality-control review, or peer review, of the firm, or by any inquiry or investigation by governmental or professional authorities within the preceding five years respecting one or more independent audits carried out by the firm; any steps taken to address any such issues; and all relationships between the independent auditor and the Corporation;</w:t>
      </w:r>
    </w:p>
    <w:p>
      <w:pPr>
        <w:spacing w:after="0" w:line="16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Management and the independent auditor prior to the annual audit the scope, planning and staffing of the annual audit;</w:t>
      </w:r>
    </w:p>
    <w:p>
      <w:pPr>
        <w:spacing w:after="0" w:line="218" w:lineRule="exact"/>
        <w:rPr>
          <w:rFonts w:ascii="Times New Roman" w:cs="Times New Roman" w:eastAsia="Times New Roman" w:hAnsi="Times New Roman"/>
          <w:sz w:val="17"/>
          <w:szCs w:val="17"/>
          <w:color w:val="auto"/>
        </w:rPr>
      </w:pPr>
    </w:p>
    <w:p>
      <w:pPr>
        <w:ind w:left="1240" w:hanging="305"/>
        <w:spacing w:after="0" w:line="291" w:lineRule="auto"/>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the rotation of the lead (or coordinating) audit partner having primary responsibility for the audit and the audit partner responsible for reviewing the audit as required by law; and</w:t>
      </w:r>
    </w:p>
    <w:p>
      <w:pPr>
        <w:spacing w:after="0" w:line="146"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as necessary policies for the Corporation’s hiring of partners, employees or former partners and employees of the independent auditor.</w:t>
      </w:r>
    </w:p>
    <w:p>
      <w:pPr>
        <w:spacing w:after="0" w:line="2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3.2 Financial Reporting</w:t>
      </w:r>
    </w:p>
    <w:p>
      <w:pPr>
        <w:spacing w:after="0" w:line="218" w:lineRule="exact"/>
        <w:rPr>
          <w:sz w:val="20"/>
          <w:szCs w:val="20"/>
          <w:color w:val="auto"/>
        </w:rPr>
      </w:pPr>
    </w:p>
    <w:p>
      <w:pPr>
        <w:ind w:left="1240" w:hanging="305"/>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the annual audited financial statements prior to the publication of earnings.</w:t>
      </w:r>
    </w:p>
    <w:p>
      <w:pPr>
        <w:spacing w:after="0" w:line="218" w:lineRule="exact"/>
        <w:rPr>
          <w:rFonts w:ascii="Times New Roman" w:cs="Times New Roman" w:eastAsia="Times New Roman" w:hAnsi="Times New Roman"/>
          <w:sz w:val="17"/>
          <w:szCs w:val="17"/>
          <w:color w:val="auto"/>
        </w:rPr>
      </w:pPr>
    </w:p>
    <w:p>
      <w:pPr>
        <w:ind w:left="1240" w:hanging="305"/>
        <w:spacing w:after="0" w:line="293" w:lineRule="auto"/>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annual and quarterly disclosures made in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’s Discussion and Analysis.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approve any reports for inclusion in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Annual Information Form, as required by applicable law.</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5" w:name="page36"/>
    <w:bookmarkEnd w:id="35"/>
    <w:p>
      <w:pPr>
        <w:ind w:left="620" w:hanging="305"/>
        <w:spacing w:after="0" w:line="293"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Management’s report on its assessment of internal controls over financial reporting and the independent auditor’s attestation report on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’s assessment, if required.</w:t>
      </w:r>
    </w:p>
    <w:p>
      <w:pPr>
        <w:spacing w:after="0" w:line="143"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quarterly financial statements prior to the publication of earnings.</w:t>
      </w:r>
    </w:p>
    <w:p>
      <w:pPr>
        <w:spacing w:after="0" w:line="218" w:lineRule="exact"/>
        <w:rPr>
          <w:rFonts w:ascii="Times New Roman" w:cs="Times New Roman" w:eastAsia="Times New Roman" w:hAnsi="Times New Roman"/>
          <w:sz w:val="17"/>
          <w:szCs w:val="17"/>
          <w:color w:val="auto"/>
        </w:rPr>
      </w:pPr>
    </w:p>
    <w:p>
      <w:pPr>
        <w:jc w:val="both"/>
        <w:ind w:left="620" w:hanging="305"/>
        <w:spacing w:after="0" w:line="26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at least annually significant financial reporting issues and judgments made in connection with the preparation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financial statements, including any significant changes in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selection or application of accounting principles, any major issues as to the adequacy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internal controls and any special steps adopted in light of material control deficiencies.</w:t>
      </w:r>
    </w:p>
    <w:p>
      <w:pPr>
        <w:spacing w:after="0" w:line="164" w:lineRule="exact"/>
        <w:rPr>
          <w:rFonts w:ascii="Times New Roman" w:cs="Times New Roman" w:eastAsia="Times New Roman" w:hAnsi="Times New Roman"/>
          <w:sz w:val="17"/>
          <w:szCs w:val="17"/>
          <w:color w:val="auto"/>
        </w:rPr>
      </w:pPr>
    </w:p>
    <w:p>
      <w:pPr>
        <w:jc w:val="both"/>
        <w:ind w:left="620" w:hanging="305"/>
        <w:spacing w:after="0" w:line="261"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at least annually reports from the independent auditors on: critical accounting policies and practices to be used; significant financial reporting issues, estimates and judgments made in connection with the preparation of the financial statements; alternative treatments of financial information within generally accepted accounting principles that have been discussed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ramifications of the use of such alternative disclosures and treatments, and the treatment preferred by the independent auditor; and other material written communications between the independent auditor and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such as any management letter or schedule of unadjusted differences.</w:t>
      </w:r>
    </w:p>
    <w:p>
      <w:pPr>
        <w:spacing w:after="0" w:line="175" w:lineRule="exact"/>
        <w:rPr>
          <w:rFonts w:ascii="Times New Roman" w:cs="Times New Roman" w:eastAsia="Times New Roman" w:hAnsi="Times New Roman"/>
          <w:sz w:val="17"/>
          <w:szCs w:val="17"/>
          <w:color w:val="auto"/>
        </w:rPr>
      </w:pPr>
    </w:p>
    <w:p>
      <w:pPr>
        <w:ind w:left="620" w:hanging="305"/>
        <w:spacing w:after="0" w:line="291"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Discuss with the independent auditor at least annually any “Management” or “internal control” letters issued or proposed to be issued by the independent auditor to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620" w:hanging="305"/>
        <w:spacing w:after="0" w:line="293"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at least annually any significant changes to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accounting principles and practices suggested by the independent auditor, internal audit personnel or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color w:val="auto"/>
        </w:rPr>
      </w:pPr>
    </w:p>
    <w:p>
      <w:pPr>
        <w:ind w:left="620" w:hanging="305"/>
        <w:spacing w:after="0" w:line="293"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earnings press releases, including the use of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or “adjusted” non-GAAP information, as well as financial information and earnings and revenue guidance (if any) provided to analysts and rating agencies.</w:t>
      </w:r>
    </w:p>
    <w:p>
      <w:pPr>
        <w:spacing w:after="0" w:line="143" w:lineRule="exact"/>
        <w:rPr>
          <w:rFonts w:ascii="Times New Roman" w:cs="Times New Roman" w:eastAsia="Times New Roman" w:hAnsi="Times New Roman"/>
          <w:sz w:val="17"/>
          <w:szCs w:val="17"/>
          <w:color w:val="auto"/>
        </w:rPr>
      </w:pPr>
    </w:p>
    <w:p>
      <w:pPr>
        <w:ind w:left="620" w:hanging="305"/>
        <w:spacing w:after="0" w:line="293"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and 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at least annually the effect of regulatory and accounting initiatives as well as off-balance sheet structures on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financial statements.</w:t>
      </w:r>
    </w:p>
    <w:p>
      <w:pPr>
        <w:spacing w:after="0" w:line="145" w:lineRule="exact"/>
        <w:rPr>
          <w:rFonts w:ascii="Times New Roman" w:cs="Times New Roman" w:eastAsia="Times New Roman" w:hAnsi="Times New Roman"/>
          <w:sz w:val="17"/>
          <w:szCs w:val="17"/>
          <w:color w:val="auto"/>
        </w:rPr>
      </w:pPr>
    </w:p>
    <w:p>
      <w:pPr>
        <w:ind w:left="620" w:hanging="305"/>
        <w:spacing w:after="0" w:line="291"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with the Chief Executive Officer and the Chief Financial Officer the procedures undertaken in connection with the Chief Executive Officer and Chief Financial Officer certifications for the annual filings with applicable securities regulatory authorities.</w:t>
      </w:r>
    </w:p>
    <w:p>
      <w:pPr>
        <w:spacing w:after="0" w:line="144" w:lineRule="exact"/>
        <w:rPr>
          <w:rFonts w:ascii="Times New Roman" w:cs="Times New Roman" w:eastAsia="Times New Roman" w:hAnsi="Times New Roman"/>
          <w:sz w:val="17"/>
          <w:szCs w:val="17"/>
          <w:color w:val="auto"/>
        </w:rPr>
      </w:pPr>
    </w:p>
    <w:p>
      <w:pPr>
        <w:jc w:val="both"/>
        <w:ind w:left="620" w:hanging="305"/>
        <w:spacing w:after="0" w:line="26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disclosures made by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Chief Executive Officer and Chief Financial Officer during their certification process for the annual filing with applicable securities regulatory authorities about any significant deficiencies in the design or operation of internal controls which could adversely affect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ability to record, process, summarize and report financial data or any material weaknesses in the internal controls, and any fraud involving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or other employees who have a significant role in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internal controls.</w:t>
      </w:r>
    </w:p>
    <w:p>
      <w:pPr>
        <w:spacing w:after="0" w:line="164" w:lineRule="exact"/>
        <w:rPr>
          <w:rFonts w:ascii="Times New Roman" w:cs="Times New Roman" w:eastAsia="Times New Roman" w:hAnsi="Times New Roman"/>
          <w:sz w:val="17"/>
          <w:szCs w:val="17"/>
          <w:color w:val="auto"/>
        </w:rPr>
      </w:pPr>
    </w:p>
    <w:p>
      <w:pPr>
        <w:jc w:val="both"/>
        <w:ind w:left="620" w:hanging="305"/>
        <w:spacing w:after="0" w:line="273"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Discuss with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Corporate Secretary at least annually any legal matters that may have a material impact on the financial statements, operations, assets or compliance policies and any material reports or inquiries received by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or any of its subsidiaries from regulators or governmental agencies.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 Oversight of Risk Management</w:t>
      </w:r>
    </w:p>
    <w:p>
      <w:pPr>
        <w:spacing w:after="0" w:line="220" w:lineRule="exact"/>
        <w:rPr>
          <w:sz w:val="20"/>
          <w:szCs w:val="20"/>
          <w:color w:val="auto"/>
        </w:rPr>
      </w:pPr>
    </w:p>
    <w:p>
      <w:pPr>
        <w:ind w:left="620" w:hanging="305"/>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periodically Management’s risk philosophy and risk management policies.</w:t>
      </w:r>
    </w:p>
    <w:p>
      <w:pPr>
        <w:spacing w:after="0" w:line="216"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at least annually reports demonstrating compliance with risk management policies.</w:t>
      </w:r>
    </w:p>
    <w:p>
      <w:pPr>
        <w:spacing w:after="0" w:line="218" w:lineRule="exact"/>
        <w:rPr>
          <w:rFonts w:ascii="Times New Roman" w:cs="Times New Roman" w:eastAsia="Times New Roman" w:hAnsi="Times New Roman"/>
          <w:sz w:val="17"/>
          <w:szCs w:val="17"/>
          <w:color w:val="auto"/>
        </w:rPr>
      </w:pPr>
    </w:p>
    <w:p>
      <w:pPr>
        <w:ind w:left="620" w:hanging="305"/>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the quality and competence of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appointed to administer risk management policies.</w:t>
      </w:r>
    </w:p>
    <w:p>
      <w:pPr>
        <w:spacing w:after="0" w:line="218" w:lineRule="exact"/>
        <w:rPr>
          <w:rFonts w:ascii="Times New Roman" w:cs="Times New Roman" w:eastAsia="Times New Roman" w:hAnsi="Times New Roman"/>
          <w:sz w:val="17"/>
          <w:szCs w:val="17"/>
          <w:color w:val="auto"/>
        </w:rPr>
      </w:pPr>
    </w:p>
    <w:p>
      <w:pPr>
        <w:ind w:left="620" w:hanging="305"/>
        <w:spacing w:after="0" w:line="293"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reports from the independent auditor at least annually relating to the adequacy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risk management practices together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’s responses.</w:t>
      </w:r>
    </w:p>
    <w:p>
      <w:pPr>
        <w:spacing w:after="0" w:line="143" w:lineRule="exact"/>
        <w:rPr>
          <w:rFonts w:ascii="Times New Roman" w:cs="Times New Roman" w:eastAsia="Times New Roman" w:hAnsi="Times New Roman"/>
          <w:sz w:val="17"/>
          <w:szCs w:val="17"/>
          <w:color w:val="auto"/>
        </w:rPr>
      </w:pPr>
    </w:p>
    <w:p>
      <w:pPr>
        <w:ind w:left="620" w:hanging="305"/>
        <w:spacing w:after="0" w:line="293"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at least annually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’s major financial risk exposures and the steps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has taken to monitor and control such exposures, including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risk assessment and risk management policies.</w:t>
      </w:r>
    </w:p>
    <w:p>
      <w:pPr>
        <w:spacing w:after="0" w:line="35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19050</wp:posOffset>
            </wp:positionV>
            <wp:extent cx="713803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620"/>
          </w:cols>
          <w:pgMar w:left="940" w:top="326" w:right="339"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7"/>
          <w:szCs w:val="17"/>
          <w:b w:val="1"/>
          <w:bCs w:val="1"/>
          <w:color w:val="auto"/>
        </w:rPr>
        <w:t>3.4 Oversight of Regulatory Compliance</w:t>
      </w:r>
    </w:p>
    <w:p>
      <w:pPr>
        <w:spacing w:after="0" w:line="218" w:lineRule="exact"/>
        <w:rPr>
          <w:sz w:val="20"/>
          <w:szCs w:val="20"/>
          <w:color w:val="auto"/>
        </w:rPr>
      </w:pPr>
    </w:p>
    <w:p>
      <w:pPr>
        <w:jc w:val="both"/>
        <w:ind w:left="1240" w:hanging="305"/>
        <w:spacing w:after="0" w:line="273" w:lineRule="auto"/>
        <w:tabs>
          <w:tab w:leader="none" w:pos="1240"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Establish procedures for the receipt, retention and treatment of complaints received by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regarding accounting, internal accounting controls or auditing matters, and the confidential, anonymous submission by employees of concerns regarding questionable accounting or auditing matters.</w:t>
      </w:r>
    </w:p>
    <w:p>
      <w:pPr>
        <w:spacing w:after="0" w:line="160" w:lineRule="exact"/>
        <w:rPr>
          <w:rFonts w:ascii="Times New Roman" w:cs="Times New Roman" w:eastAsia="Times New Roman" w:hAnsi="Times New Roman"/>
          <w:sz w:val="17"/>
          <w:szCs w:val="17"/>
          <w:color w:val="auto"/>
        </w:rPr>
      </w:pPr>
    </w:p>
    <w:p>
      <w:pPr>
        <w:ind w:left="1240" w:hanging="305"/>
        <w:spacing w:after="0" w:line="293" w:lineRule="auto"/>
        <w:tabs>
          <w:tab w:leader="none" w:pos="1240"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Discuss with </w:t>
      </w:r>
      <w:r>
        <w:rPr>
          <w:rFonts w:ascii="Times New Roman" w:cs="Times New Roman" w:eastAsia="Times New Roman" w:hAnsi="Times New Roman"/>
          <w:sz w:val="17"/>
          <w:szCs w:val="17"/>
          <w:b w:val="1"/>
          <w:bCs w:val="1"/>
          <w:color w:val="auto"/>
        </w:rPr>
        <w:t>Management</w:t>
      </w:r>
      <w:r>
        <w:rPr>
          <w:rFonts w:ascii="Times New Roman" w:cs="Times New Roman" w:eastAsia="Times New Roman" w:hAnsi="Times New Roman"/>
          <w:sz w:val="17"/>
          <w:szCs w:val="17"/>
          <w:color w:val="auto"/>
        </w:rPr>
        <w:t xml:space="preserve"> and the independent auditor at least annually any correspondence with regulators or governmental agencies and any published reports which raise material issues regarding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financial statements or accounting.</w:t>
      </w:r>
    </w:p>
    <w:p>
      <w:pPr>
        <w:spacing w:after="0" w:line="169"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Meet with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regulators, according to applicable law.</w:t>
      </w:r>
    </w:p>
    <w:p>
      <w:pPr>
        <w:spacing w:after="0" w:line="246" w:lineRule="exact"/>
        <w:rPr>
          <w:rFonts w:ascii="Times New Roman" w:cs="Times New Roman" w:eastAsia="Times New Roman" w:hAnsi="Times New Roman"/>
          <w:sz w:val="17"/>
          <w:szCs w:val="17"/>
          <w:color w:val="auto"/>
        </w:rPr>
      </w:pPr>
    </w:p>
    <w:p>
      <w:pPr>
        <w:ind w:left="1240" w:hanging="305"/>
        <w:spacing w:after="0" w:line="291" w:lineRule="auto"/>
        <w:tabs>
          <w:tab w:leader="none" w:pos="1240"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Exercise such other powers and perform such other duties and responsibilities as are incidental to the purposes, duties and responsibilities specified herein and as may from time to time be delegated to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by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w:t>
      </w:r>
    </w:p>
    <w:p>
      <w:pPr>
        <w:spacing w:after="0" w:line="144"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FUNDING FOR THE INDEPENDENT AUDITOR AND RETENTION OF OTHER INDEPENDENT ADVISORS</w:t>
      </w:r>
    </w:p>
    <w:p>
      <w:pPr>
        <w:spacing w:after="0" w:line="218" w:lineRule="exact"/>
        <w:rPr>
          <w:rFonts w:ascii="Times New Roman" w:cs="Times New Roman" w:eastAsia="Times New Roman" w:hAnsi="Times New Roman"/>
          <w:sz w:val="17"/>
          <w:szCs w:val="17"/>
          <w:b w:val="1"/>
          <w:bCs w:val="1"/>
          <w:color w:val="auto"/>
        </w:rPr>
      </w:pPr>
    </w:p>
    <w:p>
      <w:pPr>
        <w:jc w:val="both"/>
        <w:ind w:left="620"/>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shall provide for appropriate funding, as determined by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for payment of compensation to the independent auditor for the purpose of issuing an audit report and to any advisors retained by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also have the authority to retain and, at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expense, to set and pay the compensation for such other independent counsel and other advisors as it may from time to time deem necessary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advisable for its purposes.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also has the authority to communicate directly with internal and external auditors.</w:t>
      </w:r>
    </w:p>
    <w:p>
      <w:pPr>
        <w:spacing w:after="0" w:line="164" w:lineRule="exact"/>
        <w:rPr>
          <w:rFonts w:ascii="Times New Roman" w:cs="Times New Roman" w:eastAsia="Times New Roman" w:hAnsi="Times New Roman"/>
          <w:sz w:val="17"/>
          <w:szCs w:val="17"/>
          <w:b w:val="1"/>
          <w:bCs w:val="1"/>
          <w:color w:val="auto"/>
        </w:rPr>
      </w:pPr>
    </w:p>
    <w:p>
      <w:pPr>
        <w:ind w:left="620" w:hanging="617"/>
        <w:spacing w:after="0"/>
        <w:tabs>
          <w:tab w:leader="none" w:pos="620" w:val="left"/>
        </w:tabs>
        <w:numPr>
          <w:ilvl w:val="0"/>
          <w:numId w:val="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PROCEDURES FOR RECEIPT OF COMPLAINTS AND SUBMISSIONS RELATING TO ACCOUNTING MATTERS</w:t>
      </w:r>
    </w:p>
    <w:p>
      <w:pPr>
        <w:spacing w:after="0" w:line="218" w:lineRule="exact"/>
        <w:rPr>
          <w:rFonts w:ascii="Times New Roman" w:cs="Times New Roman" w:eastAsia="Times New Roman" w:hAnsi="Times New Roman"/>
          <w:sz w:val="17"/>
          <w:szCs w:val="17"/>
          <w:b w:val="1"/>
          <w:bCs w:val="1"/>
          <w:color w:val="auto"/>
        </w:rPr>
      </w:pPr>
    </w:p>
    <w:p>
      <w:pPr>
        <w:jc w:val="both"/>
        <w:ind w:left="940" w:hanging="316"/>
        <w:spacing w:after="0" w:line="260"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has adopted a Whistleblower Policy (the “</w:t>
      </w:r>
      <w:r>
        <w:rPr>
          <w:rFonts w:ascii="Times New Roman" w:cs="Times New Roman" w:eastAsia="Times New Roman" w:hAnsi="Times New Roman"/>
          <w:sz w:val="17"/>
          <w:szCs w:val="17"/>
          <w:b w:val="1"/>
          <w:bCs w:val="1"/>
          <w:color w:val="auto"/>
        </w:rPr>
        <w:t>Whistleblower Policy</w:t>
      </w:r>
      <w:r>
        <w:rPr>
          <w:rFonts w:ascii="Times New Roman" w:cs="Times New Roman" w:eastAsia="Times New Roman" w:hAnsi="Times New Roman"/>
          <w:sz w:val="17"/>
          <w:szCs w:val="17"/>
          <w:color w:val="auto"/>
        </w:rPr>
        <w:t xml:space="preserve">”), copies of which shall be made available to directors, officers, employees, consultants and contractors of the Company, either directly or by posting to the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website at </w:t>
      </w:r>
      <w:r>
        <w:rPr>
          <w:rFonts w:ascii="Times New Roman" w:cs="Times New Roman" w:eastAsia="Times New Roman" w:hAnsi="Times New Roman"/>
          <w:sz w:val="17"/>
          <w:szCs w:val="17"/>
          <w:u w:val="single" w:color="auto"/>
          <w:color w:val="auto"/>
        </w:rPr>
        <w:t>www.bitfarms.com</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 xml:space="preserve">Corporation </w:t>
      </w:r>
      <w:r>
        <w:rPr>
          <w:rFonts w:ascii="Times New Roman" w:cs="Times New Roman" w:eastAsia="Times New Roman" w:hAnsi="Times New Roman"/>
          <w:sz w:val="17"/>
          <w:szCs w:val="17"/>
          <w:color w:val="auto"/>
        </w:rPr>
        <w:t>shall inform employees on the</w:t>
      </w:r>
      <w:r>
        <w:rPr>
          <w:rFonts w:ascii="Times New Roman" w:cs="Times New Roman" w:eastAsia="Times New Roman" w:hAnsi="Times New Roman"/>
          <w:sz w:val="17"/>
          <w:szCs w:val="17"/>
          <w:b w:val="1"/>
          <w:bCs w:val="1"/>
          <w:color w:val="auto"/>
        </w:rPr>
        <w:t xml:space="preserve"> Corporation</w:t>
      </w:r>
      <w:r>
        <w:rPr>
          <w:rFonts w:ascii="Times New Roman" w:cs="Times New Roman" w:eastAsia="Times New Roman" w:hAnsi="Times New Roman"/>
          <w:sz w:val="17"/>
          <w:szCs w:val="17"/>
          <w:color w:val="auto"/>
        </w:rPr>
        <w:t>’s intranet, if there is one, or via a newsletter or e-mail that is disseminated to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employees at least annually, about the Whistleblower Policy. Pursuant to the Whistleblower Policy, any person with a complaint or concern regarding a financial matter (or other matter relating to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may submit anonymous complaints or concerns via an independent third-party platform (the “</w:t>
      </w:r>
      <w:r>
        <w:rPr>
          <w:rFonts w:ascii="Times New Roman" w:cs="Times New Roman" w:eastAsia="Times New Roman" w:hAnsi="Times New Roman"/>
          <w:sz w:val="17"/>
          <w:szCs w:val="17"/>
          <w:b w:val="1"/>
          <w:bCs w:val="1"/>
          <w:color w:val="auto"/>
        </w:rPr>
        <w:t>Complaints Platform</w:t>
      </w:r>
      <w:r>
        <w:rPr>
          <w:rFonts w:ascii="Times New Roman" w:cs="Times New Roman" w:eastAsia="Times New Roman" w:hAnsi="Times New Roman"/>
          <w:sz w:val="17"/>
          <w:szCs w:val="17"/>
          <w:color w:val="auto"/>
        </w:rPr>
        <w:t>”) available at http://bitfarms.ethicspoint.com/ or http://bitfarmsmobile.ethicspoint.com/ or by telephone at 1-844-992-4862 toll-free, within the United States, Guam, Puerto Rico and Canada which are accessible 24 hours a day, 7 days a week.</w:t>
      </w:r>
    </w:p>
    <w:p>
      <w:pPr>
        <w:spacing w:after="0" w:line="173" w:lineRule="exact"/>
        <w:rPr>
          <w:rFonts w:ascii="Times New Roman" w:cs="Times New Roman" w:eastAsia="Times New Roman" w:hAnsi="Times New Roman"/>
          <w:sz w:val="17"/>
          <w:szCs w:val="17"/>
          <w:color w:val="auto"/>
        </w:rPr>
      </w:pPr>
    </w:p>
    <w:p>
      <w:pPr>
        <w:jc w:val="both"/>
        <w:ind w:left="940" w:hanging="316"/>
        <w:spacing w:after="0" w:line="273"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will ensure the Whistleblower Policy provides review procedures for: (a) the receipt, retention and resolution of complaints received by the listed issuer regarding accounting, internal accounting controls, or auditing matters; and (b) The confidential, anonymous submission by employees of concerns regarding questionable accounting or auditing matters.</w:t>
      </w:r>
    </w:p>
    <w:p>
      <w:pPr>
        <w:spacing w:after="0" w:line="160" w:lineRule="exact"/>
        <w:rPr>
          <w:rFonts w:ascii="Times New Roman" w:cs="Times New Roman" w:eastAsia="Times New Roman" w:hAnsi="Times New Roman"/>
          <w:sz w:val="17"/>
          <w:szCs w:val="17"/>
          <w:color w:val="auto"/>
        </w:rPr>
      </w:pPr>
    </w:p>
    <w:p>
      <w:pPr>
        <w:jc w:val="both"/>
        <w:ind w:left="940" w:hanging="316"/>
        <w:spacing w:after="0" w:line="273"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receipt of a report from through the Whistleblower reporting mechanism,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shall discuss the report and take such steps as the </w:t>
      </w:r>
      <w:r>
        <w:rPr>
          <w:rFonts w:ascii="Times New Roman" w:cs="Times New Roman" w:eastAsia="Times New Roman" w:hAnsi="Times New Roman"/>
          <w:sz w:val="17"/>
          <w:szCs w:val="17"/>
          <w:b w:val="1"/>
          <w:bCs w:val="1"/>
          <w:color w:val="auto"/>
        </w:rPr>
        <w:t xml:space="preserve">Committee </w:t>
      </w:r>
      <w:r>
        <w:rPr>
          <w:rFonts w:ascii="Times New Roman" w:cs="Times New Roman" w:eastAsia="Times New Roman" w:hAnsi="Times New Roman"/>
          <w:sz w:val="17"/>
          <w:szCs w:val="17"/>
          <w:color w:val="auto"/>
        </w:rPr>
        <w:t>may deem appropriate. Any reports so received will be kept confidential and the identity of employees making complaints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submissions shall only be communicated to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or the Chair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jc w:val="both"/>
        <w:ind w:left="940" w:hanging="316"/>
        <w:spacing w:after="0" w:line="273"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reports or submissions shall be reported to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as frequently as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deems appropriate, but in any event no less frequently than on a quarterly basis prior to the quarterly meetings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called to approve interim and annual financial statements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will inform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of the filed complaints or concerns at regularly scheduled meetings (unless they are unfounded or unless the materiality of the complaint requires earlier action).</w:t>
      </w:r>
    </w:p>
    <w:p>
      <w:pPr>
        <w:spacing w:after="0" w:line="143" w:lineRule="exact"/>
        <w:rPr>
          <w:rFonts w:ascii="Times New Roman" w:cs="Times New Roman" w:eastAsia="Times New Roman" w:hAnsi="Times New Roman"/>
          <w:sz w:val="17"/>
          <w:szCs w:val="17"/>
          <w:color w:val="auto"/>
        </w:rPr>
      </w:pPr>
    </w:p>
    <w:p>
      <w:pPr>
        <w:ind w:left="940" w:hanging="316"/>
        <w:spacing w:after="0" w:line="293" w:lineRule="auto"/>
        <w:tabs>
          <w:tab w:leader="none" w:pos="94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Chair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or other person designated by such, shall retain a record of complaint or submission received for a period of six years following resolution of the complaint or submission.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37" w:name="page38"/>
    <w:bookmarkEnd w:id="37"/>
    <w:p>
      <w:pPr>
        <w:ind w:left="620" w:hanging="617"/>
        <w:spacing w:after="0"/>
        <w:tabs>
          <w:tab w:leader="none" w:pos="620"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PROCEDURES FOR APPROVAL OF NON-AUDIT SERVICES</w:t>
      </w:r>
    </w:p>
    <w:p>
      <w:pPr>
        <w:spacing w:after="0" w:line="21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7"/>
          <w:szCs w:val="17"/>
          <w:b w:val="1"/>
          <w:bCs w:val="1"/>
          <w:color w:val="auto"/>
        </w:rPr>
        <w:t xml:space="preserve"> Corporation</w:t>
      </w:r>
      <w:r>
        <w:rPr>
          <w:rFonts w:ascii="Times New Roman" w:cs="Times New Roman" w:eastAsia="Times New Roman" w:hAnsi="Times New Roman"/>
          <w:sz w:val="17"/>
          <w:szCs w:val="17"/>
          <w:color w:val="auto"/>
        </w:rPr>
        <w:t>’s external auditors shall be prohibited from performing for the</w:t>
      </w:r>
      <w:r>
        <w:rPr>
          <w:rFonts w:ascii="Times New Roman" w:cs="Times New Roman" w:eastAsia="Times New Roman" w:hAnsi="Times New Roman"/>
          <w:sz w:val="17"/>
          <w:szCs w:val="17"/>
          <w:b w:val="1"/>
          <w:bCs w:val="1"/>
          <w:color w:val="auto"/>
        </w:rPr>
        <w:t xml:space="preserve"> corporation </w:t>
      </w:r>
      <w:r>
        <w:rPr>
          <w:rFonts w:ascii="Times New Roman" w:cs="Times New Roman" w:eastAsia="Times New Roman" w:hAnsi="Times New Roman"/>
          <w:sz w:val="17"/>
          <w:szCs w:val="17"/>
          <w:color w:val="auto"/>
        </w:rPr>
        <w:t>the following categories of non-audit services:</w:t>
      </w:r>
    </w:p>
    <w:p>
      <w:pPr>
        <w:spacing w:after="0" w:line="218" w:lineRule="exact"/>
        <w:rPr>
          <w:rFonts w:ascii="Times New Roman" w:cs="Times New Roman" w:eastAsia="Times New Roman" w:hAnsi="Times New Roman"/>
          <w:sz w:val="17"/>
          <w:szCs w:val="17"/>
          <w:b w:val="1"/>
          <w:bCs w:val="1"/>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bookkeeping or other services related to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’s accounting records or financial statements;</w:t>
      </w:r>
    </w:p>
    <w:p>
      <w:pPr>
        <w:spacing w:after="0" w:line="220"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information systems design and implementation;</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appraisal or valuation services, fairness opinion or contributions-in-kind reports;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actuarial services;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audit outsourcing services;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functions;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human resources;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broker or dealer, investment adviser or investment banking services;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services;</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expert services unrelated to the audit; and</w:t>
      </w:r>
    </w:p>
    <w:p>
      <w:pPr>
        <w:spacing w:after="0" w:line="218" w:lineRule="exact"/>
        <w:rPr>
          <w:rFonts w:ascii="Times New Roman" w:cs="Times New Roman" w:eastAsia="Times New Roman" w:hAnsi="Times New Roman"/>
          <w:sz w:val="17"/>
          <w:szCs w:val="17"/>
          <w:color w:val="auto"/>
        </w:rPr>
      </w:pPr>
    </w:p>
    <w:p>
      <w:pPr>
        <w:ind w:left="1240" w:hanging="305"/>
        <w:spacing w:after="0"/>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service that the Canadian Public Accountability Board determines is impermissible.</w:t>
      </w:r>
    </w:p>
    <w:p>
      <w:pPr>
        <w:spacing w:after="0" w:line="216" w:lineRule="exact"/>
        <w:rPr>
          <w:sz w:val="20"/>
          <w:szCs w:val="20"/>
          <w:color w:val="auto"/>
        </w:rPr>
      </w:pPr>
    </w:p>
    <w:p>
      <w:pPr>
        <w:jc w:val="both"/>
        <w:ind w:left="940" w:hanging="309"/>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color w:val="auto"/>
        </w:rPr>
        <w:t>In the event that the C</w:t>
      </w:r>
      <w:r>
        <w:rPr>
          <w:rFonts w:ascii="Times New Roman" w:cs="Times New Roman" w:eastAsia="Times New Roman" w:hAnsi="Times New Roman"/>
          <w:sz w:val="17"/>
          <w:szCs w:val="17"/>
          <w:b w:val="1"/>
          <w:bCs w:val="1"/>
          <w:color w:val="auto"/>
        </w:rPr>
        <w:t xml:space="preserve">orporation </w:t>
      </w:r>
      <w:r>
        <w:rPr>
          <w:rFonts w:ascii="Times New Roman" w:cs="Times New Roman" w:eastAsia="Times New Roman" w:hAnsi="Times New Roman"/>
          <w:sz w:val="17"/>
          <w:szCs w:val="17"/>
          <w:color w:val="auto"/>
        </w:rPr>
        <w:t>wishes to retain the services of the</w:t>
      </w:r>
      <w:r>
        <w:rPr>
          <w:rFonts w:ascii="Times New Roman" w:cs="Times New Roman" w:eastAsia="Times New Roman" w:hAnsi="Times New Roman"/>
          <w:sz w:val="17"/>
          <w:szCs w:val="17"/>
          <w:b w:val="1"/>
          <w:bCs w:val="1"/>
          <w:color w:val="auto"/>
        </w:rPr>
        <w:t xml:space="preserve"> Corporation</w:t>
      </w:r>
      <w:r>
        <w:rPr>
          <w:rFonts w:ascii="Times New Roman" w:cs="Times New Roman" w:eastAsia="Times New Roman" w:hAnsi="Times New Roman"/>
          <w:sz w:val="17"/>
          <w:szCs w:val="17"/>
          <w:color w:val="auto"/>
        </w:rPr>
        <w:t>’s external auditors for tax compliance, tax advice or tax planning,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chief financial officer of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xml:space="preserve"> shall consult with the chair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who shall have the authority to approve or disapprove on behalf of the C</w:t>
      </w:r>
      <w:r>
        <w:rPr>
          <w:rFonts w:ascii="Times New Roman" w:cs="Times New Roman" w:eastAsia="Times New Roman" w:hAnsi="Times New Roman"/>
          <w:sz w:val="17"/>
          <w:szCs w:val="17"/>
          <w:b w:val="1"/>
          <w:bCs w:val="1"/>
          <w:color w:val="auto"/>
        </w:rPr>
        <w:t>ommittee</w:t>
      </w:r>
      <w:r>
        <w:rPr>
          <w:rFonts w:ascii="Times New Roman" w:cs="Times New Roman" w:eastAsia="Times New Roman" w:hAnsi="Times New Roman"/>
          <w:sz w:val="17"/>
          <w:szCs w:val="17"/>
          <w:color w:val="auto"/>
        </w:rPr>
        <w:t>, such non-audit services. all other non-audit services shall be approved or disapproved by the C</w:t>
      </w:r>
      <w:r>
        <w:rPr>
          <w:rFonts w:ascii="Times New Roman" w:cs="Times New Roman" w:eastAsia="Times New Roman" w:hAnsi="Times New Roman"/>
          <w:sz w:val="17"/>
          <w:szCs w:val="17"/>
          <w:b w:val="1"/>
          <w:bCs w:val="1"/>
          <w:color w:val="auto"/>
        </w:rPr>
        <w:t>ommittee</w:t>
      </w:r>
      <w:r>
        <w:rPr>
          <w:rFonts w:ascii="Times New Roman" w:cs="Times New Roman" w:eastAsia="Times New Roman" w:hAnsi="Times New Roman"/>
          <w:sz w:val="17"/>
          <w:szCs w:val="17"/>
          <w:color w:val="auto"/>
        </w:rPr>
        <w:t xml:space="preserve"> as a whole.</w:t>
      </w:r>
    </w:p>
    <w:p>
      <w:pPr>
        <w:spacing w:after="0" w:line="161" w:lineRule="exact"/>
        <w:rPr>
          <w:sz w:val="20"/>
          <w:szCs w:val="20"/>
          <w:color w:val="auto"/>
        </w:rPr>
      </w:pPr>
    </w:p>
    <w:p>
      <w:pPr>
        <w:jc w:val="both"/>
        <w:ind w:left="940" w:hanging="309"/>
        <w:spacing w:after="0" w:line="293" w:lineRule="auto"/>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color w:val="auto"/>
        </w:rPr>
        <w:t>The chief financial officer of the</w:t>
      </w:r>
      <w:r>
        <w:rPr>
          <w:rFonts w:ascii="Times New Roman" w:cs="Times New Roman" w:eastAsia="Times New Roman" w:hAnsi="Times New Roman"/>
          <w:sz w:val="17"/>
          <w:szCs w:val="17"/>
          <w:b w:val="1"/>
          <w:bCs w:val="1"/>
          <w:color w:val="auto"/>
        </w:rPr>
        <w:t xml:space="preserve"> Corporation </w:t>
      </w:r>
      <w:r>
        <w:rPr>
          <w:rFonts w:ascii="Times New Roman" w:cs="Times New Roman" w:eastAsia="Times New Roman" w:hAnsi="Times New Roman"/>
          <w:sz w:val="17"/>
          <w:szCs w:val="17"/>
          <w:color w:val="auto"/>
        </w:rPr>
        <w:t>shall maintain a record of non-audit services approved by the chair of the C</w:t>
      </w:r>
      <w:r>
        <w:rPr>
          <w:rFonts w:ascii="Times New Roman" w:cs="Times New Roman" w:eastAsia="Times New Roman" w:hAnsi="Times New Roman"/>
          <w:sz w:val="17"/>
          <w:szCs w:val="17"/>
          <w:b w:val="1"/>
          <w:bCs w:val="1"/>
          <w:color w:val="auto"/>
        </w:rPr>
        <w:t xml:space="preserve">ommittee </w:t>
      </w:r>
      <w:r>
        <w:rPr>
          <w:rFonts w:ascii="Times New Roman" w:cs="Times New Roman" w:eastAsia="Times New Roman" w:hAnsi="Times New Roman"/>
          <w:sz w:val="17"/>
          <w:szCs w:val="17"/>
          <w:color w:val="auto"/>
        </w:rPr>
        <w:t>or the</w:t>
      </w:r>
      <w:r>
        <w:rPr>
          <w:rFonts w:ascii="Times New Roman" w:cs="Times New Roman" w:eastAsia="Times New Roman" w:hAnsi="Times New Roman"/>
          <w:sz w:val="17"/>
          <w:szCs w:val="17"/>
          <w:b w:val="1"/>
          <w:bCs w:val="1"/>
          <w:color w:val="auto"/>
        </w:rPr>
        <w:t xml:space="preserve"> Committee </w:t>
      </w:r>
      <w:r>
        <w:rPr>
          <w:rFonts w:ascii="Times New Roman" w:cs="Times New Roman" w:eastAsia="Times New Roman" w:hAnsi="Times New Roman"/>
          <w:sz w:val="17"/>
          <w:szCs w:val="17"/>
          <w:color w:val="auto"/>
        </w:rPr>
        <w:t>for each fiscal year and provide a report to the</w:t>
      </w:r>
      <w:r>
        <w:rPr>
          <w:rFonts w:ascii="Times New Roman" w:cs="Times New Roman" w:eastAsia="Times New Roman" w:hAnsi="Times New Roman"/>
          <w:sz w:val="17"/>
          <w:szCs w:val="17"/>
          <w:b w:val="1"/>
          <w:bCs w:val="1"/>
          <w:color w:val="auto"/>
        </w:rPr>
        <w:t xml:space="preserve"> Committee </w:t>
      </w:r>
      <w:r>
        <w:rPr>
          <w:rFonts w:ascii="Times New Roman" w:cs="Times New Roman" w:eastAsia="Times New Roman" w:hAnsi="Times New Roman"/>
          <w:sz w:val="17"/>
          <w:szCs w:val="17"/>
          <w:color w:val="auto"/>
        </w:rPr>
        <w:t>no less frequently than on a quarterly basis.</w:t>
      </w:r>
    </w:p>
    <w:p>
      <w:pPr>
        <w:spacing w:after="0" w:line="144" w:lineRule="exact"/>
        <w:rPr>
          <w:sz w:val="20"/>
          <w:szCs w:val="20"/>
          <w:color w:val="auto"/>
        </w:rPr>
      </w:pPr>
    </w:p>
    <w:p>
      <w:pPr>
        <w:ind w:left="620" w:hanging="617"/>
        <w:spacing w:after="0"/>
        <w:tabs>
          <w:tab w:leader="none" w:pos="620" w:val="left"/>
        </w:tabs>
        <w:numPr>
          <w:ilvl w:val="0"/>
          <w:numId w:val="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REPORTING</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The Chair will report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at each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meeting on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’s activities since the last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meeting.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will annually review and approve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’s report for inclusion in the Annual Information Form. The Secretary will circulate the minutes of each meeting of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to the members of the Board.</w:t>
      </w:r>
    </w:p>
    <w:p>
      <w:pPr>
        <w:spacing w:after="0" w:line="161" w:lineRule="exact"/>
        <w:rPr>
          <w:sz w:val="20"/>
          <w:szCs w:val="20"/>
          <w:color w:val="auto"/>
        </w:rPr>
      </w:pPr>
    </w:p>
    <w:p>
      <w:pPr>
        <w:ind w:left="620" w:hanging="617"/>
        <w:spacing w:after="0"/>
        <w:tabs>
          <w:tab w:leader="none" w:pos="620" w:val="left"/>
        </w:tabs>
        <w:numPr>
          <w:ilvl w:val="0"/>
          <w:numId w:val="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ACCESS TO INFORMATION AND AUTHORITY</w:t>
      </w:r>
    </w:p>
    <w:p>
      <w:pPr>
        <w:spacing w:after="0" w:line="218"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will be granted unrestricted access to all information regarding </w:t>
      </w:r>
      <w:r>
        <w:rPr>
          <w:rFonts w:ascii="Times New Roman" w:cs="Times New Roman" w:eastAsia="Times New Roman" w:hAnsi="Times New Roman"/>
          <w:sz w:val="17"/>
          <w:szCs w:val="17"/>
          <w:b w:val="1"/>
          <w:bCs w:val="1"/>
          <w:color w:val="auto"/>
        </w:rPr>
        <w:t>Bitfarms</w:t>
      </w:r>
      <w:r>
        <w:rPr>
          <w:rFonts w:ascii="Times New Roman" w:cs="Times New Roman" w:eastAsia="Times New Roman" w:hAnsi="Times New Roman"/>
          <w:sz w:val="17"/>
          <w:szCs w:val="17"/>
          <w:color w:val="auto"/>
        </w:rPr>
        <w:t xml:space="preserve"> that is necessary or desirable to fulfill its duties and all directors, officers and employees will be directed to cooperate as requested by Members.</w:t>
      </w:r>
    </w:p>
    <w:p>
      <w:pPr>
        <w:spacing w:after="0" w:line="144" w:lineRule="exact"/>
        <w:rPr>
          <w:sz w:val="20"/>
          <w:szCs w:val="20"/>
          <w:color w:val="auto"/>
        </w:rPr>
      </w:pPr>
    </w:p>
    <w:p>
      <w:pPr>
        <w:ind w:left="620" w:hanging="617"/>
        <w:spacing w:after="0"/>
        <w:tabs>
          <w:tab w:leader="none" w:pos="620" w:val="left"/>
        </w:tabs>
        <w:numPr>
          <w:ilvl w:val="0"/>
          <w:numId w:val="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REVIEW OF CHARTER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xml:space="preserve"> will annually review and assess the adequacy of this </w:t>
      </w:r>
      <w:r>
        <w:rPr>
          <w:rFonts w:ascii="Times New Roman" w:cs="Times New Roman" w:eastAsia="Times New Roman" w:hAnsi="Times New Roman"/>
          <w:sz w:val="17"/>
          <w:szCs w:val="17"/>
          <w:b w:val="1"/>
          <w:bCs w:val="1"/>
          <w:color w:val="auto"/>
        </w:rPr>
        <w:t>Charter</w:t>
      </w:r>
      <w:r>
        <w:rPr>
          <w:rFonts w:ascii="Times New Roman" w:cs="Times New Roman" w:eastAsia="Times New Roman" w:hAnsi="Times New Roman"/>
          <w:sz w:val="17"/>
          <w:szCs w:val="17"/>
          <w:color w:val="auto"/>
        </w:rPr>
        <w:t xml:space="preserve"> and recommend any proposed changes to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for consideration</w:t>
      </w:r>
      <w:r>
        <w:rPr>
          <w:rFonts w:ascii="Times New Roman" w:cs="Times New Roman" w:eastAsia="Times New Roman" w:hAnsi="Times New Roman"/>
          <w:sz w:val="17"/>
          <w:szCs w:val="17"/>
          <w:b w:val="1"/>
          <w:bCs w:val="1"/>
          <w:color w:val="auto"/>
        </w:rPr>
        <w:t>.</w:t>
      </w:r>
    </w:p>
    <w:p>
      <w:pPr>
        <w:sectPr>
          <w:pgSz w:w="11900" w:h="16838" w:orient="portrait"/>
          <w:cols w:equalWidth="0" w:num="1">
            <w:col w:w="11240"/>
          </w:cols>
          <w:pgMar w:left="320" w:top="326" w:right="339" w:bottom="1440" w:gutter="0" w:footer="0" w:header="0"/>
        </w:sect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Revised &amp; Updated: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Revised &amp; Updated: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Approved 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12, 2019</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24, 2022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Board of Directors</w:t>
      </w:r>
    </w:p>
    <w:p>
      <w:pPr>
        <w:spacing w:after="0" w:line="200" w:lineRule="exact"/>
        <w:rPr>
          <w:sz w:val="20"/>
          <w:szCs w:val="20"/>
          <w:color w:val="auto"/>
        </w:rPr>
      </w:pPr>
    </w:p>
    <w:p>
      <w:pPr>
        <w:sectPr>
          <w:pgSz w:w="11900" w:h="16838" w:orient="portrait"/>
          <w:cols w:equalWidth="0" w:num="2">
            <w:col w:w="2100" w:space="720"/>
            <w:col w:w="8420"/>
          </w:cols>
          <w:pgMar w:left="320" w:top="326" w:right="339" w:bottom="1440" w:gutter="0" w:footer="0" w:header="0"/>
          <w:type w:val="continuous"/>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713803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SCHEDULE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LONG TERM INCENTIVE PLAN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Effective Date: April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Adopted:</w:t>
            </w:r>
          </w:p>
        </w:tc>
        <w:tc>
          <w:tcPr>
            <w:tcW w:w="9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May 18, 2021</w:t>
            </w:r>
          </w:p>
        </w:tc>
      </w:tr>
      <w:tr>
        <w:trPr>
          <w:trHeight w:val="20"/>
        </w:trPr>
        <w:tc>
          <w:tcPr>
            <w:tcW w:w="6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187"/>
        </w:trPr>
        <w:tc>
          <w:tcPr>
            <w:tcW w:w="1940" w:type="dxa"/>
            <w:vAlign w:val="bottom"/>
            <w:gridSpan w:val="3"/>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Revised and Updated:</w:t>
            </w:r>
          </w:p>
        </w:tc>
        <w:tc>
          <w:tcPr>
            <w:tcW w:w="9300" w:type="dxa"/>
            <w:vAlign w:val="bottom"/>
          </w:tcPr>
          <w:p>
            <w:pPr>
              <w:ind w:left="320"/>
              <w:spacing w:after="0" w:line="187" w:lineRule="exact"/>
              <w:rPr>
                <w:sz w:val="20"/>
                <w:szCs w:val="20"/>
                <w:color w:val="auto"/>
              </w:rPr>
            </w:pPr>
            <w:r>
              <w:rPr>
                <w:rFonts w:ascii="Times New Roman" w:cs="Times New Roman" w:eastAsia="Times New Roman" w:hAnsi="Times New Roman"/>
                <w:sz w:val="17"/>
                <w:szCs w:val="17"/>
                <w:color w:val="auto"/>
              </w:rPr>
              <w:t>March 3, 2022</w:t>
            </w:r>
          </w:p>
        </w:tc>
      </w:tr>
      <w:tr>
        <w:trPr>
          <w:trHeight w:val="207"/>
        </w:trPr>
        <w:tc>
          <w:tcPr>
            <w:tcW w:w="6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January 15, 2024</w:t>
            </w:r>
          </w:p>
        </w:tc>
      </w:tr>
      <w:tr>
        <w:trPr>
          <w:trHeight w:val="226"/>
        </w:trPr>
        <w:tc>
          <w:tcPr>
            <w:tcW w:w="6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3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April 16, 2024</w:t>
            </w:r>
          </w:p>
        </w:tc>
      </w:tr>
      <w:tr>
        <w:trPr>
          <w:trHeight w:val="652"/>
        </w:trPr>
        <w:tc>
          <w:tcPr>
            <w:tcW w:w="6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6" w:right="3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9120" w:type="dxa"/>
            <w:vAlign w:val="bottom"/>
          </w:tcPr>
          <w:p>
            <w:pPr>
              <w:ind w:left="3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100" w:type="dxa"/>
            <w:vAlign w:val="bottom"/>
          </w:tcPr>
          <w:p>
            <w:pPr>
              <w:spacing w:after="0"/>
              <w:rPr>
                <w:sz w:val="19"/>
                <w:szCs w:val="19"/>
                <w:color w:val="auto"/>
              </w:rPr>
            </w:pPr>
          </w:p>
        </w:tc>
      </w:tr>
      <w:tr>
        <w:trPr>
          <w:trHeight w:val="420"/>
        </w:trPr>
        <w:tc>
          <w:tcPr>
            <w:tcW w:w="1020" w:type="dxa"/>
            <w:vAlign w:val="bottom"/>
            <w:tcBorders>
              <w:bottom w:val="single" w:sz="8" w:color="CCEEFF"/>
            </w:tcBorders>
          </w:tcPr>
          <w:p>
            <w:pPr>
              <w:spacing w:after="0"/>
              <w:rPr>
                <w:sz w:val="24"/>
                <w:szCs w:val="24"/>
                <w:color w:val="auto"/>
              </w:rPr>
            </w:pPr>
          </w:p>
        </w:tc>
        <w:tc>
          <w:tcPr>
            <w:tcW w:w="9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b w:val="1"/>
                <w:bCs w:val="1"/>
                <w:color w:val="auto"/>
              </w:rPr>
              <w:t>Page</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1 DEFINITIONS AND INTERPRETATION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1.1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Definitions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1.2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Choice of Law</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1.3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Headings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2 GRANT OF AWARDS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5</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2.1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Grant of Awards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2.2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Record of Awards Granted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2.3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Effect of Plan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3 PURPOSE AND PARTICIPATION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6</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3.1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Purpose of Plan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3.2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Participation in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3.3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Limits on Option Grants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3.4</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Limits on RSU Grants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3.5</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Notification of Grant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3.6</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Copy of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3.7</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Limitation on Service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3.8</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 Obligation to Exercise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3.9</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Agreement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3.10</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Notice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3.11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Representation to the Exchange</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4 NUMBER OF SHARES UNDER PLAN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8</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4.1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Board to Approve Issuance of 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4.2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Number of Shares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4.3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Fractional Shares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8</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5 TERMS AND CONDITIONS OF OPTIONS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9</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5.1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Exercise Period of 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5.2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Number of Shares Under Option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5.3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Exercise Price of Option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5.4</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 of Option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5.5</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Vesting of Option and Acceleration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5.6</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Terms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10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SECTION 6 TRANSFERABILITY OF AWARDS</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3"/>
              </w:rPr>
              <w:t>11</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6.1</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Non-transferable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6.2</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Death of Award Holder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6.3</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Disability of Award Holder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6.4</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Disability and Death of Option Holder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6.5</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Vesting</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6.6</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Deemed Non-Interruption of Employment or Engagement</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7 EXERCISE OR SETTLEMENT OF AWARD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7.1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Exercise or Settlement of Award</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7.2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Issue of Share Certificates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7.3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 Rights as Shareholder</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10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8 RESTRICTED SHARE UNITS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b w:val="1"/>
                <w:bCs w:val="1"/>
                <w:color w:val="auto"/>
              </w:rPr>
              <w:t>13</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8.1</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Eligibility and Participation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8.2</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Restrictions</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8.3</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Vesting</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8.4</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of Control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8.5</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Death</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8.6</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Termination of Employment or Service</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14</w:t>
            </w:r>
          </w:p>
        </w:tc>
      </w:tr>
      <w:tr>
        <w:trPr>
          <w:trHeight w:val="207"/>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8.7</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Disability</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07"/>
        </w:trPr>
        <w:tc>
          <w:tcPr>
            <w:tcW w:w="102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7"/>
                <w:szCs w:val="17"/>
                <w:color w:val="auto"/>
              </w:rPr>
              <w:t>8.8</w:t>
            </w:r>
          </w:p>
        </w:tc>
        <w:tc>
          <w:tcPr>
            <w:tcW w:w="9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Cessation of directorship</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w:t>
            </w:r>
          </w:p>
        </w:tc>
      </w:tr>
      <w:tr>
        <w:trPr>
          <w:trHeight w:val="226"/>
        </w:trPr>
        <w:tc>
          <w:tcPr>
            <w:tcW w:w="1020" w:type="dxa"/>
            <w:vAlign w:val="bottom"/>
          </w:tcPr>
          <w:p>
            <w:pPr>
              <w:jc w:val="center"/>
              <w:ind w:left="154"/>
              <w:spacing w:after="0"/>
              <w:rPr>
                <w:sz w:val="20"/>
                <w:szCs w:val="20"/>
                <w:color w:val="auto"/>
              </w:rPr>
            </w:pPr>
            <w:r>
              <w:rPr>
                <w:rFonts w:ascii="Times New Roman" w:cs="Times New Roman" w:eastAsia="Times New Roman" w:hAnsi="Times New Roman"/>
                <w:sz w:val="17"/>
                <w:szCs w:val="17"/>
                <w:color w:val="auto"/>
              </w:rPr>
              <w:t>8.9</w:t>
            </w:r>
          </w:p>
        </w:tc>
        <w:tc>
          <w:tcPr>
            <w:tcW w:w="91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Settlement of Award</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w:t>
            </w: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9 ADMINISTRATION</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15</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9.1</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Board or Committee</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15</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9.2</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Appointment of Committee</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15</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9.3</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Quorum and Voting</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16</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9.4</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Powers of Committee</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16</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9.5</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Administration by Committee</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17</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9.6</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Interpretation</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17</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9.7</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Foreign Award Recipients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17</w:t>
            </w:r>
          </w:p>
        </w:tc>
      </w:tr>
      <w:tr>
        <w:trPr>
          <w:trHeight w:val="207"/>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10 APPROVALS AND AMENDMENT</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17</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10.1</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Shareholder Approval of Plan</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17</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10.2</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Amendment of Option or RSU or Plan</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18</w:t>
            </w:r>
          </w:p>
        </w:tc>
      </w:tr>
      <w:tr>
        <w:trPr>
          <w:trHeight w:val="207"/>
        </w:trPr>
        <w:tc>
          <w:tcPr>
            <w:tcW w:w="9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SECTION 11 CONDITIONS PRECEDENT TO GRANTING AWARDS AND ISSUING SHARES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19</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11.1</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Compliance with Laws</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19</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11.2</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Obligation to Obtain Regulatory Approvals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19</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11.3</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Inability to Obtain Regulatory Approvals</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19</w:t>
            </w:r>
          </w:p>
        </w:tc>
      </w:tr>
      <w:tr>
        <w:trPr>
          <w:trHeight w:val="207"/>
        </w:trPr>
        <w:tc>
          <w:tcPr>
            <w:tcW w:w="9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SECTION 12 ADJUSTMENTS AND TERMINATION</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20</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12.1</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Termination of Plan</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12.2</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 Grant During Suspension of Plan</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12.3</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Alteration in Capital Structure</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12.4</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Triggering Events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20</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12.5</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Notice of Termination by Triggering Event</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21</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12.6</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Determinations to be Made by Committee</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21</w:t>
            </w:r>
          </w:p>
        </w:tc>
      </w:tr>
      <w:tr>
        <w:trPr>
          <w:trHeight w:val="207"/>
        </w:trPr>
        <w:tc>
          <w:tcPr>
            <w:tcW w:w="9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SECTION 13 GENERAL TERMS APPLICABLE TO AWARDS</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21</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13.1</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Forfeiture Events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21</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13.2</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Awards May be Granted Separately or Together</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21</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13.3</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Non-transferability of Awards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21</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13.4</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Conditions and Restrictions upon Shares Subject to Awards</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22</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13.5</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Share Certificates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22</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13.6</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Conformity to Plan</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22</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13.7</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Performance Evaluation; Adjustment of Goals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22</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13.8</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 of Performance-based Awards</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22</w:t>
            </w:r>
          </w:p>
        </w:tc>
      </w:tr>
      <w:tr>
        <w:trPr>
          <w:trHeight w:val="207"/>
        </w:trPr>
        <w:tc>
          <w:tcPr>
            <w:tcW w:w="92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SECTION 14 MISCELLANEOUS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23</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14.1</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 Right as Shareholder</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23</w:t>
            </w:r>
          </w:p>
        </w:tc>
      </w:tr>
      <w:tr>
        <w:trPr>
          <w:trHeight w:val="207"/>
        </w:trPr>
        <w:tc>
          <w:tcPr>
            <w:tcW w:w="10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14.2</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 Trust or Fund Created</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color w:val="auto"/>
              </w:rPr>
              <w:t>23</w:t>
            </w:r>
          </w:p>
        </w:tc>
      </w:tr>
      <w:tr>
        <w:trPr>
          <w:trHeight w:val="207"/>
        </w:trPr>
        <w:tc>
          <w:tcPr>
            <w:tcW w:w="1060" w:type="dxa"/>
            <w:vAlign w:val="bottom"/>
            <w:shd w:val="clear" w:color="auto" w:fill="CCEEFF"/>
          </w:tcPr>
          <w:p>
            <w:pPr>
              <w:jc w:val="center"/>
              <w:ind w:left="114"/>
              <w:spacing w:after="0"/>
              <w:rPr>
                <w:sz w:val="20"/>
                <w:szCs w:val="20"/>
                <w:color w:val="auto"/>
              </w:rPr>
            </w:pPr>
            <w:r>
              <w:rPr>
                <w:rFonts w:ascii="Times New Roman" w:cs="Times New Roman" w:eastAsia="Times New Roman" w:hAnsi="Times New Roman"/>
                <w:sz w:val="17"/>
                <w:szCs w:val="17"/>
                <w:color w:val="auto"/>
              </w:rPr>
              <w:t>14.3</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No Representations or Covenants with Respect to Tax Qualification; Section 409A</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color w:val="auto"/>
              </w:rPr>
              <w:t>23</w:t>
            </w:r>
          </w:p>
        </w:tc>
      </w:t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Appendix A</w:t>
            </w:r>
          </w:p>
        </w:tc>
        <w:tc>
          <w:tcPr>
            <w:tcW w:w="814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UNITED STATES SUBPLAN PLAN PROVISIONS APPLICABLE TO US TAXPAYERS</w:t>
            </w:r>
          </w:p>
        </w:tc>
        <w:tc>
          <w:tcPr>
            <w:tcW w:w="2040" w:type="dxa"/>
            <w:vAlign w:val="bottom"/>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w w:val="98"/>
              </w:rPr>
              <w:t>A-1</w:t>
            </w:r>
          </w:p>
        </w:tc>
      </w:tr>
      <w:tr>
        <w:trPr>
          <w:trHeight w:val="207"/>
        </w:trPr>
        <w:tc>
          <w:tcPr>
            <w:tcW w:w="1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Appendix B</w:t>
            </w:r>
          </w:p>
        </w:tc>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b w:val="1"/>
                <w:bCs w:val="1"/>
                <w:color w:val="auto"/>
              </w:rPr>
              <w:t>BITFARMS LTD. LONG TERM INCENTIVE PLAN - OPTION CERTIFICATE</w:t>
            </w:r>
          </w:p>
        </w:tc>
        <w:tc>
          <w:tcPr>
            <w:tcW w:w="2040" w:type="dxa"/>
            <w:vAlign w:val="bottom"/>
            <w:shd w:val="clear" w:color="auto" w:fill="CCEEFF"/>
          </w:tcPr>
          <w:p>
            <w:pPr>
              <w:jc w:val="center"/>
              <w:ind w:left="854"/>
              <w:spacing w:after="0"/>
              <w:rPr>
                <w:sz w:val="20"/>
                <w:szCs w:val="20"/>
                <w:color w:val="auto"/>
              </w:rPr>
            </w:pPr>
            <w:r>
              <w:rPr>
                <w:rFonts w:ascii="Times New Roman" w:cs="Times New Roman" w:eastAsia="Times New Roman" w:hAnsi="Times New Roman"/>
                <w:sz w:val="17"/>
                <w:szCs w:val="17"/>
                <w:b w:val="1"/>
                <w:bCs w:val="1"/>
                <w:color w:val="auto"/>
              </w:rPr>
              <w:t>B-1</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LONG TERM INCENTIVE PLAN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DEFINITIONS AND INTERPRETATION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b w:val="1"/>
          <w:bCs w:val="1"/>
          <w:u w:val="single" w:color="auto"/>
          <w:color w:val="auto"/>
        </w:rPr>
        <w:t>Definitions</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As used herein, unless there is something in the subject matter or context inconsistent therewith, the following terms shall have the meanings set forth below (special definitions applicable to US Taxpayers (as defined in Appendix A attached hereto) may be found in Appendix A):</w:t>
      </w:r>
    </w:p>
    <w:p>
      <w:pPr>
        <w:spacing w:after="0" w:line="147" w:lineRule="exact"/>
        <w:rPr>
          <w:sz w:val="20"/>
          <w:szCs w:val="20"/>
          <w:color w:val="auto"/>
        </w:rPr>
      </w:pPr>
    </w:p>
    <w:p>
      <w:pPr>
        <w:ind w:left="620" w:hanging="61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“Administrator” means such Executive or Employee of the Company as may be designated as Administrator by the Committee from time to time, if any.</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“Associate” means, where used to indicate a relationship with any person:</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relative, including the spouse of that person or a relative of that person’s spouse, where the relative has the same home as the person;</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partner, other than a limited partner, of that person;</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trust or estate in which such person has a substantial beneficial interest or as to which such person serves as trustee or in a similar capacity; and</w:t>
      </w:r>
    </w:p>
    <w:p>
      <w:pPr>
        <w:spacing w:after="0" w:line="146"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of which such person beneficially owns or controls, directly or indirectly, voting securities carrying more than ten percent (10%) of the voting rights attached to all outstanding voting securities of the corporation.</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means any award of Restricted Share Units or Options granted under this Plan.</w:t>
      </w:r>
    </w:p>
    <w:p>
      <w:pPr>
        <w:spacing w:after="0" w:line="218"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Agreement” means any written agreement, contract, or other instrument or document, including an electronic communication, as may from time to time be designated by the Company as evidencing any Award granted under this Plan.</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“Award Holder” means Option Holder or RSU Holder, as applicable.</w:t>
      </w:r>
    </w:p>
    <w:p>
      <w:pPr>
        <w:spacing w:after="0" w:line="218"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“Black-Out” means a restriction imposed by the Company on all or any of its directors, officers, employees, Insiders or persons in a special relationship whereby they are to refrain from trading in the Company’s securities until the restriction has been lifted by the Company.</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218" w:lineRule="exact"/>
        <w:rPr>
          <w:rFonts w:ascii="Times New Roman" w:cs="Times New Roman" w:eastAsia="Times New Roman" w:hAnsi="Times New Roman"/>
          <w:sz w:val="17"/>
          <w:szCs w:val="17"/>
          <w:color w:val="auto"/>
        </w:rPr>
      </w:pPr>
    </w:p>
    <w:p>
      <w:pPr>
        <w:jc w:val="both"/>
        <w:ind w:left="620" w:hanging="617"/>
        <w:spacing w:after="0" w:line="266" w:lineRule="auto"/>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means, with respect to any Participant, “Cause” (or any conceptually similar term) as defined in any individual agreement between the Company or a Subsidiary and the Participant or, if there is no such agreement or if such agreement does not define Cause, “Cause” means any act or omission of the Participant that would permit the Company to terminate the employment or services of such Participant without notice or payment in lieu of notice, and shall include, as applicable:</w:t>
      </w:r>
    </w:p>
    <w:p>
      <w:pPr>
        <w:spacing w:after="0" w:line="168" w:lineRule="exact"/>
        <w:rPr>
          <w:rFonts w:ascii="Times New Roman" w:cs="Times New Roman" w:eastAsia="Times New Roman" w:hAnsi="Times New Roman"/>
          <w:sz w:val="17"/>
          <w:szCs w:val="17"/>
          <w:color w:val="auto"/>
        </w:rPr>
      </w:pPr>
    </w:p>
    <w:p>
      <w:pPr>
        <w:jc w:val="both"/>
        <w:ind w:left="1240" w:hanging="616"/>
        <w:spacing w:after="0" w:line="272" w:lineRule="auto"/>
        <w:tabs>
          <w:tab w:leader="none" w:pos="124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repeated willful failure by the Participant to promptly and adequately perform their duties to the satisfaction of the Company, which failure, if curable in the discretion of the Company, is not cured to the reasonable satisfaction of the Company within forty-five (45) days after receipt of written notice from the Company of such failure specifying the duty or duties that are not being adequately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247015</wp:posOffset>
            </wp:positionV>
            <wp:extent cx="713803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2" w:name="page43"/>
    <w:bookmarkEnd w:id="42"/>
    <w:p>
      <w:pPr>
        <w:ind w:left="1240" w:hanging="616"/>
        <w:spacing w:after="0" w:line="291"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willful misconduct or gross negligence in the performance of the Participant’s duties to the Company that has or reasonably could be expected to have an adverse effect on the Company;</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indictment for, conviction of, or pleading of guilty or nolo contendere to, a felony or any crime involving moral turpitude;</w:t>
      </w:r>
    </w:p>
    <w:p>
      <w:pPr>
        <w:spacing w:after="0" w:line="218" w:lineRule="exact"/>
        <w:rPr>
          <w:rFonts w:ascii="Times New Roman" w:cs="Times New Roman" w:eastAsia="Times New Roman" w:hAnsi="Times New Roman"/>
          <w:sz w:val="17"/>
          <w:szCs w:val="17"/>
          <w:color w:val="auto"/>
        </w:rPr>
      </w:pPr>
    </w:p>
    <w:p>
      <w:pPr>
        <w:jc w:val="both"/>
        <w:ind w:left="1240" w:hanging="616"/>
        <w:spacing w:after="0" w:line="283"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of the employment or services agreement between the Company and the Participant including, if applicable, the confidentiality/non-competition agreement included therein, or any other agreement between the Participant and the Company or any Subsidiary;</w:t>
      </w:r>
    </w:p>
    <w:p>
      <w:pPr>
        <w:spacing w:after="0" w:line="366" w:lineRule="exact"/>
        <w:rPr>
          <w:rFonts w:ascii="Times New Roman" w:cs="Times New Roman" w:eastAsia="Times New Roman" w:hAnsi="Times New Roman"/>
          <w:sz w:val="17"/>
          <w:szCs w:val="17"/>
          <w:color w:val="auto"/>
        </w:rPr>
      </w:pPr>
    </w:p>
    <w:p>
      <w:pPr>
        <w:jc w:val="both"/>
        <w:ind w:left="1240" w:hanging="616"/>
        <w:spacing w:after="0" w:line="266"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breach of the Company’s written policies, rules, systems, and procedures that apply to the Participant, as may exist and be in effect from time to time, including, but not limited to, the Code of Business Conduct and Ethics, the Disclosure and Confidentiality Policy and the Securities Trading Policy, which breach, if curable in the discretion of the Company, is not cured to the reasonable satisfaction of the Company within forty-five (45) days after receipt of written notice from the Company specifying the breach;</w:t>
      </w:r>
    </w:p>
    <w:p>
      <w:pPr>
        <w:spacing w:after="0" w:line="16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of theft, fraud, malfeasance or dishonesty in connection with the performance of the Participant’s duties to the Company; and</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 that brings or is reasonably likely to bring the Company or a Subsidiary negative publicity or into public disgrace, embarrassment, or disrepute.</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means an occurrence when either:</w:t>
      </w:r>
    </w:p>
    <w:p>
      <w:pPr>
        <w:spacing w:after="0" w:line="216" w:lineRule="exact"/>
        <w:rPr>
          <w:rFonts w:ascii="Times New Roman" w:cs="Times New Roman" w:eastAsia="Times New Roman" w:hAnsi="Times New Roman"/>
          <w:sz w:val="17"/>
          <w:szCs w:val="17"/>
          <w:color w:val="auto"/>
        </w:rPr>
      </w:pPr>
    </w:p>
    <w:p>
      <w:pPr>
        <w:ind w:left="1240" w:hanging="616"/>
        <w:spacing w:after="0" w:line="293" w:lineRule="auto"/>
        <w:tabs>
          <w:tab w:leader="none" w:pos="12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Person or Entity, other than the current “control person” of the Company (as that term is defined in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becomes a “control person” of the Company; or</w:t>
      </w:r>
    </w:p>
    <w:p>
      <w:pPr>
        <w:spacing w:after="0" w:line="145"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majority of the directors elected at any annual or extraordinary general meeting of shareholders of the Company are not individuals nominated by the Company’s then-incumbent Board.</w:t>
      </w:r>
    </w:p>
    <w:p>
      <w:pPr>
        <w:spacing w:after="0" w:line="147" w:lineRule="exact"/>
        <w:rPr>
          <w:sz w:val="20"/>
          <w:szCs w:val="20"/>
          <w:color w:val="auto"/>
        </w:rPr>
      </w:pPr>
    </w:p>
    <w:p>
      <w:pPr>
        <w:ind w:left="620" w:hanging="61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“Clawback Policy” means the clawback policy of the Company adopted by the Board on November 29, 2023.</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means a committee of the Board appointed in accordance with this Plan or if no such committee is appointed, the Board itself.</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means Bitfarms Ltd.</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“Consultant” means an individual who:</w:t>
      </w:r>
    </w:p>
    <w:p>
      <w:pPr>
        <w:spacing w:after="0" w:line="216" w:lineRule="exact"/>
        <w:rPr>
          <w:rFonts w:ascii="Times New Roman" w:cs="Times New Roman" w:eastAsia="Times New Roman" w:hAnsi="Times New Roman"/>
          <w:sz w:val="17"/>
          <w:szCs w:val="17"/>
          <w:color w:val="auto"/>
        </w:rPr>
      </w:pPr>
    </w:p>
    <w:p>
      <w:pPr>
        <w:ind w:left="1240" w:hanging="616"/>
        <w:spacing w:after="0" w:line="293" w:lineRule="auto"/>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engaged to provide, on an ongoing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basis, consulting, technical, management or other services to the Company or any Subsidiary other than services provided in relation to a “distribution” (as that term is described in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w:t>
      </w:r>
    </w:p>
    <w:p>
      <w:pPr>
        <w:spacing w:after="0" w:line="145"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provides the services under a written contract between the Company or any Subsidiary and the individual;</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reasonable opinion of the Company, spends or will spend a significant amount of time and attention on the affairs and business of the Company or any Subsidiary;</w:t>
      </w:r>
    </w:p>
    <w:p>
      <w:pPr>
        <w:spacing w:after="0" w:line="146"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a relationship with the Company or any Subsidiary that enables the individual to be knowledgeable about the business and affairs of the Company or is otherwise permitted by applicable Regulatory Rules to be granted Options as a Consultant or as an equivalent thereof;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3" w:name="page44"/>
    <w:bookmarkEnd w:id="43"/>
    <w:p>
      <w:pPr>
        <w:jc w:val="both"/>
        <w:ind w:left="617" w:hanging="617"/>
        <w:spacing w:after="0" w:line="272"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“Disability” means a medically determinable physical or mental impairment expected to result in death or to last for a continuous period of not less than twelve (12) months, and which causes an individual to be unable to engage in any substantial gainful activity, or any other condition of impairment that the Committee, acting reasonably, determines constitutes a disability.</w:t>
      </w:r>
    </w:p>
    <w:p>
      <w:pPr>
        <w:spacing w:after="0" w:line="163" w:lineRule="exact"/>
        <w:rPr>
          <w:rFonts w:ascii="Times New Roman" w:cs="Times New Roman" w:eastAsia="Times New Roman" w:hAnsi="Times New Roman"/>
          <w:sz w:val="17"/>
          <w:szCs w:val="17"/>
          <w:color w:val="auto"/>
        </w:rPr>
      </w:pPr>
    </w:p>
    <w:p>
      <w:pPr>
        <w:ind w:left="617" w:hanging="617"/>
        <w:spacing w:after="0" w:line="291"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“Disinterested Shareholder Approval” means the approval of a majority of shareholders of the Company voting at a duly called and held meeting of such shareholders, excluding votes of Insiders to whom Options may be granted under the Plan.</w:t>
      </w:r>
    </w:p>
    <w:p>
      <w:pPr>
        <w:spacing w:after="0" w:line="146" w:lineRule="exact"/>
        <w:rPr>
          <w:rFonts w:ascii="Times New Roman" w:cs="Times New Roman" w:eastAsia="Times New Roman" w:hAnsi="Times New Roman"/>
          <w:sz w:val="17"/>
          <w:szCs w:val="17"/>
          <w:color w:val="auto"/>
        </w:rPr>
      </w:pPr>
    </w:p>
    <w:p>
      <w:pPr>
        <w:ind w:left="617" w:hanging="617"/>
        <w:spacing w:after="0"/>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means:</w:t>
      </w:r>
    </w:p>
    <w:p>
      <w:pPr>
        <w:spacing w:after="0" w:line="218" w:lineRule="exact"/>
        <w:rPr>
          <w:rFonts w:ascii="Times New Roman" w:cs="Times New Roman" w:eastAsia="Times New Roman" w:hAnsi="Times New Roman"/>
          <w:sz w:val="17"/>
          <w:szCs w:val="17"/>
          <w:color w:val="auto"/>
        </w:rPr>
      </w:pPr>
    </w:p>
    <w:p>
      <w:pPr>
        <w:ind w:left="1237" w:hanging="616"/>
        <w:spacing w:after="0" w:line="291" w:lineRule="auto"/>
        <w:tabs>
          <w:tab w:leader="none" w:pos="123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works full-time or part-time for the Company or any Subsidiary and such other individual as may, from time to time, be permitted by applicable Regulatory Rules to be granted Options or RSUs as an employee or as an equivalent thereto; or</w:t>
      </w:r>
    </w:p>
    <w:p>
      <w:pPr>
        <w:spacing w:after="0" w:line="146" w:lineRule="exact"/>
        <w:rPr>
          <w:rFonts w:ascii="Times New Roman" w:cs="Times New Roman" w:eastAsia="Times New Roman" w:hAnsi="Times New Roman"/>
          <w:sz w:val="17"/>
          <w:szCs w:val="17"/>
          <w:color w:val="auto"/>
        </w:rPr>
      </w:pPr>
    </w:p>
    <w:p>
      <w:pPr>
        <w:jc w:val="both"/>
        <w:ind w:left="1237" w:hanging="616"/>
        <w:spacing w:after="0" w:line="266" w:lineRule="auto"/>
        <w:tabs>
          <w:tab w:leader="none" w:pos="1237"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works for the Company or any Subsidiary either full-time or on a continuing and regular basis for a minimum amount of time per week providing services normally provided by an employee and who is subject to the same control and direction by the Company or any Subsidiary over the details and methods of work as an employee of the Company or any Subsidiary, but for whom income tax deductions are not made at source and who receives at least fifty percent (50%) of their income in a calendar year from the Company.</w:t>
      </w:r>
    </w:p>
    <w:p>
      <w:pPr>
        <w:spacing w:after="0" w:line="168" w:lineRule="exact"/>
        <w:rPr>
          <w:rFonts w:ascii="Times New Roman" w:cs="Times New Roman" w:eastAsia="Times New Roman" w:hAnsi="Times New Roman"/>
          <w:sz w:val="17"/>
          <w:szCs w:val="17"/>
          <w:color w:val="auto"/>
        </w:rPr>
      </w:pPr>
    </w:p>
    <w:p>
      <w:pPr>
        <w:ind w:left="617" w:hanging="617"/>
        <w:spacing w:after="0"/>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means the TSX or Toronto Stock Exchange, being the stock exchange on which the Shares may be listed from time to time.</w:t>
      </w:r>
    </w:p>
    <w:p>
      <w:pPr>
        <w:spacing w:after="0" w:line="218" w:lineRule="exact"/>
        <w:rPr>
          <w:rFonts w:ascii="Times New Roman" w:cs="Times New Roman" w:eastAsia="Times New Roman" w:hAnsi="Times New Roman"/>
          <w:sz w:val="17"/>
          <w:szCs w:val="17"/>
          <w:color w:val="auto"/>
        </w:rPr>
      </w:pPr>
    </w:p>
    <w:p>
      <w:pPr>
        <w:ind w:left="617" w:hanging="617"/>
        <w:spacing w:after="0"/>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United States Securities Exchange Act of 1934, as amended.</w:t>
      </w:r>
    </w:p>
    <w:p>
      <w:pPr>
        <w:spacing w:after="0" w:line="218" w:lineRule="exact"/>
        <w:rPr>
          <w:rFonts w:ascii="Times New Roman" w:cs="Times New Roman" w:eastAsia="Times New Roman" w:hAnsi="Times New Roman"/>
          <w:sz w:val="17"/>
          <w:szCs w:val="17"/>
          <w:color w:val="auto"/>
        </w:rPr>
      </w:pPr>
    </w:p>
    <w:p>
      <w:pPr>
        <w:ind w:left="617" w:hanging="617"/>
        <w:spacing w:after="0"/>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means an individual who is a director or officer of the Company.</w:t>
      </w:r>
    </w:p>
    <w:p>
      <w:pPr>
        <w:spacing w:after="0" w:line="218" w:lineRule="exact"/>
        <w:rPr>
          <w:rFonts w:ascii="Times New Roman" w:cs="Times New Roman" w:eastAsia="Times New Roman" w:hAnsi="Times New Roman"/>
          <w:sz w:val="17"/>
          <w:szCs w:val="17"/>
          <w:color w:val="auto"/>
        </w:rPr>
      </w:pPr>
    </w:p>
    <w:p>
      <w:pPr>
        <w:ind w:left="617" w:hanging="617"/>
        <w:spacing w:after="0" w:line="291"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Notice” means the written notice of the exercise of an Option, in the form set out as Schedule “B” of Appendix B hereto with respect to Options granted to Employees, Executives and Consultants in Canada, duly executed by the Option Holder.</w:t>
      </w:r>
    </w:p>
    <w:p>
      <w:pPr>
        <w:spacing w:after="0" w:line="146" w:lineRule="exact"/>
        <w:rPr>
          <w:rFonts w:ascii="Times New Roman" w:cs="Times New Roman" w:eastAsia="Times New Roman" w:hAnsi="Times New Roman"/>
          <w:sz w:val="17"/>
          <w:szCs w:val="17"/>
          <w:color w:val="auto"/>
        </w:rPr>
      </w:pPr>
    </w:p>
    <w:p>
      <w:pPr>
        <w:jc w:val="both"/>
        <w:ind w:left="617" w:hanging="617"/>
        <w:spacing w:after="0" w:line="272"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Period” means the period during which a particular Option may be exercised and is the period from and including the Grant Date through to and including the Expiry Time on the Expiry Date, provided, however, that no Option can be exercised unless and until all necessary Regulatory Approvals have been obtained.</w:t>
      </w:r>
    </w:p>
    <w:p>
      <w:pPr>
        <w:spacing w:after="0" w:line="163" w:lineRule="exact"/>
        <w:rPr>
          <w:rFonts w:ascii="Times New Roman" w:cs="Times New Roman" w:eastAsia="Times New Roman" w:hAnsi="Times New Roman"/>
          <w:sz w:val="17"/>
          <w:szCs w:val="17"/>
          <w:color w:val="auto"/>
        </w:rPr>
      </w:pPr>
    </w:p>
    <w:p>
      <w:pPr>
        <w:ind w:left="617" w:hanging="617"/>
        <w:spacing w:after="0"/>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“Exercise Price” means the price at which an Option is exercisable as determined in accordance with Section 5.3.</w:t>
      </w:r>
    </w:p>
    <w:p>
      <w:pPr>
        <w:spacing w:after="0" w:line="218" w:lineRule="exact"/>
        <w:rPr>
          <w:rFonts w:ascii="Times New Roman" w:cs="Times New Roman" w:eastAsia="Times New Roman" w:hAnsi="Times New Roman"/>
          <w:sz w:val="17"/>
          <w:szCs w:val="17"/>
          <w:color w:val="auto"/>
        </w:rPr>
      </w:pPr>
    </w:p>
    <w:p>
      <w:pPr>
        <w:ind w:left="617" w:hanging="617"/>
        <w:spacing w:after="0" w:line="291"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“Expiry Date” means the date the Option or RSU, as applicable, expires as set out in the Option Certificate or Award Agreement or as otherwise determined in accordance with Sections 5.4, 6.2, 6.3, 6.4 or 12.4.</w:t>
      </w:r>
    </w:p>
    <w:p>
      <w:pPr>
        <w:spacing w:after="0" w:line="146" w:lineRule="exact"/>
        <w:rPr>
          <w:rFonts w:ascii="Times New Roman" w:cs="Times New Roman" w:eastAsia="Times New Roman" w:hAnsi="Times New Roman"/>
          <w:sz w:val="17"/>
          <w:szCs w:val="17"/>
          <w:color w:val="auto"/>
        </w:rPr>
      </w:pPr>
    </w:p>
    <w:p>
      <w:pPr>
        <w:ind w:left="617" w:hanging="617"/>
        <w:spacing w:after="0" w:line="291"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“Expiry Time” means the time the Option or RSU, as applicable, expires on the Expiry Date, which is 5:00 p.m. local time in Toronto, Ontario on the Expiry Date.</w:t>
      </w:r>
    </w:p>
    <w:p>
      <w:pPr>
        <w:spacing w:after="0" w:line="146" w:lineRule="exact"/>
        <w:rPr>
          <w:rFonts w:ascii="Times New Roman" w:cs="Times New Roman" w:eastAsia="Times New Roman" w:hAnsi="Times New Roman"/>
          <w:sz w:val="17"/>
          <w:szCs w:val="17"/>
          <w:color w:val="auto"/>
        </w:rPr>
      </w:pPr>
    </w:p>
    <w:p>
      <w:pPr>
        <w:ind w:left="617" w:hanging="617"/>
        <w:spacing w:after="0" w:line="291"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“Grant Date” means the date on which the Committee grants a particular Option or RSU, which is the date the Option or RSU comes into effect, provided, however, that no Option or RSU can be exercised unless and until all necessary Regulatory Approvals have been obtained.</w:t>
      </w:r>
    </w:p>
    <w:p>
      <w:pPr>
        <w:spacing w:after="0" w:line="144" w:lineRule="exact"/>
        <w:rPr>
          <w:rFonts w:ascii="Times New Roman" w:cs="Times New Roman" w:eastAsia="Times New Roman" w:hAnsi="Times New Roman"/>
          <w:sz w:val="17"/>
          <w:szCs w:val="17"/>
          <w:color w:val="auto"/>
        </w:rPr>
      </w:pPr>
    </w:p>
    <w:p>
      <w:pPr>
        <w:ind w:left="617" w:hanging="617"/>
        <w:spacing w:after="0"/>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“Insider” means an insider as that term is defined in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5577" w:right="3700" w:hanging="5577"/>
        <w:spacing w:after="0" w:line="799"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Value” means the market value of the Shares as determined in accordance with Section 5.3.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3803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37"/>
          </w:cols>
          <w:pgMar w:left="323" w:top="871" w:right="339" w:bottom="1440" w:gutter="0" w:footer="0" w:header="0"/>
        </w:sectPr>
      </w:pPr>
    </w:p>
    <w:bookmarkStart w:id="44" w:name="page45"/>
    <w:bookmarkEnd w:id="44"/>
    <w:p>
      <w:pPr>
        <w:ind w:left="620" w:hanging="617"/>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means an incentive share purchase option granted pursuant to this Plan entitling the Option Holder to purchase Shares of the Company and any options to purchase Shares of the Company granted under any subplan.</w:t>
      </w:r>
    </w:p>
    <w:p>
      <w:pPr>
        <w:spacing w:after="0" w:line="146"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Certificate” means the certificate, in substantially the form set out as Schedule “A” of Exhibit B hereto, evidencing the Option with respect to Options granted to Employees, Executives and Consultants located in Canada.</w:t>
      </w:r>
    </w:p>
    <w:p>
      <w:pPr>
        <w:spacing w:after="0" w:line="146" w:lineRule="exact"/>
        <w:rPr>
          <w:rFonts w:ascii="Times New Roman" w:cs="Times New Roman" w:eastAsia="Times New Roman" w:hAnsi="Times New Roman"/>
          <w:sz w:val="17"/>
          <w:szCs w:val="17"/>
          <w:color w:val="auto"/>
        </w:rPr>
      </w:pPr>
    </w:p>
    <w:p>
      <w:pPr>
        <w:ind w:left="620" w:hanging="617"/>
        <w:spacing w:after="0" w:line="265"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Holder” means a Participant who holds an unexercised and unexpired Option or, where applicable, the Personal Representative of such Participant.</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“Outstanding Issue” means the number of Shares that are outstanding (on a non-diluted basis) immediately prior to the Share issuance or grant of Option or RSU in question.</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“Participant” means any Employee, Executive or Consultant eligible to receive an Award under this Plan.</w:t>
      </w:r>
    </w:p>
    <w:p>
      <w:pPr>
        <w:spacing w:after="0" w:line="218"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or Entity” means an individual, natural person, corporation, government or political subdivision or agency of a government, and where two or more persons act as a partnership, limited partnership, syndicate or other group for the purpose of acquiring, holding or disposing of securities of an issuer, such partnership, limited partnership, syndicate or group shall be deemed to be a Person or Entity.</w:t>
      </w:r>
    </w:p>
    <w:p>
      <w:pPr>
        <w:spacing w:after="0" w:line="163"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“Personal Representative” means:</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deceased Option Holder or RSU Holder, the executor or administrator of the deceased duly appointed by a court or public authority having jurisdiction to do so; and</w:t>
      </w:r>
    </w:p>
    <w:p>
      <w:pPr>
        <w:spacing w:after="0" w:line="146"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Option Holder or RSU Holder who for any reason is unable to manage his, her or its affairs, the person entitled by law to act on behalf of such Option Holder or RSU Holder.</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means this Long-Term Incentive Plan, as from time to time amended.</w:t>
      </w:r>
    </w:p>
    <w:p>
      <w:pPr>
        <w:spacing w:after="0" w:line="218"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Approvals” means any necessary approvals of the Regulatory Authorities as may be required from time to time for the implementation, operation or amendment of this Plan or the Options or RSUs granted from time to time hereunder.</w:t>
      </w:r>
    </w:p>
    <w:p>
      <w:pPr>
        <w:spacing w:after="0" w:line="146"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means all organized trading facilities on which the Shares are listed, and all securities commissions or similar securities regulatory bodies having jurisdiction over the Company, this Plan or the Options or RSUs granted from time to time hereunder.</w:t>
      </w:r>
    </w:p>
    <w:p>
      <w:pPr>
        <w:spacing w:after="0" w:line="146"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Rules” means all corporate and securities laws, regulations, rules, policies, notices, instruments and other orders of any kind whatsoever which may, from time to time, apply to the implementation, operation or amendment of this Plan or the Options or RSUs granted from time to time hereunder including, without limitation, those of the applicable Regulatory Authorities.</w:t>
      </w:r>
    </w:p>
    <w:p>
      <w:pPr>
        <w:spacing w:after="0" w:line="163"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Share Unit” or “RSU” means a right awarded to a Participant to receive a payment in Shares as provided in Section 8 hereof and subject to the terms and conditions of this Plan and the applicable Award Agreement.</w:t>
      </w:r>
    </w:p>
    <w:p>
      <w:pPr>
        <w:spacing w:after="0" w:line="146"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 Period” means the time period between the Grant Date and the date of Vesting of an Award of RSUs specified by the Board in the applicable Award Agreement, which period shall not be less than twelve (12) months, provided the Board may, in its discretion, permit earlier Vesting, no sooner than quarterly, of the RSUs.</w:t>
      </w:r>
    </w:p>
    <w:p>
      <w:pPr>
        <w:spacing w:after="0" w:line="163"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“RSU Holder” means a Participant who holds an unexercised and unexpired RSU or, where applicable, the Personal Representative of such Participant.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5" w:name="page46"/>
    <w:bookmarkEnd w:id="45"/>
    <w:p>
      <w:pPr>
        <w:ind w:left="620" w:hanging="61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means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(Ontario), R.S.O. 1990, c. S.5, as from time to time amended.</w:t>
      </w:r>
    </w:p>
    <w:p>
      <w:pPr>
        <w:spacing w:after="0" w:line="220"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or “Shares” means, as the case may be, one or more common shares without par value in the capital stock of the Company.</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“Subsidiary” means a wholly-owned or controlled subsidiary corporation of the Company.</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Date” means the effective date of a Participant’s termination of employment or service with the Company or a Subsidiary.</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“Triggering Event” means the consummation of any one of the following:</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dissolution, liquidation or wind-up of the Company;</w:t>
      </w:r>
    </w:p>
    <w:p>
      <w:pPr>
        <w:spacing w:after="0" w:line="218" w:lineRule="exact"/>
        <w:rPr>
          <w:rFonts w:ascii="Times New Roman" w:cs="Times New Roman" w:eastAsia="Times New Roman" w:hAnsi="Times New Roman"/>
          <w:sz w:val="17"/>
          <w:szCs w:val="17"/>
          <w:color w:val="auto"/>
        </w:rPr>
      </w:pPr>
    </w:p>
    <w:p>
      <w:pPr>
        <w:jc w:val="both"/>
        <w:ind w:left="1240" w:hanging="616"/>
        <w:spacing w:after="0" w:line="272" w:lineRule="auto"/>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amalgamation, arrangement or reorganization of the Company with one (1) or more corporations as a result of which, immediately following such event, the shareholders of the Company as a group, as they were immediately prior to such event, are expected to hold less than a majority of the outstanding capital stock of the surviving corporation;</w:t>
      </w:r>
    </w:p>
    <w:p>
      <w:pPr>
        <w:spacing w:after="0" w:line="1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of all or substantially all of the issued and outstanding Shares of the Company by one (1) or more Persons or Entities;</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Control of the Company;</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other disposition of all or substantially all of the assets of the Company; or</w:t>
      </w:r>
    </w:p>
    <w:p>
      <w:pPr>
        <w:spacing w:after="0" w:line="218" w:lineRule="exact"/>
        <w:rPr>
          <w:rFonts w:ascii="Times New Roman" w:cs="Times New Roman" w:eastAsia="Times New Roman" w:hAnsi="Times New Roman"/>
          <w:sz w:val="17"/>
          <w:szCs w:val="17"/>
          <w:color w:val="auto"/>
        </w:rPr>
      </w:pPr>
    </w:p>
    <w:p>
      <w:pPr>
        <w:jc w:val="both"/>
        <w:ind w:left="1240" w:hanging="616"/>
        <w:spacing w:after="0" w:line="272" w:lineRule="auto"/>
        <w:tabs>
          <w:tab w:leader="none" w:pos="124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alteration of the capital structure of the Company which, in the opinion of the Committee, is of such a nature that it is not practical or feasible to make adjustments to this Plan or to the Options or RSUs granted hereunder to permit the Plan and Options or RSUs granted hereunder to stay in effect.</w:t>
      </w:r>
    </w:p>
    <w:p>
      <w:pPr>
        <w:spacing w:after="0" w:line="163"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“Vest,” “Vesting” or “Vested” means that a portion of the Option or RSU granted to the Option Holder or RSU Holder will or have become exercisable by the Option Holder or RSU Holder pursuant to the terms of the Option Certificate or Award Agreement issued in respect of the Option or RSU.</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7"/>
          <w:szCs w:val="17"/>
          <w:b w:val="1"/>
          <w:bCs w:val="1"/>
          <w:u w:val="single" w:color="auto"/>
          <w:color w:val="auto"/>
        </w:rPr>
        <w:t>Choice of Law</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Plan is established under, and the provisions of the Plan shall be subject to and interpreted and construed in accordance with, the laws of the Province of Ontario. The Company and each Option Holder and RSU Holder hereby attorn to the jurisdiction of the Courts of Ontario.</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7"/>
          <w:szCs w:val="17"/>
          <w:b w:val="1"/>
          <w:bCs w:val="1"/>
          <w:u w:val="single" w:color="auto"/>
          <w:color w:val="auto"/>
        </w:rPr>
        <w:t>Headings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headings used herein are for convenience only and are not to affect the interpretation of the Plan.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GRANT OF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7"/>
          <w:szCs w:val="17"/>
          <w:b w:val="1"/>
          <w:bCs w:val="1"/>
          <w:u w:val="single" w:color="auto"/>
          <w:color w:val="auto"/>
        </w:rPr>
        <w:t>Grant of Awards</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Committee shall, from time to time in its sole discretion, grant Options or RSUs to such Employees, Executives or Consultants and on such terms and conditions as are permitted under this Plan.</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7"/>
          <w:szCs w:val="17"/>
          <w:b w:val="1"/>
          <w:bCs w:val="1"/>
          <w:u w:val="single" w:color="auto"/>
          <w:color w:val="auto"/>
        </w:rPr>
        <w:t>Record of Awards Granted</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Committee shall be responsible to maintain a record of all Options and RSUs granted under this Plan and such record shall contain, in respect of each Option and RSU:</w:t>
      </w:r>
    </w:p>
    <w:p>
      <w:pPr>
        <w:spacing w:after="0" w:line="147" w:lineRule="exact"/>
        <w:rPr>
          <w:sz w:val="20"/>
          <w:szCs w:val="20"/>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and address of the Option Holder or RSU Holder;</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category (Executive, Employee or Consultant) under which the Option or RSU was granted to him, her or it;</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and Expiry Date of the Option or RSU;</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which may be acquired on the exercise of the Option or settlement of the RSU and, if applicable, the Exercise Price of the Option;</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and other additional terms, if any, attached to the Option or RSU; and</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particulars of each and every time the Option or RSU is exercised or settled.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2.3 </w:t>
      </w:r>
      <w:r>
        <w:rPr>
          <w:rFonts w:ascii="Times New Roman" w:cs="Times New Roman" w:eastAsia="Times New Roman" w:hAnsi="Times New Roman"/>
          <w:sz w:val="17"/>
          <w:szCs w:val="17"/>
          <w:b w:val="1"/>
          <w:bCs w:val="1"/>
          <w:u w:val="single" w:color="auto"/>
          <w:color w:val="auto"/>
        </w:rPr>
        <w:t>Effect of Plan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All Options and RSUs granted pursuant to the Plan shall be subject to the terms and conditions of the Plan notwithstanding the fact that the Option Certificates or Award Agreements issued in respect thereof do not expressly contain such terms and conditions but instead incorporate them by reference to the Plan. The Option Certificates and Award Agreements will be issued for convenience only and in the case of a dispute with regard to any matter in respect thereof, the provisions of the Plan and the records of the Company shall prevail over the terms and conditions in the Option Certificate or Award Agreement, save and except as noted below. Each Option or RSU will also be subject to, in addition to the provisions of the Plan, the terms and conditions contained in the schedules, if any, attached to the Option Certificate or Award Agreement for such Option or RSU, as applicable, and any subplans applicable to such Award. Should the terms and conditions contained in such schedules or subplans be inconsistent with the provisions of the Plan, such terms and conditions will supersede the provisions of the Plan.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PURPOSE AND PARTICIPATION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u w:val="single" w:color="auto"/>
          <w:color w:val="auto"/>
        </w:rPr>
        <w:t>Purpose of Plan</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purpose of the Plan is to provide the Company with a share-related mechanism to attract, retain and motivate qualified Executives, Employees and Consultants, to incentivize such individuals to contribute toward the long-term goals of the Company, and to encourage such individuals to acquire Shares of the Company as long-term investments.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3.2 </w:t>
      </w:r>
      <w:r>
        <w:rPr>
          <w:rFonts w:ascii="Times New Roman" w:cs="Times New Roman" w:eastAsia="Times New Roman" w:hAnsi="Times New Roman"/>
          <w:sz w:val="17"/>
          <w:szCs w:val="17"/>
          <w:b w:val="1"/>
          <w:bCs w:val="1"/>
          <w:u w:val="single" w:color="auto"/>
          <w:color w:val="auto"/>
        </w:rPr>
        <w:t>Participation in Plan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Committee shall, from time to time and in its sole discretion, determine those Executives, Employees and Consultants, if any, to whom Options and RSUs are to be granted.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3.3 </w:t>
      </w:r>
      <w:r>
        <w:rPr>
          <w:rFonts w:ascii="Times New Roman" w:cs="Times New Roman" w:eastAsia="Times New Roman" w:hAnsi="Times New Roman"/>
          <w:sz w:val="17"/>
          <w:szCs w:val="17"/>
          <w:b w:val="1"/>
          <w:bCs w:val="1"/>
          <w:u w:val="single" w:color="auto"/>
          <w:color w:val="auto"/>
        </w:rPr>
        <w:t>Limits on Option Grants</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If the Company is listed on the Exchange, the following limitations shall apply to the Plan and all Options thereunder so long as such limitations are required by the Exchange:</w:t>
      </w:r>
    </w:p>
    <w:p>
      <w:pPr>
        <w:spacing w:after="0" w:line="147" w:lineRule="exact"/>
        <w:rPr>
          <w:sz w:val="20"/>
          <w:szCs w:val="20"/>
          <w:color w:val="auto"/>
        </w:rPr>
      </w:pPr>
    </w:p>
    <w:p>
      <w:pPr>
        <w:jc w:val="both"/>
        <w:ind w:left="620" w:hanging="617"/>
        <w:spacing w:after="0" w:line="283" w:lineRule="auto"/>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for which Options may be granted to any one (1) Option Holder under the Plan within any twelve (12) month period shall not exceed five percent (5%) of the Outstanding Issue (unless the Company has obtained Disinterested Shareholder Approval as required by the Exchange);</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7" w:name="page48"/>
    <w:bookmarkEnd w:id="47"/>
    <w:p>
      <w:pPr>
        <w:ind w:left="620" w:hanging="617"/>
        <w:spacing w:after="0"/>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Section 5.1, the Expiry Date of an Option shall be no later than the tenth anniversary of the Grant Date of such Option;</w:t>
      </w:r>
    </w:p>
    <w:p>
      <w:pPr>
        <w:spacing w:after="0" w:line="218"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for which Options which may be granted to any one (1) Consultant within any twelve (12) month period shall not exceed two percent (2%) of the Outstanding Issue;</w:t>
      </w:r>
    </w:p>
    <w:p>
      <w:pPr>
        <w:spacing w:after="0" w:line="146"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for which Options may be granted within any twelve (12) month period to Employees or Consultants engaged in investor relations activities shall not exceed two percent (2%) of the Outstanding Issue and such Options must Vest in stages over twelve (12) months with no more than twenty-five (25%) of the Options Vesting in any three (3) month period;</w:t>
      </w:r>
    </w:p>
    <w:p>
      <w:pPr>
        <w:spacing w:after="0" w:line="163"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issued to Insiders within any twelve (12) month period, or issuable to Insiders at any time, under the Plan and any other security-based compensation arrangement of the Company, shall not exceed ten percent (10%) of the total number of issued and outstanding Shares during such period of time; and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limitation will not be an amendment to this Plan requiring the Option Holders’ consent under Section 10.2 of this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3.4 </w:t>
      </w:r>
      <w:r>
        <w:rPr>
          <w:rFonts w:ascii="Times New Roman" w:cs="Times New Roman" w:eastAsia="Times New Roman" w:hAnsi="Times New Roman"/>
          <w:sz w:val="17"/>
          <w:szCs w:val="17"/>
          <w:b w:val="1"/>
          <w:bCs w:val="1"/>
          <w:u w:val="single" w:color="auto"/>
          <w:color w:val="auto"/>
        </w:rPr>
        <w:t>Limits on RSU Grants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respect to RSUs:</w:t>
      </w:r>
    </w:p>
    <w:p>
      <w:pPr>
        <w:spacing w:after="0" w:line="218" w:lineRule="exact"/>
        <w:rPr>
          <w:sz w:val="20"/>
          <w:szCs w:val="20"/>
          <w:color w:val="auto"/>
        </w:rPr>
      </w:pPr>
    </w:p>
    <w:p>
      <w:pPr>
        <w:ind w:left="620" w:hanging="617"/>
        <w:spacing w:after="0" w:line="291"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issuable pursuant to RSUs to any Participant under this Plan shall not exceed one and one half percent (1.5%) of the issued and outstanding Shares at the time of the Award;</w:t>
      </w:r>
    </w:p>
    <w:p>
      <w:pPr>
        <w:spacing w:after="0" w:line="146"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number of Shares issuable pursuant to RSUs to any Participant under this Plan shall not, in the aggregate, exceed two and one half percent (2.5%) of the issued and outstanding Shares in any twelve (12) month period; and</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issuable pursuant to RSUs under this Plan shall not exceed ten million (10,000,000) at any one time; and</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Employees, Executives and Consultants performing investor relations activities may receive only Options as Awards under this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3.5 </w:t>
      </w:r>
      <w:r>
        <w:rPr>
          <w:rFonts w:ascii="Times New Roman" w:cs="Times New Roman" w:eastAsia="Times New Roman" w:hAnsi="Times New Roman"/>
          <w:sz w:val="17"/>
          <w:szCs w:val="17"/>
          <w:b w:val="1"/>
          <w:bCs w:val="1"/>
          <w:u w:val="single" w:color="auto"/>
          <w:color w:val="auto"/>
        </w:rPr>
        <w:t>Notification of Grant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Following the granting of an Award, the Administrator shall, within a reasonable period of time, notify the Option Holder or RSU Holder in writing of the grant and shall enclose with such notice the Option Certificate or Award Agreement representing the Option or RSU, as applicable, so granted. In no case will the Company be required to deliver an Option Certificate or Award Agreement to an Option Holder or RSU Holder until such time as the Company has obtained all necessary Regulatory Approvals for the grant of the Option or RSU.</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3.6 </w:t>
      </w:r>
      <w:r>
        <w:rPr>
          <w:rFonts w:ascii="Times New Roman" w:cs="Times New Roman" w:eastAsia="Times New Roman" w:hAnsi="Times New Roman"/>
          <w:sz w:val="17"/>
          <w:szCs w:val="17"/>
          <w:b w:val="1"/>
          <w:bCs w:val="1"/>
          <w:u w:val="single" w:color="auto"/>
          <w:color w:val="auto"/>
        </w:rPr>
        <w:t>Copy of Plan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Each Option Holder and RSU Holder, concurrently with the notice of the grant of the Option or RSU, shall be provided with a copy of the Plan. A copy of any amendment to the Plan shall be promptly provided by the Administrator to each Option Holder and RSU Holder.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3.7 </w:t>
      </w:r>
      <w:r>
        <w:rPr>
          <w:rFonts w:ascii="Times New Roman" w:cs="Times New Roman" w:eastAsia="Times New Roman" w:hAnsi="Times New Roman"/>
          <w:sz w:val="17"/>
          <w:szCs w:val="17"/>
          <w:b w:val="1"/>
          <w:bCs w:val="1"/>
          <w:u w:val="single" w:color="auto"/>
          <w:color w:val="auto"/>
        </w:rPr>
        <w:t>Limitation on Service</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Plan does not give any Option Holder or RSU Holder that is an Executive the right to serve or continue to serve as an Executive of the Company or any Subsidiary, nor does it give any Option Holder or RSU Holder that is an Employee or Consultant the right to be or to continue to be employed or engaged by the Company or any Subsidiary.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color w:val="auto"/>
        </w:rPr>
        <w:t xml:space="preserve">3.8 </w:t>
      </w:r>
      <w:r>
        <w:rPr>
          <w:rFonts w:ascii="Times New Roman" w:cs="Times New Roman" w:eastAsia="Times New Roman" w:hAnsi="Times New Roman"/>
          <w:sz w:val="17"/>
          <w:szCs w:val="17"/>
          <w:b w:val="1"/>
          <w:bCs w:val="1"/>
          <w:u w:val="single" w:color="auto"/>
          <w:color w:val="auto"/>
        </w:rPr>
        <w:t>No Obligation to Exercise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Holders shall be under no obligation to exercise Options granted under this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3.9 </w:t>
      </w:r>
      <w:r>
        <w:rPr>
          <w:rFonts w:ascii="Times New Roman" w:cs="Times New Roman" w:eastAsia="Times New Roman" w:hAnsi="Times New Roman"/>
          <w:sz w:val="17"/>
          <w:szCs w:val="17"/>
          <w:b w:val="1"/>
          <w:bCs w:val="1"/>
          <w:u w:val="single" w:color="auto"/>
          <w:color w:val="auto"/>
        </w:rPr>
        <w:t>Agreement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Company and every Option Holder and RSU Holder granted an Option or RSU hereunder shall be bound by and subject to the terms and conditions of this Plan. By accepting an Option or RSU granted hereunder, the Option Holder or RSU Holder has expressly agreed with the Company to be bound by the terms and conditions of this Plan. In the event that the Option Holder or RSU Holder receives their Options or RSUs pursuant to an oral or written agreement with the Company or a Subsidiary, whether such agreement is an employment agreement, consulting agreement or any other kind of agreement of any kind whatsoever, the Option Holder or RSU Holder acknowledges that in the event of any inconsistency between the terms relating to the grant of such Options and RSUs in that agreement and the terms attaching to the Options or RSUs as provided for in this Plan, the terms provided for in this Plan shall prevail and the other agreement shall be deemed to have been amended accordingly.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3.10 </w:t>
      </w:r>
      <w:r>
        <w:rPr>
          <w:rFonts w:ascii="Times New Roman" w:cs="Times New Roman" w:eastAsia="Times New Roman" w:hAnsi="Times New Roman"/>
          <w:sz w:val="17"/>
          <w:szCs w:val="17"/>
          <w:b w:val="1"/>
          <w:bCs w:val="1"/>
          <w:u w:val="single" w:color="auto"/>
          <w:color w:val="auto"/>
        </w:rPr>
        <w:t>Notice</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Any notice, delivery or other correspondence of any kind whatsoever to be provided by the Company to an Option Holder or RSU Holder shall be deemed to have been provided if provided to the last home address, fax number or email address of the Option Holder or RSU Holder in the records of the Company and the Company shall be under no obligation to confirm receipt or delivery.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3.11 </w:t>
      </w:r>
      <w:r>
        <w:rPr>
          <w:rFonts w:ascii="Times New Roman" w:cs="Times New Roman" w:eastAsia="Times New Roman" w:hAnsi="Times New Roman"/>
          <w:sz w:val="17"/>
          <w:szCs w:val="17"/>
          <w:b w:val="1"/>
          <w:bCs w:val="1"/>
          <w:u w:val="single" w:color="auto"/>
          <w:color w:val="auto"/>
        </w:rPr>
        <w:t>Representation to the Exchange</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As a condition precedent to the granting of an Option or RSU, the Company must be able to represent to the Exchange as of the Grant Date that the Option Holder or RSU Holder, as applicable, is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Executive, Employee or Consultant of the Company or any Subsidiary. Both the Company and the Option Holder or RSU Holder are responsible for confirming that the Option Holder or RSU Holder is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Employee, Executive or Consultant, as the case may be.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NUMBER OF SHARES UNDER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7"/>
          <w:szCs w:val="17"/>
          <w:b w:val="1"/>
          <w:bCs w:val="1"/>
          <w:u w:val="single" w:color="auto"/>
          <w:color w:val="auto"/>
        </w:rPr>
        <w:t>Board to Approve Issuance of Shares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Board shall approve by resolution the issuance of all Shares to be issued to Option Holders or RSU Holders upon the exercise of Options or settlement of RSUs, such authorization to be deemed effective as of the Grant Date of such Options or RSUs regardless of when it is actually done. The Board shall be entitled to approve the issuance of Shares in advance of the Grant Date, retroactively after the Grant Date, or by a general approval of this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7"/>
          <w:szCs w:val="17"/>
          <w:b w:val="1"/>
          <w:bCs w:val="1"/>
          <w:u w:val="single" w:color="auto"/>
          <w:color w:val="auto"/>
        </w:rPr>
        <w:t>Number of Shares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Subject to adjustment as provided for herein, the aggregate number of Shares which will be available for the grant of Awards pursuant to this Plan and any other incentive plan of the Company pursuant to which common shares may be issued, shall not exceed ten percent (10%) of the issued and outstanding Shares as at the time of grant. If any Option or RSU expires or otherwise terminates for any reason without having been exercised in full, the number of unissued Shares in respect of such expired or terminated Option or RSU shall again be available for the purposes of granting Options or RSUs pursuant to this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7"/>
          <w:szCs w:val="17"/>
          <w:b w:val="1"/>
          <w:bCs w:val="1"/>
          <w:u w:val="single" w:color="auto"/>
          <w:color w:val="auto"/>
        </w:rPr>
        <w:t>Fractional Shares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No fractional Shares shall be issued upon the exercise or settlement of any Option or RSU and, if as a result of any adjustment, an Option Holder or RSU Holder would become entitled to a fractional Share, such Option Holder or RSU Holder shall have the right to acquire only the next lowest whole number of Shares and no payment or other adjustment shall be made for the fractional interest.</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SECTION 5</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TERMS AND CONDITIONS OF OPTIONS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5.1 </w:t>
      </w:r>
      <w:r>
        <w:rPr>
          <w:rFonts w:ascii="Times New Roman" w:cs="Times New Roman" w:eastAsia="Times New Roman" w:hAnsi="Times New Roman"/>
          <w:sz w:val="17"/>
          <w:szCs w:val="17"/>
          <w:b w:val="1"/>
          <w:bCs w:val="1"/>
          <w:u w:val="single" w:color="auto"/>
          <w:color w:val="auto"/>
        </w:rPr>
        <w:t>Exercise Period of Option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Subject to Sections 5.4, 6.2, 6.3, 6.4 and 12.4, the Grant Date and the Expiry Date of an Option shall be the dates fixed by the Committee at the time the Option is granted and shall be set out in the Option Certificate or Award Agreement issued in respect of such 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5.2 </w:t>
      </w:r>
      <w:r>
        <w:rPr>
          <w:rFonts w:ascii="Times New Roman" w:cs="Times New Roman" w:eastAsia="Times New Roman" w:hAnsi="Times New Roman"/>
          <w:sz w:val="17"/>
          <w:szCs w:val="17"/>
          <w:b w:val="1"/>
          <w:bCs w:val="1"/>
          <w:u w:val="single" w:color="auto"/>
          <w:color w:val="auto"/>
        </w:rPr>
        <w:t>Number of Shares Under Option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number of Shares which may be purchased pursuant to an Option shall be determined by the Committee and shall be set out in the Option Certificate or Award Agreement issued in respect of the Option.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5.3 </w:t>
      </w:r>
      <w:r>
        <w:rPr>
          <w:rFonts w:ascii="Times New Roman" w:cs="Times New Roman" w:eastAsia="Times New Roman" w:hAnsi="Times New Roman"/>
          <w:sz w:val="17"/>
          <w:szCs w:val="17"/>
          <w:b w:val="1"/>
          <w:bCs w:val="1"/>
          <w:u w:val="single" w:color="auto"/>
          <w:color w:val="auto"/>
        </w:rPr>
        <w:t>Exercise Price of Option</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Exercise Price at which an Option Holder may purchase a Share upon the exercise of an Option shall be determined by the Committee and shall be set out in the Option Certificate or Award Agreement issued in respect of the Option. The Exercise Price shall not be less than the Market Value of the Shares as of the Grant Date. The Market Value of the Shares for a particular Grant Date shall be determined as follows:</w:t>
      </w:r>
    </w:p>
    <w:p>
      <w:pPr>
        <w:spacing w:after="0" w:line="163" w:lineRule="exact"/>
        <w:rPr>
          <w:sz w:val="20"/>
          <w:szCs w:val="20"/>
          <w:color w:val="auto"/>
        </w:rPr>
      </w:pPr>
    </w:p>
    <w:p>
      <w:pPr>
        <w:ind w:left="620" w:hanging="617"/>
        <w:spacing w:after="0" w:line="291"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organized trading facility on which the Shares are listed, the Market Value shall be the closing trading price of the Shares on the day immediately preceding the Grant Date, and may be less than this price if it is within the discounts permitted by the applicable Regulatory Authorities;</w:t>
      </w:r>
    </w:p>
    <w:p>
      <w:pPr>
        <w:spacing w:after="0" w:line="146"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listed on more than one organized trading facility, the Market Value shall be the Market Value as determined in accordance with Section 5.3(a) above for the primary organized trading facility on which the Shares are listed, as determined by the Committee, subject to any adjustments as may be required to secure all necessary Regulatory Approvals;</w:t>
      </w:r>
    </w:p>
    <w:p>
      <w:pPr>
        <w:spacing w:after="0" w:line="163"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listed on one or more organized trading facilities but have not traded during the ten (10) trading days immediately preceding the Grant Date, then the Market Value shall be, subject to any adjustments as may be required to secure all necessary Regulatory Approvals, such value as is determined by the Committee; and</w:t>
      </w:r>
    </w:p>
    <w:p>
      <w:pPr>
        <w:spacing w:after="0" w:line="163" w:lineRule="exact"/>
        <w:rPr>
          <w:rFonts w:ascii="Times New Roman" w:cs="Times New Roman" w:eastAsia="Times New Roman" w:hAnsi="Times New Roman"/>
          <w:sz w:val="17"/>
          <w:szCs w:val="17"/>
          <w:color w:val="auto"/>
        </w:rPr>
      </w:pPr>
    </w:p>
    <w:p>
      <w:pPr>
        <w:jc w:val="both"/>
        <w:ind w:left="620" w:hanging="617"/>
        <w:spacing w:after="0" w:line="269" w:lineRule="auto"/>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not listed on any organized trading facility, then the Market Value shall be, subject to any adjustments as may be required to secure all necessary Regulatory Approvals, such value as is determined by the Committee to be the fair value of the Shares, taking into consideration all factors that the Committee deems appropriate, including, without limitation, recent sale and offer prices of the Shares in private transactions negotiated at arms’ length.</w:t>
      </w:r>
    </w:p>
    <w:p>
      <w:pPr>
        <w:spacing w:after="0" w:line="37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Notwithstanding anything else contained herein, in no case will the Market Value be less than the minimum prescribed by each of the organized trading facilities that would apply to the Company on the Grant Date in question. Special provisions applicable to US Taxpayers may be found in Appendix A.</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 xml:space="preserve">5.4 </w:t>
      </w:r>
      <w:r>
        <w:rPr>
          <w:rFonts w:ascii="Times New Roman" w:cs="Times New Roman" w:eastAsia="Times New Roman" w:hAnsi="Times New Roman"/>
          <w:sz w:val="17"/>
          <w:szCs w:val="17"/>
          <w:b w:val="1"/>
          <w:bCs w:val="1"/>
          <w:u w:val="single" w:color="auto"/>
          <w:color w:val="auto"/>
        </w:rPr>
        <w:t>Termination of Option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Subject to such other terms or conditions that may be attached to Options granted hereunder, an Option Holder may exercise an Option in whole or in part at any time and from time to time during the Exercise Period. Any Option or part thereof not exercised within the Exercise Period shall terminate and become null, void and of no effect as of the Expiry Time on the Expiry Date. The Expiry Date of an Option shall be the earlier of the date so fixed by the Committee at the time the Option is granted as set out in the Option Certificate or Award Agreement and the date established, if applicable, in Sections 5.4(a) to (d) below or Sections 6.2, 6.3, 6.4 or 12.4 of this Plan:</w:t>
      </w:r>
    </w:p>
    <w:p>
      <w:pPr>
        <w:spacing w:after="0" w:line="169" w:lineRule="exact"/>
        <w:rPr>
          <w:sz w:val="20"/>
          <w:szCs w:val="20"/>
          <w:color w:val="auto"/>
        </w:rPr>
      </w:pPr>
    </w:p>
    <w:p>
      <w:pPr>
        <w:jc w:val="both"/>
        <w:ind w:left="620" w:hanging="617"/>
        <w:spacing w:after="0" w:line="273" w:lineRule="auto"/>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Ceasing to Hold Office </w:t>
      </w:r>
      <w:r>
        <w:rPr>
          <w:rFonts w:ascii="Times New Roman" w:cs="Times New Roman" w:eastAsia="Times New Roman" w:hAnsi="Times New Roman"/>
          <w:sz w:val="17"/>
          <w:szCs w:val="17"/>
          <w:color w:val="auto"/>
        </w:rPr>
        <w:t>– Subject to subsection 5.4(b), in the event that the Option Holder holds his, her or its Option as an Executive and such Option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Holder ceases to hold such position other than for Cause or by reason of death or Disability, unless otherwise determined by the Committee and expressly provided for in the Option Certificate or Award Agreement:</w:t>
      </w:r>
    </w:p>
    <w:p>
      <w:pPr>
        <w:spacing w:after="0" w:line="162"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Vested Options held by the Participant at the time of such termination shall expire on the date that is the earlier of: (A) the date that is one</w:t>
      </w:r>
    </w:p>
    <w:p>
      <w:pPr>
        <w:spacing w:after="0" w:line="30" w:lineRule="exact"/>
        <w:rPr>
          <w:rFonts w:ascii="Times New Roman" w:cs="Times New Roman" w:eastAsia="Times New Roman" w:hAnsi="Times New Roman"/>
          <w:sz w:val="17"/>
          <w:szCs w:val="17"/>
          <w:color w:val="auto"/>
        </w:rPr>
      </w:pPr>
    </w:p>
    <w:p>
      <w:pPr>
        <w:ind w:left="1480" w:hanging="235"/>
        <w:spacing w:after="0"/>
        <w:tabs>
          <w:tab w:leader="none" w:pos="1480" w:val="left"/>
        </w:tabs>
        <w:numPr>
          <w:ilvl w:val="2"/>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 following the Termination Date; and (B) the Expiry Date; and</w:t>
      </w:r>
    </w:p>
    <w:p>
      <w:pPr>
        <w:spacing w:after="0" w:line="199"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unvested Options held by the Participant at the time of such termination shall be cancelled and forfeited upon the Termination Date;</w:t>
      </w:r>
    </w:p>
    <w:p>
      <w:pPr>
        <w:spacing w:after="0" w:line="216" w:lineRule="exact"/>
        <w:rPr>
          <w:rFonts w:ascii="Times New Roman" w:cs="Times New Roman" w:eastAsia="Times New Roman" w:hAnsi="Times New Roman"/>
          <w:sz w:val="17"/>
          <w:szCs w:val="17"/>
          <w:color w:val="auto"/>
        </w:rPr>
      </w:pPr>
    </w:p>
    <w:p>
      <w:pPr>
        <w:jc w:val="both"/>
        <w:ind w:left="620" w:hanging="617"/>
        <w:spacing w:after="0" w:line="267" w:lineRule="auto"/>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Ceasing to Hold Office for Cause - </w:t>
      </w:r>
      <w:r>
        <w:rPr>
          <w:rFonts w:ascii="Times New Roman" w:cs="Times New Roman" w:eastAsia="Times New Roman" w:hAnsi="Times New Roman"/>
          <w:sz w:val="17"/>
          <w:szCs w:val="17"/>
          <w:color w:val="auto"/>
        </w:rPr>
        <w:t>In the event that an Option Holder holds his, her or its Option as an Executive and such Option Holder ceases to hold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position for Cause, resigns his/her position as a result of the act or omission for which Cause is asserted, or ceases to remain as an Executive by order made by any Regulatory Authority having jurisdiction to so order, any Vested Options or unvested Options held by the Participant at the time of such termination shall be cancelled and forfeited upon the Termination Date.</w:t>
      </w:r>
    </w:p>
    <w:p>
      <w:pPr>
        <w:spacing w:after="0" w:line="164" w:lineRule="exact"/>
        <w:rPr>
          <w:rFonts w:ascii="Times New Roman" w:cs="Times New Roman" w:eastAsia="Times New Roman" w:hAnsi="Times New Roman"/>
          <w:sz w:val="17"/>
          <w:szCs w:val="17"/>
          <w:color w:val="auto"/>
        </w:rPr>
      </w:pPr>
    </w:p>
    <w:p>
      <w:pPr>
        <w:jc w:val="both"/>
        <w:ind w:left="620" w:hanging="617"/>
        <w:spacing w:after="0" w:line="273" w:lineRule="auto"/>
        <w:tabs>
          <w:tab w:leader="none" w:pos="6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of Employee or Consultant without Cause </w:t>
      </w:r>
      <w:r>
        <w:rPr>
          <w:rFonts w:ascii="Times New Roman" w:cs="Times New Roman" w:eastAsia="Times New Roman" w:hAnsi="Times New Roman"/>
          <w:sz w:val="17"/>
          <w:szCs w:val="17"/>
          <w:color w:val="auto"/>
        </w:rPr>
        <w:t>- In the event that the Option Holder holds his, her or its Option as an Employee or Consultant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Option Holder ceases to hold such position other than for Cause or by reason of death or Disability, unless otherwise determined by the Committee and expressly provided for in the Option Certificate or Award Agreement:</w:t>
      </w:r>
    </w:p>
    <w:p>
      <w:pPr>
        <w:spacing w:after="0" w:line="162"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Vested Options held by the Participant at the time of such termination shall expire on the date that is the earlier of: (A) the date that is ninety</w:t>
      </w:r>
    </w:p>
    <w:p>
      <w:pPr>
        <w:spacing w:after="0" w:line="30" w:lineRule="exact"/>
        <w:rPr>
          <w:rFonts w:ascii="Times New Roman" w:cs="Times New Roman" w:eastAsia="Times New Roman" w:hAnsi="Times New Roman"/>
          <w:sz w:val="17"/>
          <w:szCs w:val="17"/>
          <w:color w:val="auto"/>
        </w:rPr>
      </w:pPr>
    </w:p>
    <w:p>
      <w:pPr>
        <w:ind w:left="1580" w:hanging="335"/>
        <w:spacing w:after="0"/>
        <w:tabs>
          <w:tab w:leader="none" w:pos="1580"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the Termination Date; and (B) the Expiry Date; and</w:t>
      </w:r>
    </w:p>
    <w:p>
      <w:pPr>
        <w:spacing w:after="0" w:line="199"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unvested Options held by the Participant at the time of such termination shall be cancelled and forfeited upon the Termination Date;</w:t>
      </w:r>
    </w:p>
    <w:p>
      <w:pPr>
        <w:spacing w:after="0" w:line="216" w:lineRule="exact"/>
        <w:rPr>
          <w:rFonts w:ascii="Times New Roman" w:cs="Times New Roman" w:eastAsia="Times New Roman" w:hAnsi="Times New Roman"/>
          <w:sz w:val="17"/>
          <w:szCs w:val="17"/>
          <w:color w:val="auto"/>
        </w:rPr>
      </w:pPr>
    </w:p>
    <w:p>
      <w:pPr>
        <w:jc w:val="both"/>
        <w:ind w:left="620" w:hanging="617"/>
        <w:spacing w:after="0" w:line="267" w:lineRule="auto"/>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of Employee or Consultant for Cause </w:t>
      </w:r>
      <w:r>
        <w:rPr>
          <w:rFonts w:ascii="Times New Roman" w:cs="Times New Roman" w:eastAsia="Times New Roman" w:hAnsi="Times New Roman"/>
          <w:sz w:val="17"/>
          <w:szCs w:val="17"/>
          <w:color w:val="auto"/>
        </w:rPr>
        <w:t>- In the event that an Option Holder holds his, her or its Option as an Employee or Consultant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terminated for Cause, resigns their position as a result of the act or omission for which Cause is asserted, or ceases to remain as an Employee or Consultant by order made by any Regulatory Authority having jurisdiction to so order, any Vested Options or unvested Options held by the Participant at the time of such termination shall be cancelled and forfeited upon the Termination Date.</w:t>
      </w:r>
    </w:p>
    <w:p>
      <w:pPr>
        <w:spacing w:after="0" w:line="166" w:lineRule="exact"/>
        <w:rPr>
          <w:rFonts w:ascii="Times New Roman" w:cs="Times New Roman" w:eastAsia="Times New Roman" w:hAnsi="Times New Roman"/>
          <w:sz w:val="17"/>
          <w:szCs w:val="17"/>
          <w:color w:val="auto"/>
        </w:rPr>
      </w:pPr>
    </w:p>
    <w:p>
      <w:pPr>
        <w:jc w:val="both"/>
        <w:ind w:left="620" w:hanging="617"/>
        <w:spacing w:after="0" w:line="263" w:lineRule="auto"/>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Option Holder ceases to hold the position of Executive, Employee or Consultant for which the Option was originally granted, but comes to hold a different position as an Executive, Employee or Consultant prior to the expiry of the Option, the Committee may, in its sole discretion, choose to permit the Option to stay in place for that Option Holder with such Option then to be treated as being held by that Option Holder in his, her or its new position and such will not be considered to be an amendment to the Option in question requiring the consent of the Option Holder under Section 10.2 of this Plan. Notwithstanding the foregoing, in no case will the Expiry Date of such Option be extended.</w:t>
      </w:r>
    </w:p>
    <w:p>
      <w:pPr>
        <w:spacing w:after="0" w:line="170"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Options granted hereunder shall also be subject to the Clawback Policy, which may provide for the adjustment, termination or recoupment of an Award of Options in accordance with the terms thereof.</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Special provisions applicable to US Taxpayers may be found in Appendix A.</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 xml:space="preserve">5.5 </w:t>
      </w:r>
      <w:r>
        <w:rPr>
          <w:rFonts w:ascii="Times New Roman" w:cs="Times New Roman" w:eastAsia="Times New Roman" w:hAnsi="Times New Roman"/>
          <w:sz w:val="17"/>
          <w:szCs w:val="17"/>
          <w:b w:val="1"/>
          <w:bCs w:val="1"/>
          <w:u w:val="single" w:color="auto"/>
          <w:color w:val="auto"/>
        </w:rPr>
        <w:t>Vesting of Option and Acceleration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Vesting schedule for an Option, if any, shall be determined by the Committee and shall be set out in the Option Certificate or Award Agreement issued in respect of the Option. The Committee may elect, at any time, to accelerate the Vesting schedule of one or more Options including, without limitation, on a Triggering Event, and such acceleration will not be considered an amendment to the Option in question requiring the consent of the Option Holder under Section 10.2 of this Plan. The treatment of Options in the event of a Triggering Event may be found in Sections 12.4 and 12.5 of the Plan.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5.6 </w:t>
      </w:r>
      <w:r>
        <w:rPr>
          <w:rFonts w:ascii="Times New Roman" w:cs="Times New Roman" w:eastAsia="Times New Roman" w:hAnsi="Times New Roman"/>
          <w:sz w:val="17"/>
          <w:szCs w:val="17"/>
          <w:b w:val="1"/>
          <w:bCs w:val="1"/>
          <w:u w:val="single" w:color="auto"/>
          <w:color w:val="auto"/>
        </w:rPr>
        <w:t>Additional Terms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Subject to all applicable Regulatory Rules and all necessary Regulatory Approvals, the Committee may attach additional terms and conditions to the grant of a particular Option, such terms and conditions to be set out in a schedule attached to the Option Certificate or Award Agreement. The Option Certificates and Award Agreements will be issued for convenience only and, in the case of a dispute with regard to any matter in respect thereof, the provisions of this Plan and the records of the Company shall prevail over the terms and conditions in the Option Certificate or Award Agreement, save and except as noted below. Each Option will also be subject to, in addition to the provisions of the Plan, the terms and conditions contained in the schedules, if any, attached to the Option Certificate or Award Agreement for such Option. Should the terms and conditions contained in such schedules be inconsistent with the provisions of the Plan, such terms and conditions will supersede the provisions of the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5.7 </w:t>
      </w:r>
      <w:r>
        <w:rPr>
          <w:rFonts w:ascii="Times New Roman" w:cs="Times New Roman" w:eastAsia="Times New Roman" w:hAnsi="Times New Roman"/>
          <w:sz w:val="17"/>
          <w:szCs w:val="17"/>
          <w:b w:val="1"/>
          <w:bCs w:val="1"/>
          <w:u w:val="single" w:color="auto"/>
          <w:color w:val="auto"/>
        </w:rPr>
        <w:t>Cessation of Eligibility Upon Termination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Upon termination of an Option Holder’s employment with the Company or a Subsidiary, or upon termination of a Consultant’s contract, the Option Holder’s eligibility to receive further grants of Awards of Options under this Plan shall cease as of the Termination Date.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6</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TRANSFERABILITY OF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6.1 </w:t>
      </w:r>
      <w:r>
        <w:rPr>
          <w:rFonts w:ascii="Times New Roman" w:cs="Times New Roman" w:eastAsia="Times New Roman" w:hAnsi="Times New Roman"/>
          <w:sz w:val="17"/>
          <w:szCs w:val="17"/>
          <w:b w:val="1"/>
          <w:bCs w:val="1"/>
          <w:u w:val="single" w:color="auto"/>
          <w:color w:val="auto"/>
        </w:rPr>
        <w:t>Non-transferable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Except as provided otherwise in this Section 6, Awards are non-assignable and non-transferable.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6.2 </w:t>
      </w:r>
      <w:r>
        <w:rPr>
          <w:rFonts w:ascii="Times New Roman" w:cs="Times New Roman" w:eastAsia="Times New Roman" w:hAnsi="Times New Roman"/>
          <w:sz w:val="17"/>
          <w:szCs w:val="17"/>
          <w:b w:val="1"/>
          <w:bCs w:val="1"/>
          <w:u w:val="single" w:color="auto"/>
          <w:color w:val="auto"/>
        </w:rPr>
        <w:t>Death of Award Holder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event of the death of an Option Holder, any Options held by such Option Holder shall pass to the Personal Representative of the Option Holder and:</w:t>
      </w:r>
    </w:p>
    <w:p>
      <w:pPr>
        <w:spacing w:after="0" w:line="218" w:lineRule="exact"/>
        <w:rPr>
          <w:sz w:val="20"/>
          <w:szCs w:val="20"/>
          <w:color w:val="auto"/>
        </w:rPr>
      </w:pPr>
    </w:p>
    <w:p>
      <w:pPr>
        <w:ind w:left="620" w:hanging="617"/>
        <w:spacing w:after="0" w:line="291" w:lineRule="auto"/>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Vested Options shall be exercisable by the Personal Representative on or before the date which is the earlier of: (A) one (1) year following the date of death; and (B) the applicable Expiry Date; and</w:t>
      </w:r>
    </w:p>
    <w:p>
      <w:pPr>
        <w:spacing w:after="0" w:line="146"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unvested Options shall continue to Vest during the period following the date of death and, upon such Vesting, may be exercised by the Personal Representative on or before the date which is the earlier of: (A) one (1) year following the date of death; and (B) the applicable Expiry Date.</w:t>
      </w:r>
    </w:p>
    <w:p>
      <w:pPr>
        <w:spacing w:after="0" w:line="147"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treatment of Vested and unvested RSUs upon the death of an RSU Holder may be found in Section 8.5 of the Plan. Special provisions applicable to US Taxpayers may be found in Appendix 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6.3 </w:t>
      </w:r>
      <w:r>
        <w:rPr>
          <w:rFonts w:ascii="Times New Roman" w:cs="Times New Roman" w:eastAsia="Times New Roman" w:hAnsi="Times New Roman"/>
          <w:sz w:val="17"/>
          <w:szCs w:val="17"/>
          <w:b w:val="1"/>
          <w:bCs w:val="1"/>
          <w:u w:val="single" w:color="auto"/>
          <w:color w:val="auto"/>
        </w:rPr>
        <w:t>Disability of Award Holder</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If the employment or engagement of an Option Holder as an Employee or Consultant or the position of an Option Holder as a director or officer of the Company or a Subsidiary is terminated by the Company by reason of Disability of the Option Holder:</w:t>
      </w:r>
    </w:p>
    <w:p>
      <w:pPr>
        <w:spacing w:after="0" w:line="147" w:lineRule="exact"/>
        <w:rPr>
          <w:sz w:val="20"/>
          <w:szCs w:val="20"/>
          <w:color w:val="auto"/>
        </w:rPr>
      </w:pPr>
    </w:p>
    <w:p>
      <w:pPr>
        <w:ind w:left="620" w:hanging="617"/>
        <w:spacing w:after="0" w:line="291" w:lineRule="auto"/>
        <w:tabs>
          <w:tab w:leader="none" w:pos="62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Vested Options held by such Option Holder shall be exercisable by such Option Holder or by the Personal Representative on or before the date which is the earlier of: (A) one (1) year following the Termination Date; and (B) the applicable Expiry Date; and</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2" w:name="page53"/>
    <w:bookmarkEnd w:id="52"/>
    <w:p>
      <w:pPr>
        <w:jc w:val="both"/>
        <w:ind w:left="620" w:hanging="617"/>
        <w:spacing w:after="0" w:line="266" w:lineRule="auto"/>
        <w:tabs>
          <w:tab w:leader="none" w:pos="6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unvested Options shall be cancelled and forfeited immediately, unless the Option Holder has a Personal Representative capable of acting on behalf of the Option Holder, in which case the Options shall continue to Vest during the period following Disability of the Option Holder and, upon such Vesting, may be exercised by the Personal Representative on or before the date which is the earlier of: (A) one (1) year following the Termination Date; and (B) the applicable Expiry Date.</w:t>
      </w:r>
    </w:p>
    <w:p>
      <w:pPr>
        <w:spacing w:after="0" w:line="16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The treatment of Vested and unvested RSUs upon the termination of an RSU Holder’s employment or engagement by the Company or a Subsidiary by reason of Disability of the RSU Holder may be found in Section 8.7 of the Plan. Special provisions applicable to US Taxpayers may be found in Appendix 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6.4 </w:t>
      </w:r>
      <w:r>
        <w:rPr>
          <w:rFonts w:ascii="Times New Roman" w:cs="Times New Roman" w:eastAsia="Times New Roman" w:hAnsi="Times New Roman"/>
          <w:sz w:val="17"/>
          <w:szCs w:val="17"/>
          <w:b w:val="1"/>
          <w:bCs w:val="1"/>
          <w:u w:val="single" w:color="auto"/>
          <w:color w:val="auto"/>
        </w:rPr>
        <w:t>Disability and Death of Option Holder</w:t>
      </w:r>
    </w:p>
    <w:p>
      <w:pPr>
        <w:spacing w:after="0" w:line="220"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If an Option Holder has ceased to be employed, engaged or appointed as a director or officer of the Company or a Subsidiary by reason of such Option Holder’s Disability and such Option Holder dies within one (1) year after the termination of such engagement:</w:t>
      </w:r>
    </w:p>
    <w:p>
      <w:pPr>
        <w:spacing w:after="0" w:line="147" w:lineRule="exact"/>
        <w:rPr>
          <w:sz w:val="20"/>
          <w:szCs w:val="20"/>
          <w:color w:val="auto"/>
        </w:rPr>
      </w:pPr>
    </w:p>
    <w:p>
      <w:pPr>
        <w:jc w:val="both"/>
        <w:ind w:left="620" w:hanging="617"/>
        <w:spacing w:after="0" w:line="272" w:lineRule="auto"/>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Vested Options held by such Option Holder that could have been exercised immediately prior to the date of death shall pass to the Personal Representative of such Option Holder and shall be exercisable by the Personal Representative on or before the date which is the earlier of: (A) one (1) year following the date of death; and (B) the applicable Expiry Date; and</w:t>
      </w:r>
    </w:p>
    <w:p>
      <w:pPr>
        <w:spacing w:after="0" w:line="163"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unvested Options shall continue to Vest during the period following the date of death and, upon such Vesting, may be exercised by the Personal Representative on or before the date which is the earlier of: (A) one (1) year following the date of death; and (B) the applicable Expiry Date.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Special provisions applicable to US Taxpayers may be found in Appendix 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6.5 </w:t>
      </w:r>
      <w:r>
        <w:rPr>
          <w:rFonts w:ascii="Times New Roman" w:cs="Times New Roman" w:eastAsia="Times New Roman" w:hAnsi="Times New Roman"/>
          <w:sz w:val="17"/>
          <w:szCs w:val="17"/>
          <w:b w:val="1"/>
          <w:bCs w:val="1"/>
          <w:u w:val="single" w:color="auto"/>
          <w:color w:val="auto"/>
        </w:rPr>
        <w:t>Vesting</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Unless the Committee determines otherwise, Options held by or exercisable by a Personal Representative shall, during the period prior to the applicable Expiry Date or other date determined pursuant to Sections 6.2, 6.3 or 6.4 of the Plan, as applicable, continue to Vest in accordance with any Vesting schedule to which such Options are subject.</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Unless the Committee determines otherwise, as set forth in the applicable Option Certificate or Award Agreement, Options granted pursuant to the Plan are generally subject to the following Vesting schedule: (i) one third (1/3) of an Option shall vest upon the Grant Date; (ii) one third (1/3) of an Option shall vest upon the first anniversary of the Grant Date; and (iii) one third (1/3) of an Option shall vest upon the second anniversary of the Grant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Vesting of RSUs may be found in Section 8 of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6.6 </w:t>
      </w:r>
      <w:r>
        <w:rPr>
          <w:rFonts w:ascii="Times New Roman" w:cs="Times New Roman" w:eastAsia="Times New Roman" w:hAnsi="Times New Roman"/>
          <w:sz w:val="17"/>
          <w:szCs w:val="17"/>
          <w:b w:val="1"/>
          <w:bCs w:val="1"/>
          <w:u w:val="single" w:color="auto"/>
          <w:color w:val="auto"/>
        </w:rPr>
        <w:t>Deemed Non-Interruption of Employment or Engagement</w:t>
      </w:r>
    </w:p>
    <w:p>
      <w:pPr>
        <w:spacing w:after="0" w:line="21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Employment or engagement by the Company or a Subsidiary shall be deemed to continue intact during any military or sick leave or other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leave of absence if the period of such leave does not exceed ninety (90) days or, if longer, for so long as the Award Holder’s right to re-employment or re-engagement by the Company is guaranteed either by statute or by contract. If the period of such leave exceeds ninety (90) days and the Award Holder’s re-employment or re-engagement is not so guaranteed, then his, her or its employment or engagement shall be deemed to have terminated on the ninety-first (91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day of such leave.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SECTION 7</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EXERCISE OR SETTLEMENT OF AWARD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7"/>
          <w:szCs w:val="17"/>
          <w:b w:val="1"/>
          <w:bCs w:val="1"/>
          <w:u w:val="single" w:color="auto"/>
          <w:color w:val="auto"/>
        </w:rPr>
        <w:t>Exercise or Settlement of Award</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An Option may be exercised only by, and an RSU may be settled only for, the Award Holder or the Personal Representative of any Award Holder. Subject to Sections 6.2, 6.3 and 6.4 of the Plan, an Award Holder or the Personal Representative of any Award Holder may exercise an Option in whole or in part at any time and from time to time during the Exercise Period up to the Expiry Time on the Expiry Date by delivering to the Administrator the required Exercise Notice and, if applicable, the applicable Option Certificate or Award Agreement and a certified cheque or bank draft payable to the Company in an amount equal to the aggregate Exercise Price of the Shares then being purchased pursuant to the exercise of the Option. Notwithstanding anything else contained herein, Options may not be exercised during Black-Outs unless the Committee determines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u w:val="single" w:color="auto"/>
          <w:color w:val="auto"/>
        </w:rPr>
        <w:t>Issue of Share Certificates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soon as reasonably practicable following the receipt of the Exercise Notice, the Administrator shall cause to be delivered to the Award Holder a certificate for the Shares so purchased. If the number of Shares so purchased is less than the number of Shares subject to the Option Certificate or Award Agreement surrendered, the Administrator shall also provide a new Option Certificate for the balance of Shares available under the Option to the Award Holder concurrent with delivery of the Share Certificate.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7"/>
          <w:szCs w:val="17"/>
          <w:b w:val="1"/>
          <w:bCs w:val="1"/>
          <w:u w:val="single" w:color="auto"/>
          <w:color w:val="auto"/>
        </w:rPr>
        <w:t>No Rights as Shareholder</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Until the date of the issuance of the certificate for the Shares acquired pursuant to the exercise or settlement of an Award, no right to vote or receive dividends or any other rights as a shareholder shall exist with respect to such Shares, notwithstanding the exercise or settlement of the Award, unless the Committee determines otherwise. In the event of any dispute over the date of the issuance of the certificates, the decision of the Committee shall be final, conclusive and binding.</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8</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SHARE UNITS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8.1 </w:t>
      </w:r>
      <w:r>
        <w:rPr>
          <w:rFonts w:ascii="Times New Roman" w:cs="Times New Roman" w:eastAsia="Times New Roman" w:hAnsi="Times New Roman"/>
          <w:sz w:val="17"/>
          <w:szCs w:val="17"/>
          <w:b w:val="1"/>
          <w:bCs w:val="1"/>
          <w:u w:val="single" w:color="auto"/>
          <w:color w:val="auto"/>
        </w:rPr>
        <w:t>Eligibility and Participation</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Subject to the provisions of this Plan and such other terms and conditions as the Board may prescribe, the Board may, from time to time, grant RSUs to eligible RSU Holders. RSUs granted to an RSU Holder shall be credited, as of the Grant Date, to the RSU Holder’s account. The number of RSUs to be credited to each RSU Holder’s account shall be determined by the Committee in its sole discretion in accordance with this Plan. Each RSU shall, contingent upon the lapse of any restrictions, represent one (1) Share. The number of RSUs granted pursuant to an Award and the Restriction Period in respect of such RSUs shall be specified in the applicable Award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8.2 </w:t>
      </w:r>
      <w:r>
        <w:rPr>
          <w:rFonts w:ascii="Times New Roman" w:cs="Times New Roman" w:eastAsia="Times New Roman" w:hAnsi="Times New Roman"/>
          <w:sz w:val="17"/>
          <w:szCs w:val="17"/>
          <w:b w:val="1"/>
          <w:bCs w:val="1"/>
          <w:u w:val="single" w:color="auto"/>
          <w:color w:val="auto"/>
        </w:rPr>
        <w:t>Restrictions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RSUs shall be subject to such restrictions as the Committee, in its sole discretion, may establish in the applicable Award Agreement, which restrictions may lapse separately or in combination at such time or times and on such terms, conditions and satisfaction of objectives as the Committee may, in its discretion, determine at the time an Award is granted.</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 xml:space="preserve">8.3 </w:t>
      </w:r>
      <w:r>
        <w:rPr>
          <w:rFonts w:ascii="Times New Roman" w:cs="Times New Roman" w:eastAsia="Times New Roman" w:hAnsi="Times New Roman"/>
          <w:sz w:val="17"/>
          <w:szCs w:val="17"/>
          <w:b w:val="1"/>
          <w:bCs w:val="1"/>
          <w:u w:val="single" w:color="auto"/>
          <w:color w:val="auto"/>
        </w:rPr>
        <w:t>Vesting</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RSUs granted pursuant to the Plan will Vest at the end of the applicable Restriction Period when all restrictions specified in the applicable Award Agreement have lapsed.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8.4 </w:t>
      </w:r>
      <w:r>
        <w:rPr>
          <w:rFonts w:ascii="Times New Roman" w:cs="Times New Roman" w:eastAsia="Times New Roman" w:hAnsi="Times New Roman"/>
          <w:sz w:val="17"/>
          <w:szCs w:val="17"/>
          <w:b w:val="1"/>
          <w:bCs w:val="1"/>
          <w:u w:val="single" w:color="auto"/>
          <w:color w:val="auto"/>
        </w:rPr>
        <w:t>Change of Control</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Unless otherwise provided in an Award Agreement, notwithstanding any provision of the Plan to the contrary, in the event of a Change of Control, all restrictions upon any RSUs shall lapse immediately and all such RSUs shall become fully Vested and shall be settled in accordance with Section 8.9 hereof.</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treatment of RSUs in the event of any other Triggering Event may be found in Sections 12.4 and 12.5 of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8.5 </w:t>
      </w:r>
      <w:r>
        <w:rPr>
          <w:rFonts w:ascii="Times New Roman" w:cs="Times New Roman" w:eastAsia="Times New Roman" w:hAnsi="Times New Roman"/>
          <w:sz w:val="17"/>
          <w:szCs w:val="17"/>
          <w:b w:val="1"/>
          <w:bCs w:val="1"/>
          <w:u w:val="single" w:color="auto"/>
          <w:color w:val="auto"/>
        </w:rPr>
        <w:t>Death</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Other than as may be set forth in the applicable Award Agreement, upon the death of an RSU Holder, any RSUs granted to such RSU Holder that, prior to the RSU Holder’s death, had not Vested, shall immediately terminate without payment or settlement, be forfeited and cancelled and shall be of no further force or effect as of the date of death, and the RSU Holder or his, her or its Personal Representative, as the case may be, shall have no right, title or interest therein whatsoever. Any RSUs granted to such RSU Holder that, prior to the RSU Holder’s death, had Vested pursuant to the terms of the applicable Award Agreement shall be settled in accordance with Section 8.9 hereof.</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8.6 </w:t>
      </w:r>
      <w:r>
        <w:rPr>
          <w:rFonts w:ascii="Times New Roman" w:cs="Times New Roman" w:eastAsia="Times New Roman" w:hAnsi="Times New Roman"/>
          <w:sz w:val="17"/>
          <w:szCs w:val="17"/>
          <w:b w:val="1"/>
          <w:bCs w:val="1"/>
          <w:u w:val="single" w:color="auto"/>
          <w:color w:val="auto"/>
        </w:rPr>
        <w:t>Termination of Employment or Service</w:t>
      </w:r>
    </w:p>
    <w:p>
      <w:pPr>
        <w:spacing w:after="0" w:line="218" w:lineRule="exact"/>
        <w:rPr>
          <w:sz w:val="20"/>
          <w:szCs w:val="20"/>
          <w:color w:val="auto"/>
        </w:rPr>
      </w:pPr>
    </w:p>
    <w:p>
      <w:pPr>
        <w:jc w:val="both"/>
        <w:ind w:left="620" w:hanging="617"/>
        <w:spacing w:after="0" w:line="261"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of Employee or Consultant without Cause </w:t>
      </w:r>
      <w:r>
        <w:rPr>
          <w:rFonts w:ascii="Times New Roman" w:cs="Times New Roman" w:eastAsia="Times New Roman" w:hAnsi="Times New Roman"/>
          <w:sz w:val="17"/>
          <w:szCs w:val="17"/>
          <w:color w:val="auto"/>
        </w:rPr>
        <w:t>- In the event that an RSU Holder holds his, her or its RSU as an Employee or Consultant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RSU Holder ceases to hold such position other than for Cause or by reason of death or Disability, unless otherwise determined by the Committee and expressly provided for in the Award Agreement, any unvested RSUs held by the RSU Holder at the time of such termination shall be cancelled and forfeited upon the Termination Date, and any RSUs granted to such RSU Holder that, prior to the RSU Holder’s termination without Cause (which, for the avoidance of doubt, includes voluntary termination and retirement), had Vested pursuant to the terms of the applicable Award Agreement shall be settled in accordance with Section 8.9 hereof.</w:t>
      </w:r>
    </w:p>
    <w:p>
      <w:pPr>
        <w:spacing w:after="0" w:line="173" w:lineRule="exact"/>
        <w:rPr>
          <w:rFonts w:ascii="Times New Roman" w:cs="Times New Roman" w:eastAsia="Times New Roman" w:hAnsi="Times New Roman"/>
          <w:sz w:val="17"/>
          <w:szCs w:val="17"/>
          <w:color w:val="auto"/>
        </w:rPr>
      </w:pPr>
    </w:p>
    <w:p>
      <w:pPr>
        <w:jc w:val="both"/>
        <w:ind w:left="620" w:hanging="617"/>
        <w:spacing w:after="0" w:line="26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of Employee or Consultant for Cause </w:t>
      </w:r>
      <w:r>
        <w:rPr>
          <w:rFonts w:ascii="Times New Roman" w:cs="Times New Roman" w:eastAsia="Times New Roman" w:hAnsi="Times New Roman"/>
          <w:sz w:val="17"/>
          <w:szCs w:val="17"/>
          <w:color w:val="auto"/>
        </w:rPr>
        <w:t>- In the event that an RSU Holder holds his, her or its RSU as an Employee or Consultant and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terminated for Cause, resigns their position as a result of the act or omission for which Cause is asserted, or ceases to remain as an Employee or Consultant by order made by any Regulatory Authority having jurisdiction to so order, all RSUs granted, whether Vested or unvested, to the RSU Holder under this Plan will immediately terminate without payment or settlement, be forfeited and cancelled and shall be of no further force or effect as of the Termination Date.</w:t>
      </w:r>
    </w:p>
    <w:p>
      <w:pPr>
        <w:spacing w:after="0" w:line="172"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termination of an RSU Holder’s employment with the Company or a Subsidiary, or upon termination of a Consultant’s contract, the RSU Holder’s eligibility to receive further grants of Awards of RSUs under this Plan shall cease as of the Termination Date.</w:t>
      </w:r>
    </w:p>
    <w:p>
      <w:pPr>
        <w:spacing w:after="0" w:line="146" w:lineRule="exact"/>
        <w:rPr>
          <w:rFonts w:ascii="Times New Roman" w:cs="Times New Roman" w:eastAsia="Times New Roman" w:hAnsi="Times New Roman"/>
          <w:sz w:val="17"/>
          <w:szCs w:val="17"/>
          <w:color w:val="auto"/>
        </w:rPr>
      </w:pPr>
    </w:p>
    <w:p>
      <w:pPr>
        <w:jc w:val="both"/>
        <w:ind w:left="620" w:hanging="617"/>
        <w:spacing w:after="0" w:line="263" w:lineRule="auto"/>
        <w:tabs>
          <w:tab w:leader="none" w:pos="6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RSU Holder ceases to hold the position of Executive, Employee or Consultant for which the RSU was originally granted, but comes to hold a different position as an Executive, Employee or Consultant prior to the expiry of the RSU, the Committee may, in its sole discretion, choose to permit the RSU to stay in place for that RSU Holder with such RSU then to be treated as being held by that RSU Holder in his, her or its new position and such will not be considered to be an amendment to the RSU in question requiring the consent of the RSU Holder under Section 10.2 of this Plan. Notwithstanding the foregoing, in no case will the Expiry Date of such RSU be extended.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 xml:space="preserve">8.7 </w:t>
      </w:r>
      <w:r>
        <w:rPr>
          <w:rFonts w:ascii="Times New Roman" w:cs="Times New Roman" w:eastAsia="Times New Roman" w:hAnsi="Times New Roman"/>
          <w:sz w:val="17"/>
          <w:szCs w:val="17"/>
          <w:b w:val="1"/>
          <w:bCs w:val="1"/>
          <w:u w:val="single" w:color="auto"/>
          <w:color w:val="auto"/>
        </w:rPr>
        <w:t>Disability</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Where, in the case of Employees or Consultants, an RSU Holder becomes afflicted by a Disability, all RSUs granted to the RSU Holder under this Plan will continue to Vest in accordance with the terms of the applicable Award Agreement, provided, however, that no RSUs may be settled during a leave of absence. Where, in the case of Employees or Consultants, an RSU Holder’s employment or consulting contract is terminated due to Disability, all RSUs granted to the RSU Holder under this Plan that, prior to the RSU Holder’s termination due to Disability, had not Vested shall, unless the applicable Award Agreement provides otherwise and subject to the provisions below, immediately terminate without payment or settlement, be forfeited and cancelled and shall be of no further force or effect as of the Termination Date, and any RSUs granted to such RSU Holder that, prior to the RSU Holder’s termination due to Disability, had Vested pursuant to terms of the applicable Award Agreement shall be settled in accordance with Section 8.9 hereof.</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8.8 </w:t>
      </w:r>
      <w:r>
        <w:rPr>
          <w:rFonts w:ascii="Times New Roman" w:cs="Times New Roman" w:eastAsia="Times New Roman" w:hAnsi="Times New Roman"/>
          <w:sz w:val="17"/>
          <w:szCs w:val="17"/>
          <w:b w:val="1"/>
          <w:bCs w:val="1"/>
          <w:u w:val="single" w:color="auto"/>
          <w:color w:val="auto"/>
        </w:rPr>
        <w:t>Cessation of being an Executive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Where, in the case of Executives, an RSU Holder ceases to be an Executive for any reason, any RSUs granted to the RSU Holder under this Plan that, prior to the cessation date, had not yet Vested shall, unless the applicable Award Agreement provides otherwise and subject to the provisions below, immediately terminate without payment or settlement, be forfeited and cancelled and shall be of no further force or effect as of the cessation date, and any RSUs granted to such RSU Holder that, prior to the cessation date, had Vested pursuant to the terms of the applicable Award Agreement shall be settled in accordance with Section 8.9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8.9 </w:t>
      </w:r>
      <w:r>
        <w:rPr>
          <w:rFonts w:ascii="Times New Roman" w:cs="Times New Roman" w:eastAsia="Times New Roman" w:hAnsi="Times New Roman"/>
          <w:sz w:val="17"/>
          <w:szCs w:val="17"/>
          <w:b w:val="1"/>
          <w:bCs w:val="1"/>
          <w:u w:val="single" w:color="auto"/>
          <w:color w:val="auto"/>
        </w:rPr>
        <w:t>Settlement of Award</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As soon as practicable after each Vesting date of an Award of RSUs, and subject to the terms and conditions of the applicable Award Agreement, the Company shall issue from treasury to the RSU Holder, or if Section 8.5 applies, to the RSU Holder’s Personal Representative, a number of Shares equal to the number of RSUs credited to the RSU Holder’s account that may be settled on the Vesting date. As of the settlement date, the RSUs in respect of which such Shares are issued shall be cancelled and no further Shares shall be issued to the RSU Holder under this Plan in relation to such RSUs.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8.10 </w:t>
      </w:r>
      <w:r>
        <w:rPr>
          <w:rFonts w:ascii="Times New Roman" w:cs="Times New Roman" w:eastAsia="Times New Roman" w:hAnsi="Times New Roman"/>
          <w:sz w:val="17"/>
          <w:szCs w:val="17"/>
          <w:b w:val="1"/>
          <w:bCs w:val="1"/>
          <w:u w:val="single" w:color="auto"/>
          <w:color w:val="auto"/>
        </w:rPr>
        <w:t>Clawback Policy</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RSUs granted hereunder may also be subject to the Clawback Policy, which may provide for the adjustment, termination or recoupment of an Award of RSUs in accordance with the terms thereof.</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ADMINISTRATION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9.1 </w:t>
      </w:r>
      <w:r>
        <w:rPr>
          <w:rFonts w:ascii="Times New Roman" w:cs="Times New Roman" w:eastAsia="Times New Roman" w:hAnsi="Times New Roman"/>
          <w:sz w:val="17"/>
          <w:szCs w:val="17"/>
          <w:b w:val="1"/>
          <w:bCs w:val="1"/>
          <w:u w:val="single" w:color="auto"/>
          <w:color w:val="auto"/>
        </w:rPr>
        <w:t>Board or Committee</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Plan shall be administered by the Board, by a Committee of the Board appointed in accordance with Section 9.2 below, or by an Administrator appointed in accordance with Section 9.4(b).</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9.2 </w:t>
      </w:r>
      <w:r>
        <w:rPr>
          <w:rFonts w:ascii="Times New Roman" w:cs="Times New Roman" w:eastAsia="Times New Roman" w:hAnsi="Times New Roman"/>
          <w:sz w:val="17"/>
          <w:szCs w:val="17"/>
          <w:b w:val="1"/>
          <w:bCs w:val="1"/>
          <w:u w:val="single" w:color="auto"/>
          <w:color w:val="auto"/>
        </w:rPr>
        <w:t>Appointment of Committee</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Board may at any time appoint a Committee, consisting solely of two or more non-employee directors of the Board to administer the Plan on behalf of the Board in accordance with such terms and conditions as the Board may prescribe, consistent with this Plan. The Board shall have discretion whether or not it intends to comply with the exemption requirements of the Exchange Act Rule 16b-3. However, if the Board intends to satisfy such exemption requirements, with respect to any Insider subject to Section 16 of the Exchange Act, the Committee shall be a compensation committee of the Board that at all times consists solely of two or more non-employee directors. Within the scope of such authority, the Board or the Committee may delegate to a committee of one or more members of the Board who are not non-employee directors the authority to grant Awards to eligible persons who are not then subject to Section 16 of the Exchange Act. Once appointed, the Committee shall continue to serve until otherwise directed by the Board. From time to time, the Board may increase the size of the Committee and appoint additional members, remove members (with or without Cause) and appoint new members in their place, fill vacancies however caused, or remove all members of the Committee and thereafter directly administer the Plan.</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 xml:space="preserve">9.3 </w:t>
      </w:r>
      <w:r>
        <w:rPr>
          <w:rFonts w:ascii="Times New Roman" w:cs="Times New Roman" w:eastAsia="Times New Roman" w:hAnsi="Times New Roman"/>
          <w:sz w:val="17"/>
          <w:szCs w:val="17"/>
          <w:b w:val="1"/>
          <w:bCs w:val="1"/>
          <w:u w:val="single" w:color="auto"/>
          <w:color w:val="auto"/>
        </w:rPr>
        <w:t>Quorum and Voting</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 majority of the members of the Committee shall constitute a quorum and, subject to the limitations in this Section 9, all actions of the Committee shall require the affirmative vote of members who constitute a majority of such quorum. Members of the Committee may vote on any matters affecting the administration of the Plan or the grant of Options or RSUs pursuant to the Plan, except that no such member shall act upon the granting of an Option or RSU to themselves (but any such member may be counted in determining the existence of a quorum at any meeting of the Committee during which action is taken with respect to the granting of Options or RSUs to that member). The Committee may approve matters by written resolution signed by a majority of the quorum.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9.4 </w:t>
      </w:r>
      <w:r>
        <w:rPr>
          <w:rFonts w:ascii="Times New Roman" w:cs="Times New Roman" w:eastAsia="Times New Roman" w:hAnsi="Times New Roman"/>
          <w:sz w:val="17"/>
          <w:szCs w:val="17"/>
          <w:b w:val="1"/>
          <w:bCs w:val="1"/>
          <w:u w:val="single" w:color="auto"/>
          <w:color w:val="auto"/>
        </w:rPr>
        <w:t>Powers of Committee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Committee (or the Board if no Committee is in place) shall have the authority to do the following:</w:t>
      </w:r>
    </w:p>
    <w:p>
      <w:pPr>
        <w:spacing w:after="0" w:line="218" w:lineRule="exact"/>
        <w:rPr>
          <w:sz w:val="20"/>
          <w:szCs w:val="20"/>
          <w:color w:val="auto"/>
        </w:rPr>
      </w:pPr>
    </w:p>
    <w:p>
      <w:pPr>
        <w:ind w:left="620" w:hanging="61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 the Plan in accordance with its terms;</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or replace the Administrator from time to time;</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an employee or engage a consultant to administrate the Plan;</w:t>
      </w:r>
    </w:p>
    <w:p>
      <w:pPr>
        <w:spacing w:after="0" w:line="218"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all questions arising in connection with the administration, interpretation and application of the Plan, including all questions relating to the Market Value of the Shares;</w:t>
      </w:r>
    </w:p>
    <w:p>
      <w:pPr>
        <w:spacing w:after="0" w:line="146"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correct any defect, supply any information or reconcile any inconsistency in the Plan in such manner and to such extent as shall be deemed necessary or advisable to carry out the purposes of the Plan;</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prescribe, amend, and rescind rules and regulations relating to the administration of the Plan;</w:t>
      </w:r>
    </w:p>
    <w:p>
      <w:pPr>
        <w:spacing w:after="0" w:line="218"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terms and conditions, rules, and/or procedures (including the adoption of any subplan under this Plan) relating to the operation and administration of the Plan to accommodate requirements of local law and procedures for Employees, Executives and Consultants located in countries other than Canada or to qualify Awards for special tax treatment under laws of jurisdictions other than Canada;</w:t>
      </w:r>
    </w:p>
    <w:p>
      <w:pPr>
        <w:spacing w:after="0" w:line="163"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duration and purposes of leaves of absence from employment or engagement by the Company which may be granted to Option Holders or RSU Holders without constituting a termination of employment or engagement or cessation of service for purposes of the Plan;</w:t>
      </w:r>
    </w:p>
    <w:p>
      <w:pPr>
        <w:spacing w:after="0" w:line="146"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 the following with respect to the granting of Options or RSUs, as applicable:</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Executives, Employees or Consultants to whom Options or RSUs shall be granted, based on the eligibility criteria set out in this Plan;</w:t>
      </w:r>
    </w:p>
    <w:p>
      <w:pPr>
        <w:spacing w:after="0" w:line="146"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terms of the Option or RSU to be granted to an Option Holder or RSU Holder including, without limitation, the Grant Date, Expiry Date, Exercise Price and Vesting schedule, as applicable (which need not be identical with the terms of any other Option or RSU);</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any necessary Regulatory Approvals and Section 10.2, amend the terms of any Options or RSUs;</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when Options or RSUs shall be granted; and</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number of Shares subject to each Option or RSU;</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7" w:name="page58"/>
    <w:bookmarkEnd w:id="57"/>
    <w:p>
      <w:pPr>
        <w:ind w:left="620" w:hanging="617"/>
        <w:spacing w:after="0"/>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accelerate the Vesting schedule of any Option or RSU previously granted; and</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all other determinations necessary or advisable, in its sole discretion, for the administration of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9.5 </w:t>
      </w:r>
      <w:r>
        <w:rPr>
          <w:rFonts w:ascii="Times New Roman" w:cs="Times New Roman" w:eastAsia="Times New Roman" w:hAnsi="Times New Roman"/>
          <w:sz w:val="17"/>
          <w:szCs w:val="17"/>
          <w:b w:val="1"/>
          <w:bCs w:val="1"/>
          <w:u w:val="single" w:color="auto"/>
          <w:color w:val="auto"/>
        </w:rPr>
        <w:t>Administration by Committee</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All determinations made by the Committee in good faith shall be final, conclusive and binding upon all persons. The Committee shall have all powers necessary or appropriate to accomplish its duties under this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9.6 </w:t>
      </w:r>
      <w:r>
        <w:rPr>
          <w:rFonts w:ascii="Times New Roman" w:cs="Times New Roman" w:eastAsia="Times New Roman" w:hAnsi="Times New Roman"/>
          <w:sz w:val="17"/>
          <w:szCs w:val="17"/>
          <w:b w:val="1"/>
          <w:bCs w:val="1"/>
          <w:u w:val="single" w:color="auto"/>
          <w:color w:val="auto"/>
        </w:rPr>
        <w:t>Interpretation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interpretation by the Committee of any of the provisions of the Plan and any determination by it pursuant thereto shall be final, conclusive and binding and shall not be subject to dispute by any Option Holder or RSU Holder. No member of the Committee or any person acting pursuant to authority delegated by it hereunder shall be personally liable for any action or determination in connection with the Plan made or taken in good faith and each member of the Committee and each such person shall be entitled to indemnification with respect to any such action or determination in the manner provided for by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9.7 </w:t>
      </w:r>
      <w:r>
        <w:rPr>
          <w:rFonts w:ascii="Times New Roman" w:cs="Times New Roman" w:eastAsia="Times New Roman" w:hAnsi="Times New Roman"/>
          <w:sz w:val="17"/>
          <w:szCs w:val="17"/>
          <w:b w:val="1"/>
          <w:bCs w:val="1"/>
          <w:u w:val="single" w:color="auto"/>
          <w:color w:val="auto"/>
        </w:rPr>
        <w:t>Foreign Award Recipients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Notwithstanding any provision of the Plan to the contrary, in order to comply with the provisions of local laws, regulations and practices and policies in countries other than Canada in which the Company and its Subsidiaries operate or have Employees, Executives or Consultants eligible for Awards, the Committee, in its sole discretion, will have the power and authority to: (a) determine which Subsidiaries will be covered by the Plan; (b) determine which individuals located in countries other than Canada are eligible to participate in the Plan; (c) as necessary or advisable under the circumstances, modify the terms and conditions of any Award granted to individuals located in countries other than Canada or foreign nationals located in Canada to comply with applicable foreign laws, policies, customs, and practices; (d) establish subplans and modify exercise procedures, Vesting conditions, and other terms and procedures to the extent the Committee determines such actions to be necessary or advisable (and such subplans and/or modifications shall be attached to this Plan as appendices, if necessary); and (e) take any action, before or after an Award is made,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any applicable Canadian securities law or any other applicable Canadian governing statute or law. The Committee’s decision to grant Awards to Employees, Executives or Consultants located in countries other than Canada or to establish subplans is entirely voluntary, and at the complete discretion of the Committee. The Committee may amend, modify or terminate any subplans at any time, and such amendment, modification or termination may be made without prior notice to the Participants. The Company and members of the Committee shall not incur any liability of any kind to any Participant as a result of any change, amendment or termination of any subplan at any time. The benefits and rights provided under any subplan or by any Award (x) are wholly discretionary and, although provided by the Company, do not constitute regular or periodic payments and (y) except as otherwise required under applicable laws, are not to be considered part of the Participant’s salary or compensation under the Participant’s employment with the Company or a Subsidiary for purposes of calculating any severance, resignation, redundancy or other end-of-service payments, vacation, bonuses, long-term service awards, indemnification, pension or retirement benefits, or any other payments, benefits or rights of any kind.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10</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APPROVALS AND AMENDMENT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10.1 </w:t>
      </w:r>
      <w:r>
        <w:rPr>
          <w:rFonts w:ascii="Times New Roman" w:cs="Times New Roman" w:eastAsia="Times New Roman" w:hAnsi="Times New Roman"/>
          <w:sz w:val="17"/>
          <w:szCs w:val="17"/>
          <w:b w:val="1"/>
          <w:bCs w:val="1"/>
          <w:u w:val="single" w:color="auto"/>
          <w:color w:val="auto"/>
        </w:rPr>
        <w:t>Shareholder Approval of Plan</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If required by a Regulatory Authority or by the Committee, this Plan may be made subject to the approval of a majority of the votes cast at a meeting of the shareholders of the Company or by a majority of votes cast by disinterested shareholders at a meeting of shareholders of the Company. If shareholder approval is required, any Options or RSUs granted under this Plan prior to such time will not be exercisable, settled or binding on the Company unless and until such shareholder approval is obtained.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color w:val="auto"/>
        </w:rPr>
        <w:t xml:space="preserve">10.2 </w:t>
      </w:r>
      <w:r>
        <w:rPr>
          <w:rFonts w:ascii="Times New Roman" w:cs="Times New Roman" w:eastAsia="Times New Roman" w:hAnsi="Times New Roman"/>
          <w:sz w:val="17"/>
          <w:szCs w:val="17"/>
          <w:b w:val="1"/>
          <w:bCs w:val="1"/>
          <w:u w:val="single" w:color="auto"/>
          <w:color w:val="auto"/>
        </w:rPr>
        <w:t>Amendment of Option or RSU or Plan</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Subject to any requisite shareholder approval and any Regulatory Approvals set forth under Section 10.2(a) and (b) below, the Committee may from time to time amend or revise the terms of the Plan or may discontinue the Plan at any time; provided, however, that no such amendment or revision may, without the consent of the Option Holder or RSU Holder, in any manner adversely affect his, her or its rights under any Option or RSU theretofore granted under the Plan.</w:t>
      </w:r>
    </w:p>
    <w:p>
      <w:pPr>
        <w:spacing w:after="0" w:line="163" w:lineRule="exact"/>
        <w:rPr>
          <w:sz w:val="20"/>
          <w:szCs w:val="20"/>
          <w:color w:val="auto"/>
        </w:rPr>
      </w:pPr>
    </w:p>
    <w:p>
      <w:pPr>
        <w:ind w:left="620" w:hanging="617"/>
        <w:spacing w:after="0"/>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subject to receipt of requisite shareholder approval and Regulatory Approvals, make the following amendments to the Plan:</w:t>
      </w:r>
    </w:p>
    <w:p>
      <w:pPr>
        <w:spacing w:after="0" w:line="218" w:lineRule="exact"/>
        <w:rPr>
          <w:rFonts w:ascii="Times New Roman" w:cs="Times New Roman" w:eastAsia="Times New Roman" w:hAnsi="Times New Roman"/>
          <w:sz w:val="17"/>
          <w:szCs w:val="17"/>
          <w:color w:val="auto"/>
        </w:rPr>
      </w:pPr>
    </w:p>
    <w:p>
      <w:pPr>
        <w:jc w:val="both"/>
        <w:ind w:left="1240" w:hanging="616"/>
        <w:spacing w:after="0" w:line="272" w:lineRule="auto"/>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the number of Shares issuable under the Plan, including an increase to a fixed maximum number of Shares or a change from a fixed maximum number of Shares to a fixed maximum percentage. A change to a fixed maximum percentage which was previously approved by shareholders will not require additional shareholder approval;</w:t>
      </w:r>
    </w:p>
    <w:p>
      <w:pPr>
        <w:spacing w:after="0" w:line="163"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extension of the term of an Option or RSU held by or benefiting an Insider;</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to the definition of the qualified Executives, Employees or Consultants which would have the potential of broadening or increasing Insider participation;</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any form of financial assistance;</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a financial assistance provision which is more favourable to qualified Executives, Employees and Consultants;</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a deferred or restricted share unit or any other provision which results in qualified Executives, Employees and Consultants receiving Shares while no cash consideration is received by the Company;</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discontinuance of the Plan; and</w:t>
      </w:r>
    </w:p>
    <w:p>
      <w:pPr>
        <w:spacing w:after="0" w:line="218" w:lineRule="exact"/>
        <w:rPr>
          <w:rFonts w:ascii="Times New Roman" w:cs="Times New Roman" w:eastAsia="Times New Roman" w:hAnsi="Times New Roman"/>
          <w:sz w:val="17"/>
          <w:szCs w:val="17"/>
          <w:color w:val="auto"/>
        </w:rPr>
      </w:pPr>
    </w:p>
    <w:p>
      <w:pPr>
        <w:jc w:val="both"/>
        <w:ind w:left="1240" w:hanging="616"/>
        <w:spacing w:after="0" w:line="272" w:lineRule="auto"/>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amendments that may lead to significant or unreasonable dilution in the Company’s outstanding Shares or may provide additional benefits to qualified Executives, Employees and Consultants, especially Insiders of the Company, at the expense of the Company and its existing shareholders.</w:t>
      </w:r>
    </w:p>
    <w:p>
      <w:pPr>
        <w:spacing w:after="0" w:line="163"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subject to receipt of requisite Regulatory Approvals, where required, in its sole discretion make all other amendments to the Plan that are not of the type contemplated in Section 10.2(a) above including, without limitation:</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of a “housekeeping” or clerical nature;</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to the Vesting provisions of an Award or the Plan;</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reflect any requirements of any Regulatory Authorities to which the Company is subject, including the Exchange and the Nasdaq Stock Market;</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to the termination provisions of an Award or the Plan which does not entail an extension beyond the original Expiry Date;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59" w:name="page60"/>
    <w:bookmarkEnd w:id="59"/>
    <w:p>
      <w:pPr>
        <w:jc w:val="both"/>
        <w:ind w:left="1240" w:hanging="616"/>
        <w:spacing w:after="0" w:line="266"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Exercise Price of Options, provided that at least six (6) months have elapsed since the later of the date of commencement of the term of the Option, the date the Shares commenced trading on the Exchange or the date the Exercise Price of the Option was last amended, and provided that Disinterested Shareholder Approval is obtained for any reduction in the Exercise Price if the Option Holder is an Insider (as such term is defined by the Exchange) of the Company at the time of such proposed reduction;</w:t>
      </w:r>
    </w:p>
    <w:p>
      <w:pPr>
        <w:spacing w:after="0" w:line="16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Section 5.5 and the definitions of Change of Control and Triggering Event;</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addition of a cashless exercise feature, payable in cash or Shares, which provides for a full deduction of the number of underlying Shares from the Plan reserve; and</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amendments to reflect changes to applicable laws or regulations.</w:t>
      </w:r>
    </w:p>
    <w:p>
      <w:pPr>
        <w:spacing w:after="0" w:line="218" w:lineRule="exact"/>
        <w:rPr>
          <w:sz w:val="20"/>
          <w:szCs w:val="20"/>
          <w:color w:val="auto"/>
        </w:rPr>
      </w:pPr>
    </w:p>
    <w:p>
      <w:pPr>
        <w:ind w:left="620" w:hanging="617"/>
        <w:spacing w:after="0" w:line="291" w:lineRule="auto"/>
        <w:tabs>
          <w:tab w:leader="none" w:pos="62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Section 10.2(b), the Company shall additionally obtain requisite shareholder approval in respect of amendments to the Plan that are contemplated pursuant to Section 10.2(b), to the extent such approval is required by any applicable laws or regulations.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CONDITIONS PRECEDENT TO GRANTING AWARDS AND ISSUING SHARES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11.1 </w:t>
      </w:r>
      <w:r>
        <w:rPr>
          <w:rFonts w:ascii="Times New Roman" w:cs="Times New Roman" w:eastAsia="Times New Roman" w:hAnsi="Times New Roman"/>
          <w:sz w:val="17"/>
          <w:szCs w:val="17"/>
          <w:b w:val="1"/>
          <w:bCs w:val="1"/>
          <w:u w:val="single" w:color="auto"/>
          <w:color w:val="auto"/>
        </w:rPr>
        <w:t>Compliance with Laws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An Option or RSU shall not be granted, exercised or settled, and Shares shall not be issued pursuant to the exercise or settlement of any Option or RSU, unless the grant and exercise or settlement of such Option or RSU and the issuance and delivery of such Shares comply with all applicable Regulatory Rules, and such Options and RSUs and Shares will be subject to all applicable trading restrictions in effect pursuant to such Regulatory Rules and the Company shall be entitled to legend the Option Certificates or Award Agreements and the certificates representing such Shares accordingly.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11.2 </w:t>
      </w:r>
      <w:r>
        <w:rPr>
          <w:rFonts w:ascii="Times New Roman" w:cs="Times New Roman" w:eastAsia="Times New Roman" w:hAnsi="Times New Roman"/>
          <w:sz w:val="17"/>
          <w:szCs w:val="17"/>
          <w:b w:val="1"/>
          <w:bCs w:val="1"/>
          <w:u w:val="single" w:color="auto"/>
          <w:color w:val="auto"/>
        </w:rPr>
        <w:t>Obligation to Obtain Regulatory Approvals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administering this Plan, the Committee will seek any Regulatory Approvals which may be required. The Committee will not permit any Options or RSUs to be granted without first obtaining the necessary Regulatory Approvals unless such Options or RSUs are granted conditional upon such Regulatory Approvals being obtained. The Committee will make all filings required with the Regulatory Authorities in respect of the Plan and each grant of Options or RSUs hereunder. No Option or RSU granted will be exercisable, settled or binding on the Company unless and until all necessary Regulatory Approvals have been obtained. The Committee shall be entitled to amend this Plan and the Options and RSUs granted hereunder in order to secure any necessary Regulatory Approvals and such amendments will not require the consent of the Option Holders and RSU Holders under Section 10.2 of this Plan.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11.3 </w:t>
      </w:r>
      <w:r>
        <w:rPr>
          <w:rFonts w:ascii="Times New Roman" w:cs="Times New Roman" w:eastAsia="Times New Roman" w:hAnsi="Times New Roman"/>
          <w:sz w:val="17"/>
          <w:szCs w:val="17"/>
          <w:b w:val="1"/>
          <w:bCs w:val="1"/>
          <w:u w:val="single" w:color="auto"/>
          <w:color w:val="auto"/>
        </w:rPr>
        <w:t>Inability to Obtain Regulatory Approvals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Company’s inability to obtain Regulatory Approval from any applicable Regulatory Authority, which Regulatory Approval is deemed by the Committee to be necessary to complete the grant of Options or RSUs hereunder, the exercise or settlement of such Options or RSUs or the lawful issuance or sale of any Shares pursuant to such Options or RSUs, shall relieve the Company of any liability with respect to the failure to complete such transactions.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7"/>
          <w:szCs w:val="17"/>
          <w:b w:val="1"/>
          <w:bCs w:val="1"/>
          <w:color w:val="auto"/>
        </w:rPr>
        <w:t>SECTION 12</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ADJUSTMENTS AND TERMINATION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12.1 </w:t>
      </w:r>
      <w:r>
        <w:rPr>
          <w:rFonts w:ascii="Times New Roman" w:cs="Times New Roman" w:eastAsia="Times New Roman" w:hAnsi="Times New Roman"/>
          <w:sz w:val="17"/>
          <w:szCs w:val="17"/>
          <w:b w:val="1"/>
          <w:bCs w:val="1"/>
          <w:u w:val="single" w:color="auto"/>
          <w:color w:val="auto"/>
        </w:rPr>
        <w:t>Termination of Plan</w:t>
      </w:r>
    </w:p>
    <w:p>
      <w:pPr>
        <w:spacing w:after="0" w:line="220"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7"/>
          <w:szCs w:val="17"/>
          <w:color w:val="auto"/>
        </w:rPr>
        <w:t>Subject to any necessary Regulatory Approvals, the Committee may terminate or suspend the Plan. Unless earlier terminated as provided in this Section 12, the Plan shall terminate on, and no more Options or RSUs shall be granted under the Plan after,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anniversary of the effective date of the Plan.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12.2 </w:t>
      </w:r>
      <w:r>
        <w:rPr>
          <w:rFonts w:ascii="Times New Roman" w:cs="Times New Roman" w:eastAsia="Times New Roman" w:hAnsi="Times New Roman"/>
          <w:sz w:val="17"/>
          <w:szCs w:val="17"/>
          <w:b w:val="1"/>
          <w:bCs w:val="1"/>
          <w:u w:val="single" w:color="auto"/>
          <w:color w:val="auto"/>
        </w:rPr>
        <w:t>No Grant During Suspension of Plan</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No Option or RSU may be granted during any suspension, or after termination, of the Plan. Suspension or termination of the Plan shall not, without the consent of the Option Holder or RSU Holder, alter or impair any rights or obligations under any Option or RSU previously granted.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12.3 </w:t>
      </w:r>
      <w:r>
        <w:rPr>
          <w:rFonts w:ascii="Times New Roman" w:cs="Times New Roman" w:eastAsia="Times New Roman" w:hAnsi="Times New Roman"/>
          <w:sz w:val="17"/>
          <w:szCs w:val="17"/>
          <w:b w:val="1"/>
          <w:bCs w:val="1"/>
          <w:u w:val="single" w:color="auto"/>
          <w:color w:val="auto"/>
        </w:rPr>
        <w:t>Alteration in Capital Structure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If there is a material alteration in the capital structure of the Company and the Shares are consolidated, subdivided, converted, exchanged, reclassified or in any way substituted for, the Committee shall make such adjustments to this Plan and to the Options and RSUs then outstanding under this Plan as the Committee determines to be appropriate and equitable under the circumstances, so that the proportionate interest of each Option Holder and RSU Holder shall, to the extent practicable, be maintained as before the occurrence of such event. Such adjustments may include, without limitation:</w:t>
      </w:r>
    </w:p>
    <w:p>
      <w:pPr>
        <w:spacing w:after="0" w:line="168" w:lineRule="exact"/>
        <w:rPr>
          <w:sz w:val="20"/>
          <w:szCs w:val="20"/>
          <w:color w:val="auto"/>
        </w:rPr>
      </w:pPr>
    </w:p>
    <w:p>
      <w:pPr>
        <w:ind w:left="620" w:hanging="617"/>
        <w:spacing w:after="0"/>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number of Shares or kind of securities of the Company covered by such Options or RSUs; and</w:t>
      </w:r>
    </w:p>
    <w:p>
      <w:pPr>
        <w:spacing w:after="0" w:line="218"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the Exercise Price payable per Share; provided, however, that the aggregate Exercise Price applicable to the unexercised portion of existing Options shall not be altered, it being intended that any adjustments made with respect to such Options shall apply only to the Exercise Price per Share and the number of Shares subject thereto.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Section 12.3, and without limitation, neither:</w:t>
      </w:r>
    </w:p>
    <w:p>
      <w:pPr>
        <w:spacing w:after="0" w:line="218" w:lineRule="exact"/>
        <w:rPr>
          <w:sz w:val="20"/>
          <w:szCs w:val="20"/>
          <w:color w:val="auto"/>
        </w:rPr>
      </w:pPr>
    </w:p>
    <w:p>
      <w:pPr>
        <w:ind w:left="620" w:hanging="61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additional securities of the Company in exchange for adequate consideration (including services); nor</w:t>
      </w:r>
    </w:p>
    <w:p>
      <w:pPr>
        <w:spacing w:after="0" w:line="218" w:lineRule="exact"/>
        <w:rPr>
          <w:rFonts w:ascii="Times New Roman" w:cs="Times New Roman" w:eastAsia="Times New Roman" w:hAnsi="Times New Roman"/>
          <w:sz w:val="17"/>
          <w:szCs w:val="17"/>
          <w:color w:val="auto"/>
        </w:rPr>
      </w:pPr>
    </w:p>
    <w:p>
      <w:pPr>
        <w:ind w:left="620" w:hanging="617"/>
        <w:spacing w:after="0"/>
        <w:tabs>
          <w:tab w:leader="none" w:pos="62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of outstanding securities of the Company into Shares shall be deemed to be material alterations of the capital structure of the Company.</w:t>
      </w:r>
    </w:p>
    <w:p>
      <w:pPr>
        <w:spacing w:after="0" w:line="218"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7"/>
          <w:szCs w:val="17"/>
          <w:color w:val="auto"/>
        </w:rPr>
        <w:t>Any adjustment made to any Options or RSUs pursuant to this Section 12.3 shall not be considered an amendment requiring the Option Holder’s or RSU Holder’s consent, as applicable, for the purposes of Section 10.2 of this Plan.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12.4 </w:t>
      </w:r>
      <w:r>
        <w:rPr>
          <w:rFonts w:ascii="Times New Roman" w:cs="Times New Roman" w:eastAsia="Times New Roman" w:hAnsi="Times New Roman"/>
          <w:sz w:val="17"/>
          <w:szCs w:val="17"/>
          <w:b w:val="1"/>
          <w:bCs w:val="1"/>
          <w:u w:val="single" w:color="auto"/>
          <w:color w:val="auto"/>
        </w:rPr>
        <w:t>Triggering Events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Subject to the Company complying with Section 12.5 and any necessary Regulatory Approvals and notwithstanding any other provisions of this Plan or any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Certificate or Award Agreement, the Committee may, without the consent of the Award Holder in question:</w:t>
      </w:r>
    </w:p>
    <w:p>
      <w:pPr>
        <w:spacing w:after="0" w:line="200" w:lineRule="exact"/>
        <w:rPr>
          <w:sz w:val="20"/>
          <w:szCs w:val="20"/>
          <w:color w:val="auto"/>
        </w:rPr>
      </w:pPr>
    </w:p>
    <w:p>
      <w:pPr>
        <w:ind w:left="620" w:hanging="617"/>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all or a portion of any of the Options or RSUs granted under the Plan to terminate upon the occurrence of a Triggering Event;</w:t>
      </w:r>
    </w:p>
    <w:p>
      <w:pPr>
        <w:spacing w:after="0" w:line="218" w:lineRule="exact"/>
        <w:rPr>
          <w:rFonts w:ascii="Times New Roman" w:cs="Times New Roman" w:eastAsia="Times New Roman" w:hAnsi="Times New Roman"/>
          <w:sz w:val="17"/>
          <w:szCs w:val="17"/>
          <w:color w:val="auto"/>
        </w:rPr>
      </w:pPr>
    </w:p>
    <w:p>
      <w:pPr>
        <w:ind w:left="620" w:hanging="617"/>
        <w:spacing w:after="0" w:line="291" w:lineRule="auto"/>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all or a portion of any of the Options or RSUs granted under the Plan to be exchanged for incentive stock options of another corporation upon the occurrence of a Triggering Event in such ratio and at such exercise price as the Committee deems appropriate, acting reasonably; or</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1" w:name="page62"/>
    <w:bookmarkEnd w:id="61"/>
    <w:p>
      <w:pPr>
        <w:jc w:val="both"/>
        <w:ind w:left="620" w:hanging="617"/>
        <w:spacing w:after="0" w:line="261" w:lineRule="auto"/>
        <w:tabs>
          <w:tab w:leader="none" w:pos="62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a Participant’s outstanding Awards shall terminate upon or immediately prior to such Triggering Event and that such Participant shall receive, in exchange therefor, a cash payment equal to the amount (if any) by which (A) the value of the per share consideration received by holders of Shares in the Triggering Event, or, in the event that the Triggering Event is a transaction that does not result in direct receipt of consideration by holders of Shares, the value of the deemed per share consideration received, in each case as determined by the Committee in its sole discretion, multiplied by the number of Shares subject to such outstanding Awards (to the extent then Vested and exercisable or whether or not then Vested and exercisable, as determined by the Committee in its sole discretion) exceeds (B) if applicable, the respective aggregate Exercise Price for such Awards.</w:t>
      </w:r>
    </w:p>
    <w:p>
      <w:pPr>
        <w:spacing w:after="0" w:line="173"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Such termination or exchange shall not be considered an amendment requiring the Option Holder’s or RSU Holder’s consent for the purpose of Section 10.2 of the Plan. For the avoidance of doubt, nothing in this Section 12 requires all outstanding Awards to be treated similarly.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12.5 </w:t>
      </w:r>
      <w:r>
        <w:rPr>
          <w:rFonts w:ascii="Times New Roman" w:cs="Times New Roman" w:eastAsia="Times New Roman" w:hAnsi="Times New Roman"/>
          <w:sz w:val="17"/>
          <w:szCs w:val="17"/>
          <w:b w:val="1"/>
          <w:bCs w:val="1"/>
          <w:u w:val="single" w:color="auto"/>
          <w:color w:val="auto"/>
        </w:rPr>
        <w:t>Notice of Termination by Triggering Event</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 the event that the Committee decides to cause all or a portion of any of the Options or RSUs granted under this Plan to terminate on the occurrence of a Triggering Event, it must give written notice to the Option Holders or RSU Holders in question not less than ten (10) days prior to the consummation of the Triggering Event so as to permit, in the case of Options, the Option Holders the opportunity to exercise the Vested portion of their Options prior to such termination. Upon the giving of such notice and subject to any necessary Regulatory Approvals, all Options and RSUs or portions thereof granted under the Plan which the Company proposes to terminate shall become immediately Vested notwithstanding any contingent Vesting provision to which such Options or RSUs may have otherwise been subject.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12.6 </w:t>
      </w:r>
      <w:r>
        <w:rPr>
          <w:rFonts w:ascii="Times New Roman" w:cs="Times New Roman" w:eastAsia="Times New Roman" w:hAnsi="Times New Roman"/>
          <w:sz w:val="17"/>
          <w:szCs w:val="17"/>
          <w:b w:val="1"/>
          <w:bCs w:val="1"/>
          <w:u w:val="single" w:color="auto"/>
          <w:color w:val="auto"/>
        </w:rPr>
        <w:t>Determinations to be Made by Committee</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Adjustments and determinations under this Section 12 shall be made by the Committee, whose decisions as to what adjustments or determination shall be made, and the extent thereof, shall be final, binding, and conclusive.</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TERMS APPLICABLE TO AWARDS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13.1 </w:t>
      </w:r>
      <w:r>
        <w:rPr>
          <w:rFonts w:ascii="Times New Roman" w:cs="Times New Roman" w:eastAsia="Times New Roman" w:hAnsi="Times New Roman"/>
          <w:sz w:val="17"/>
          <w:szCs w:val="17"/>
          <w:b w:val="1"/>
          <w:bCs w:val="1"/>
          <w:u w:val="single" w:color="auto"/>
          <w:color w:val="auto"/>
        </w:rPr>
        <w:t>Forfeiture Events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Board shall specify in an Award Agreement at the time of the Award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of employment or service for Cause, violation of material Company policies, fraud, breach of noncompetition, confidentiality or other restrictive covenants that may apply to the Participant or other conduct by the Participant that is detrimental to the business or reputation of the Company, or any reduction, cancellation, forfeiture or recoupment in accordance with the terms of the Clawback Policy.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13.2 </w:t>
      </w:r>
      <w:r>
        <w:rPr>
          <w:rFonts w:ascii="Times New Roman" w:cs="Times New Roman" w:eastAsia="Times New Roman" w:hAnsi="Times New Roman"/>
          <w:sz w:val="17"/>
          <w:szCs w:val="17"/>
          <w:b w:val="1"/>
          <w:bCs w:val="1"/>
          <w:u w:val="single" w:color="auto"/>
          <w:color w:val="auto"/>
        </w:rPr>
        <w:t>Awards May be Granted Separately or Together</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Awards may, in the discretion of the Board, be granted either alone or in addition to, in tandem with, or in substitution for any other Award. Awards granted in addition to or in tandem with other Awards may be granted either at the same time as or at a different time from the grant of such other Awards.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13.3 </w:t>
      </w:r>
      <w:r>
        <w:rPr>
          <w:rFonts w:ascii="Times New Roman" w:cs="Times New Roman" w:eastAsia="Times New Roman" w:hAnsi="Times New Roman"/>
          <w:sz w:val="17"/>
          <w:szCs w:val="17"/>
          <w:b w:val="1"/>
          <w:bCs w:val="1"/>
          <w:u w:val="single" w:color="auto"/>
          <w:color w:val="auto"/>
        </w:rPr>
        <w:t>Non-transferability of Awards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Except as otherwise provided in an Award Agreement, no Award and no right under any such Award, shall be assignable, alienable, saleable, or transferable by a Participant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 The Company does not intend to make Awards assignable or transferable, except where required by law or in certain estate proceedings described herein.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 xml:space="preserve">13.4 </w:t>
      </w:r>
      <w:r>
        <w:rPr>
          <w:rFonts w:ascii="Times New Roman" w:cs="Times New Roman" w:eastAsia="Times New Roman" w:hAnsi="Times New Roman"/>
          <w:sz w:val="17"/>
          <w:szCs w:val="17"/>
          <w:b w:val="1"/>
          <w:bCs w:val="1"/>
          <w:u w:val="single" w:color="auto"/>
          <w:color w:val="auto"/>
        </w:rPr>
        <w:t>Conditions and Restrictions upon Shares Subject to Awards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The Board may provide that the Shares issued pursuant to an Award shall be subject to such further agreements, restrictions, conditions or limitations as the Board in its sole discretion may specify, including without limitation, conditions on Vesting or transferability and forfeiture or repurchase provisions or provisions on payment of taxes arising in connection with an Award. Without limiting the foregoing, such restrictions may address the timing and manner of any resales by the Participant or other subsequent transfers by the Participant of any Shares issued pursuant to an Award, including without limitation: (A) restrictions under an insider trading policy or pursuant to applicable law; (B) restrictions designed to delay and/or coordinate the timing and manner of sales by Participants; (C) restrictions as to the use of a specified brokerage firm for such resales or other transfers; and (D) provisions requiring Shares to be sold on the open market or to the Company in order to satisfy tax withholding or other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13.5 </w:t>
      </w:r>
      <w:r>
        <w:rPr>
          <w:rFonts w:ascii="Times New Roman" w:cs="Times New Roman" w:eastAsia="Times New Roman" w:hAnsi="Times New Roman"/>
          <w:sz w:val="17"/>
          <w:szCs w:val="17"/>
          <w:b w:val="1"/>
          <w:bCs w:val="1"/>
          <w:u w:val="single" w:color="auto"/>
          <w:color w:val="auto"/>
        </w:rPr>
        <w:t>Share Certificates</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All Shares issued pursuant to an Award shall be subject to such stop transfer orders and other restrictions as the Board may deem advisable under this Plan or the rules, regulations, and other requirements of any securities commission, the Exchange, and any applicable securities legislation, regulations, rules, policies or orders, and the Board may cause a legend or legends to be put on any such certificates to make appropriate reference to such restrictions.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13.6 </w:t>
      </w:r>
      <w:r>
        <w:rPr>
          <w:rFonts w:ascii="Times New Roman" w:cs="Times New Roman" w:eastAsia="Times New Roman" w:hAnsi="Times New Roman"/>
          <w:sz w:val="17"/>
          <w:szCs w:val="17"/>
          <w:b w:val="1"/>
          <w:bCs w:val="1"/>
          <w:u w:val="single" w:color="auto"/>
          <w:color w:val="auto"/>
        </w:rPr>
        <w:t>Conformity to Plan</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In the event that an Award is granted with terms that do not conform in all particulars with the provisions of this Plan, or purports to grant an Award on terms different from those set out in this Plan, the Award shall not be in any way void or invalidated, but the Award shall be adjusted by the Board to become, in all respects, in conformity with this Plan.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13.7 </w:t>
      </w:r>
      <w:r>
        <w:rPr>
          <w:rFonts w:ascii="Times New Roman" w:cs="Times New Roman" w:eastAsia="Times New Roman" w:hAnsi="Times New Roman"/>
          <w:sz w:val="17"/>
          <w:szCs w:val="17"/>
          <w:b w:val="1"/>
          <w:bCs w:val="1"/>
          <w:u w:val="single" w:color="auto"/>
          <w:color w:val="auto"/>
        </w:rPr>
        <w:t>Performance Evaluation; Adjustment of Goals</w:t>
      </w:r>
    </w:p>
    <w:p>
      <w:pPr>
        <w:spacing w:after="0" w:line="2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At the time that a performance-based Award is first granted, the Board, in the Award Agreement or in another written document, may specify whether performance will be evaluated, including or excluding the effect of any of the following events that occur during the Restriction Period, as the case may be: (A) judgments entered or settlements reached in litigation; (B) the write down of assets; (C) the impact of any reorganization or restructuring; (D) the impact of changes in tax laws, accounting principles, regulatory actions or other laws affecting reported results; (E) extraordinary non-recurring items as may be described in the Company’s management’s discussion and analysis of financial condition and results of operations for the applicable financial year; (F) the impact of any mergers, acquisitions, spin-offs or other divestitures; and (G) foreign exchange gains and losses.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13.8 </w:t>
      </w:r>
      <w:r>
        <w:rPr>
          <w:rFonts w:ascii="Times New Roman" w:cs="Times New Roman" w:eastAsia="Times New Roman" w:hAnsi="Times New Roman"/>
          <w:sz w:val="17"/>
          <w:szCs w:val="17"/>
          <w:b w:val="1"/>
          <w:bCs w:val="1"/>
          <w:u w:val="single" w:color="auto"/>
          <w:color w:val="auto"/>
        </w:rPr>
        <w:t>Adjustment of Performance-based Awards</w:t>
      </w: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Board shall have the sole discretion to adjust the determinations of the degree of attainment of the pre-established performance criteria or restrictions, as the case may be, as may be set out in the applicable Award Agreement evidencing the relevant performance-based Award. Notwithstanding any provision herein to the contrary, the Board may not make any adjustment or take any other action with respect to any performance-based Award that will increase the number of Shares subject to any such Award, other than any such increase permitted under Section 12.3 of the Plan. The Board shall retain the sole discretion to adjust performance-based Awards downward or to otherwise reduce the number of Shares issuable with respect to any performance-based Award, except as otherwise provided herein.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7"/>
          <w:szCs w:val="17"/>
          <w:b w:val="1"/>
          <w:bCs w:val="1"/>
          <w:color w:val="auto"/>
        </w:rPr>
        <w:t>SECTION 14</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14.1 </w:t>
      </w:r>
      <w:r>
        <w:rPr>
          <w:rFonts w:ascii="Times New Roman" w:cs="Times New Roman" w:eastAsia="Times New Roman" w:hAnsi="Times New Roman"/>
          <w:sz w:val="17"/>
          <w:szCs w:val="17"/>
          <w:b w:val="1"/>
          <w:bCs w:val="1"/>
          <w:u w:val="single" w:color="auto"/>
          <w:color w:val="auto"/>
        </w:rPr>
        <w:t>No Right as Shareholder</w:t>
      </w:r>
    </w:p>
    <w:p>
      <w:pPr>
        <w:spacing w:after="0" w:line="220"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Neither the Participant nor the Participant’s Personal Representative shall have any rights whatsoever as shareholders in respect of any Shares subject to such Participant’s Award until the date of issuance of a share certificate to such Participant or such Participant’s Personal Representative for such Shares.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14.2 </w:t>
      </w:r>
      <w:r>
        <w:rPr>
          <w:rFonts w:ascii="Times New Roman" w:cs="Times New Roman" w:eastAsia="Times New Roman" w:hAnsi="Times New Roman"/>
          <w:sz w:val="17"/>
          <w:szCs w:val="17"/>
          <w:b w:val="1"/>
          <w:bCs w:val="1"/>
          <w:u w:val="single" w:color="auto"/>
          <w:color w:val="auto"/>
        </w:rPr>
        <w:t>No Trust or Fund Created</w:t>
      </w:r>
    </w:p>
    <w:p>
      <w:pPr>
        <w:spacing w:after="0" w:line="2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Neither this Plan nor any Award shall create or be construed to create a trust or separate fund of any kind or a fiduciary relationship between the Company and a Participant or any other person. To the extent that any Employee, Executive or Consultant acquires a right to purchase or own Shares or receive payments from the Company pursuant to an Award, such right shall be no greater than the right of any unsecured creditor of the Company.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14.3 </w:t>
      </w:r>
      <w:r>
        <w:rPr>
          <w:rFonts w:ascii="Times New Roman" w:cs="Times New Roman" w:eastAsia="Times New Roman" w:hAnsi="Times New Roman"/>
          <w:sz w:val="17"/>
          <w:szCs w:val="17"/>
          <w:b w:val="1"/>
          <w:bCs w:val="1"/>
          <w:u w:val="single" w:color="auto"/>
          <w:color w:val="auto"/>
        </w:rPr>
        <w:t>No Representations or Covenants with Respect to Tax Qualification; Section 409A</w:t>
      </w:r>
    </w:p>
    <w:p>
      <w:pPr>
        <w:spacing w:after="0" w:line="220" w:lineRule="exact"/>
        <w:rPr>
          <w:sz w:val="20"/>
          <w:szCs w:val="20"/>
          <w:color w:val="auto"/>
        </w:rPr>
      </w:pPr>
    </w:p>
    <w:p>
      <w:pPr>
        <w:jc w:val="both"/>
        <w:ind w:left="620" w:hanging="617"/>
        <w:spacing w:after="0" w:line="266"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Company may, in its discretion, endeavour to (i) qualify an Award for favourable Canadian tax treatment or (ii) avoid adverse tax treatment (including, without limitation, adverse tax treatment pursuant to Section 409A (as defined in Appendix A attached hereto) in respect of US Taxpayers), the Company makes no representation to that effect and expressly disavows any covenant to maintain favourable or avoid unfavourable tax treatment. The Company shall be unconstrained in its corporate activities without regard to the potential negative tax impact on Award Holders under this Plan.</w:t>
      </w:r>
    </w:p>
    <w:p>
      <w:pPr>
        <w:spacing w:after="0" w:line="168" w:lineRule="exact"/>
        <w:rPr>
          <w:rFonts w:ascii="Times New Roman" w:cs="Times New Roman" w:eastAsia="Times New Roman" w:hAnsi="Times New Roman"/>
          <w:sz w:val="17"/>
          <w:szCs w:val="17"/>
          <w:color w:val="auto"/>
        </w:rPr>
      </w:pPr>
    </w:p>
    <w:p>
      <w:pPr>
        <w:jc w:val="both"/>
        <w:ind w:left="620" w:hanging="617"/>
        <w:spacing w:after="0" w:line="283" w:lineRule="auto"/>
        <w:tabs>
          <w:tab w:leader="none" w:pos="6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neither the Company nor the Committee, nor any of the Company’s directors, officers or employees shall have any liability to any person in the event that any Award results in adverse tax consequences for the Participant or any of his, her or its beneficiaries or transferees.</w:t>
      </w:r>
    </w:p>
    <w:p>
      <w:pPr>
        <w:spacing w:after="0" w:line="366" w:lineRule="exact"/>
        <w:rPr>
          <w:rFonts w:ascii="Times New Roman" w:cs="Times New Roman" w:eastAsia="Times New Roman" w:hAnsi="Times New Roman"/>
          <w:sz w:val="17"/>
          <w:szCs w:val="17"/>
          <w:color w:val="auto"/>
        </w:rPr>
      </w:pPr>
    </w:p>
    <w:p>
      <w:pPr>
        <w:ind w:left="50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UNITED STATES SUBPLAN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PLAN PROVISIONS APPLICABLE TO US TAXPAYERS</w:t>
      </w:r>
    </w:p>
    <w:p>
      <w:pPr>
        <w:spacing w:after="0" w:line="198" w:lineRule="exact"/>
        <w:rPr>
          <w:sz w:val="20"/>
          <w:szCs w:val="20"/>
          <w:color w:val="auto"/>
        </w:rPr>
      </w:pPr>
    </w:p>
    <w:p>
      <w:pPr>
        <w:ind w:left="620" w:hanging="306"/>
        <w:spacing w:after="0"/>
        <w:tabs>
          <w:tab w:leader="none" w:pos="62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246"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The provisions of this Appendix A apply to Awards held by a US Taxpayer (as defined below) to the extent such Awards are subject to U.S. taxation. The following provisions apply, notwithstanding anything to the contrary in the Plan. All capitalized terms used in this Appendix A and not defined herein, shall have the meaning attributed to them in the Plan.</w:t>
      </w:r>
    </w:p>
    <w:p>
      <w:pPr>
        <w:spacing w:after="0" w:line="161" w:lineRule="exact"/>
        <w:rPr>
          <w:sz w:val="20"/>
          <w:szCs w:val="20"/>
          <w:color w:val="auto"/>
        </w:rPr>
      </w:pPr>
    </w:p>
    <w:p>
      <w:pPr>
        <w:ind w:left="620" w:hanging="306"/>
        <w:spacing w:after="0"/>
        <w:tabs>
          <w:tab w:leader="none" w:pos="620" w:val="left"/>
        </w:tabs>
        <w:numPr>
          <w:ilvl w:val="0"/>
          <w:numId w:val="8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246" w:lineRule="exact"/>
        <w:rPr>
          <w:rFonts w:ascii="Times New Roman" w:cs="Times New Roman" w:eastAsia="Times New Roman" w:hAnsi="Times New Roman"/>
          <w:sz w:val="17"/>
          <w:szCs w:val="17"/>
          <w:b w:val="1"/>
          <w:bCs w:val="1"/>
          <w:color w:val="auto"/>
        </w:rPr>
      </w:pPr>
    </w:p>
    <w:p>
      <w:pPr>
        <w:ind w:left="860" w:hanging="236"/>
        <w:spacing w:after="0"/>
        <w:tabs>
          <w:tab w:leader="none" w:pos="8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of Control” means a “change of control” within the meaning of Section 409A.</w:t>
      </w:r>
    </w:p>
    <w:p>
      <w:pPr>
        <w:spacing w:after="0" w:line="218" w:lineRule="exact"/>
        <w:rPr>
          <w:rFonts w:ascii="Times New Roman" w:cs="Times New Roman" w:eastAsia="Times New Roman" w:hAnsi="Times New Roman"/>
          <w:sz w:val="17"/>
          <w:szCs w:val="17"/>
          <w:color w:val="auto"/>
        </w:rPr>
      </w:pPr>
    </w:p>
    <w:p>
      <w:pPr>
        <w:ind w:firstLine="624"/>
        <w:spacing w:after="0" w:line="291" w:lineRule="auto"/>
        <w:tabs>
          <w:tab w:leader="none" w:pos="889"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United States Internal Revenue Code of 1986, as amended, and any applicable United States Treasury Regulations and other binding regulatory guidance thereunder.</w:t>
      </w:r>
    </w:p>
    <w:p>
      <w:pPr>
        <w:spacing w:after="0" w:line="146"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 Stock Option” means a US Stock Option that is intended to meet the requirements of Section 422 of the Code.</w:t>
      </w:r>
    </w:p>
    <w:p>
      <w:pPr>
        <w:spacing w:after="0" w:line="218"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“Non-Qualified Stock Option” means any US Stock Option that is not an Incentive Stock Option.</w:t>
      </w:r>
    </w:p>
    <w:p>
      <w:pPr>
        <w:spacing w:after="0" w:line="218"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409A” means Section 409A of the Code.</w:t>
      </w:r>
    </w:p>
    <w:p>
      <w:pPr>
        <w:spacing w:after="0" w:line="218" w:lineRule="exact"/>
        <w:rPr>
          <w:rFonts w:ascii="Times New Roman" w:cs="Times New Roman" w:eastAsia="Times New Roman" w:hAnsi="Times New Roman"/>
          <w:sz w:val="17"/>
          <w:szCs w:val="17"/>
          <w:color w:val="auto"/>
        </w:rPr>
      </w:pPr>
    </w:p>
    <w:p>
      <w:pPr>
        <w:ind w:firstLine="624"/>
        <w:spacing w:after="0" w:line="291" w:lineRule="auto"/>
        <w:tabs>
          <w:tab w:leader="none" w:pos="875"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“Separation from Service” means, with respect to any Award that constitutes deferred compensation within the meaning of Section 409A, a “separation from service” as defined in United States Treasury Regulation Section 1.409A-1(h).</w:t>
      </w:r>
    </w:p>
    <w:p>
      <w:pPr>
        <w:spacing w:after="0" w:line="146"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“Specified Employee” means a US Taxpayer who meets the definition of “specified employee,” as defined in Section 409A(a)(2)(B)(i) of the Code.</w:t>
      </w:r>
    </w:p>
    <w:p>
      <w:pPr>
        <w:spacing w:after="0" w:line="218" w:lineRule="exact"/>
        <w:rPr>
          <w:rFonts w:ascii="Times New Roman" w:cs="Times New Roman" w:eastAsia="Times New Roman" w:hAnsi="Times New Roman"/>
          <w:sz w:val="17"/>
          <w:szCs w:val="17"/>
          <w:color w:val="auto"/>
        </w:rPr>
      </w:pPr>
    </w:p>
    <w:p>
      <w:pPr>
        <w:jc w:val="both"/>
        <w:ind w:firstLine="624"/>
        <w:spacing w:after="0" w:line="272" w:lineRule="auto"/>
        <w:tabs>
          <w:tab w:leader="none" w:pos="878"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 Percent Shareholder” means a US Taxpayer who, at the time a US Stock Option is granted, owns or is deemed to own (by reason of the attribution rules of Section 424(d) of the US Code) more than ten percent (10%) of the voting rights attached to all outstanding voting securities of the Company or any parent or subsidiary corporation, within the meaning of Section 422(b)(6) of the Code.</w:t>
      </w:r>
    </w:p>
    <w:p>
      <w:pPr>
        <w:spacing w:after="0" w:line="163" w:lineRule="exact"/>
        <w:rPr>
          <w:rFonts w:ascii="Times New Roman" w:cs="Times New Roman" w:eastAsia="Times New Roman" w:hAnsi="Times New Roman"/>
          <w:sz w:val="17"/>
          <w:szCs w:val="17"/>
          <w:color w:val="auto"/>
        </w:rPr>
      </w:pPr>
    </w:p>
    <w:p>
      <w:pPr>
        <w:ind w:left="840" w:hanging="216"/>
        <w:spacing w:after="0"/>
        <w:tabs>
          <w:tab w:leader="none" w:pos="84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Stock Option” means any Option granted to US Taxpayers pursuant to Section III(a) of this Appendix A.</w:t>
      </w:r>
    </w:p>
    <w:p>
      <w:pPr>
        <w:spacing w:after="0" w:line="218" w:lineRule="exact"/>
        <w:rPr>
          <w:rFonts w:ascii="Times New Roman" w:cs="Times New Roman" w:eastAsia="Times New Roman" w:hAnsi="Times New Roman"/>
          <w:sz w:val="17"/>
          <w:szCs w:val="17"/>
          <w:color w:val="auto"/>
        </w:rPr>
      </w:pPr>
    </w:p>
    <w:p>
      <w:pPr>
        <w:ind w:left="840" w:hanging="216"/>
        <w:spacing w:after="0"/>
        <w:tabs>
          <w:tab w:leader="none" w:pos="84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Taxpayer” means a Participant whose compensation from the Company is subject to taxation in the United States.</w:t>
      </w:r>
    </w:p>
    <w:p>
      <w:pPr>
        <w:spacing w:after="0" w:line="216" w:lineRule="exact"/>
        <w:rPr>
          <w:sz w:val="20"/>
          <w:szCs w:val="20"/>
          <w:color w:val="auto"/>
        </w:rPr>
      </w:pPr>
    </w:p>
    <w:p>
      <w:pPr>
        <w:ind w:left="620" w:hanging="306"/>
        <w:spacing w:after="0"/>
        <w:tabs>
          <w:tab w:leader="none" w:pos="62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Awards</w:t>
      </w:r>
    </w:p>
    <w:p>
      <w:pPr>
        <w:spacing w:after="0" w:line="218" w:lineRule="exact"/>
        <w:rPr>
          <w:rFonts w:ascii="Times New Roman" w:cs="Times New Roman" w:eastAsia="Times New Roman" w:hAnsi="Times New Roman"/>
          <w:sz w:val="17"/>
          <w:szCs w:val="17"/>
          <w:b w:val="1"/>
          <w:bCs w:val="1"/>
          <w:color w:val="auto"/>
        </w:rPr>
      </w:pPr>
    </w:p>
    <w:p>
      <w:pPr>
        <w:jc w:val="both"/>
        <w:ind w:firstLine="624"/>
        <w:spacing w:after="0" w:line="258" w:lineRule="auto"/>
        <w:tabs>
          <w:tab w:leader="none" w:pos="855"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Options</w:t>
      </w:r>
      <w:r>
        <w:rPr>
          <w:rFonts w:ascii="Times New Roman" w:cs="Times New Roman" w:eastAsia="Times New Roman" w:hAnsi="Times New Roman"/>
          <w:sz w:val="17"/>
          <w:szCs w:val="17"/>
          <w:color w:val="auto"/>
        </w:rPr>
        <w:t>. The Company may grant Incentive Stock Options or Non-Qualified Stock Options to eligible US Taxpayers. The Award Agreement for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Stock Option granted under the Plan will identify the US Stock Option as an Incentive Stock Option or a Non-Qualified Stock Option. To the extent that any US Stock Option does not qualify as an Incentive Stock Option, it shall be deemed a Non-Qualified Stock Option. The Exercise Price for a US Stock Option granted to a US Taxpayer shall not be less than the Market Value of the Shares as of the Grant Date. The “Market Value” with respect to Shares, as of any date, shall mean the closing sale price at the regular trading session reported for such Shares on the Nasdaq Stock Market on such date or, if no closing sale price is reported on such date, the closing sale price reported on the next succeeding date on which a closing sale price is reported; provided, however, that if the Shares are not listed on the Nasdaq Stock Market, the Market Value shall be determined in accordance with Section 5.3(a) of the Plan and Section 409A. If a US Taxpayer disposes of Shares acquired upon exercise of an Incentive Stock Option within two (2) years from the Grant Date or one (1) year after such Shares were acquired pursuant to exercise of such Option, the US Taxpayer shall notify the Company in writing of such disposition and the price realized upon the sale of such Shares.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5" w:name="page66"/>
    <w:bookmarkEnd w:id="65"/>
    <w:p>
      <w:pPr>
        <w:ind w:firstLine="624"/>
        <w:spacing w:after="0" w:line="293" w:lineRule="auto"/>
        <w:tabs>
          <w:tab w:leader="none" w:pos="86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RSUs</w:t>
      </w:r>
      <w:r>
        <w:rPr>
          <w:rFonts w:ascii="Times New Roman" w:cs="Times New Roman" w:eastAsia="Times New Roman" w:hAnsi="Times New Roman"/>
          <w:sz w:val="17"/>
          <w:szCs w:val="17"/>
          <w:color w:val="auto"/>
        </w:rPr>
        <w:t>. The Committee may grant RSUs to US Taxpayers in such amounts and subject to such terms and conditions as determined by the Committee.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grant of RSU are intended to be exempt from, or in compliance with, Section 409A.</w:t>
      </w:r>
    </w:p>
    <w:p>
      <w:pPr>
        <w:spacing w:after="0" w:line="143" w:lineRule="exact"/>
        <w:rPr>
          <w:rFonts w:ascii="Times New Roman" w:cs="Times New Roman" w:eastAsia="Times New Roman" w:hAnsi="Times New Roman"/>
          <w:sz w:val="17"/>
          <w:szCs w:val="17"/>
          <w:color w:val="auto"/>
        </w:rPr>
      </w:pPr>
    </w:p>
    <w:p>
      <w:pPr>
        <w:ind w:firstLine="624"/>
        <w:spacing w:after="0" w:line="293" w:lineRule="auto"/>
        <w:tabs>
          <w:tab w:leader="none" w:pos="855"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Special Requirement for Options Intended to Qualify as Incentive Stock Options</w:t>
      </w:r>
      <w:r>
        <w:rPr>
          <w:rFonts w:ascii="Times New Roman" w:cs="Times New Roman" w:eastAsia="Times New Roman" w:hAnsi="Times New Roman"/>
          <w:sz w:val="17"/>
          <w:szCs w:val="17"/>
          <w:color w:val="auto"/>
        </w:rPr>
        <w:t>. An Option granted to a US Taxpayer that is intended to qualify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an “incentive stock option” within the meaning of Section 422 of the Code shall be subject to the following requirements:</w:t>
      </w:r>
    </w:p>
    <w:p>
      <w:pPr>
        <w:spacing w:after="0" w:line="145" w:lineRule="exact"/>
        <w:rPr>
          <w:rFonts w:ascii="Times New Roman" w:cs="Times New Roman" w:eastAsia="Times New Roman" w:hAnsi="Times New Roman"/>
          <w:sz w:val="17"/>
          <w:szCs w:val="17"/>
          <w:color w:val="auto"/>
        </w:rPr>
      </w:pPr>
    </w:p>
    <w:p>
      <w:pPr>
        <w:ind w:left="1360" w:hanging="425"/>
        <w:spacing w:after="0"/>
        <w:tabs>
          <w:tab w:leader="none" w:pos="13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number of Shares that may be issued pursuant to Incentive Stock Options under the Plan shall not exceed 37,569,388 Shares.</w:t>
      </w:r>
    </w:p>
    <w:p>
      <w:pPr>
        <w:spacing w:after="0" w:line="244" w:lineRule="exact"/>
        <w:rPr>
          <w:rFonts w:ascii="Times New Roman" w:cs="Times New Roman" w:eastAsia="Times New Roman" w:hAnsi="Times New Roman"/>
          <w:sz w:val="17"/>
          <w:szCs w:val="17"/>
          <w:color w:val="auto"/>
        </w:rPr>
      </w:pPr>
    </w:p>
    <w:p>
      <w:pPr>
        <w:jc w:val="both"/>
        <w:ind w:left="1360" w:hanging="425"/>
        <w:spacing w:after="0" w:line="261" w:lineRule="auto"/>
        <w:tabs>
          <w:tab w:leader="none" w:pos="13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Incentive Stock Option may be granted only to Employees (including a director or officer who is also an Employee) of the Company (or of any parent or subsidiary corporation). For purposes of this Appendix A, the terms “parent corporation” and “subsidiary corporation” shall have the meanings set forth in Sections 424(e) and 424(f) of the Code, respectively. At all times beginning on the Grant Date and ending on the day three (3) months before the date of exercise of the Incentive Stock Option, the Option Holder must be an Employee (including a director or officer who is also an Employee) of the Company (or of any parent or subsidiary corporation) (except in the event of the Option Holder’s death or permanent and total disability, in which case longer periods apply, as provided below).</w:t>
      </w:r>
    </w:p>
    <w:p>
      <w:pPr>
        <w:spacing w:after="0" w:line="199" w:lineRule="exact"/>
        <w:rPr>
          <w:rFonts w:ascii="Times New Roman" w:cs="Times New Roman" w:eastAsia="Times New Roman" w:hAnsi="Times New Roman"/>
          <w:sz w:val="17"/>
          <w:szCs w:val="17"/>
          <w:color w:val="auto"/>
        </w:rPr>
      </w:pPr>
    </w:p>
    <w:p>
      <w:pPr>
        <w:jc w:val="both"/>
        <w:ind w:left="1360" w:hanging="425"/>
        <w:spacing w:after="0" w:line="263" w:lineRule="auto"/>
        <w:tabs>
          <w:tab w:leader="none" w:pos="13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Market Value (determined as of the Grant Date) of the Shares with respect to which Incentive Stock Options (granted under the Plan and all other plans of the Company and of any parent or subsidiary corporation) that become exercisable for the first time by any US Taxpayer during any calendar year shall not exceed US$100,000 or any limitation subsequently set forth in Section 422(d) of the Code. The US Stock Options or portions thereof that exceed such limit (according to the order in which they were granted) or otherwise do not comply with such rules will be treated as Non-Qualified Stock Options, notwithstanding any contrary provision of the applicable Award Agreement(s).</w:t>
      </w:r>
    </w:p>
    <w:p>
      <w:pPr>
        <w:spacing w:after="0" w:line="196" w:lineRule="exact"/>
        <w:rPr>
          <w:rFonts w:ascii="Times New Roman" w:cs="Times New Roman" w:eastAsia="Times New Roman" w:hAnsi="Times New Roman"/>
          <w:sz w:val="17"/>
          <w:szCs w:val="17"/>
          <w:color w:val="auto"/>
        </w:rPr>
      </w:pPr>
    </w:p>
    <w:p>
      <w:pPr>
        <w:jc w:val="both"/>
        <w:ind w:left="1360" w:hanging="425"/>
        <w:spacing w:after="0" w:line="266" w:lineRule="auto"/>
        <w:tabs>
          <w:tab w:leader="none" w:pos="13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determining the Exercise Price for any Incentive Stock Option, the “Market Value” shall be determined in the manner defined in Section III(a) of this Appendix A provided, however, that in the case of the grant of an Incentive Stock Option to a US Taxpayer who, at the time such Incentive Stock Option is granted, is a Ten Percent Shareholder, the Exercise Price shall be not less than one hundred and ten percent (110%) of the Market Value of a Share on the Grant Date of such Incentive Stock Option.</w:t>
      </w:r>
    </w:p>
    <w:p>
      <w:pPr>
        <w:spacing w:after="0" w:line="194" w:lineRule="exact"/>
        <w:rPr>
          <w:rFonts w:ascii="Times New Roman" w:cs="Times New Roman" w:eastAsia="Times New Roman" w:hAnsi="Times New Roman"/>
          <w:sz w:val="17"/>
          <w:szCs w:val="17"/>
          <w:color w:val="auto"/>
        </w:rPr>
      </w:pPr>
    </w:p>
    <w:p>
      <w:pPr>
        <w:jc w:val="both"/>
        <w:ind w:left="1360" w:hanging="425"/>
        <w:spacing w:after="0" w:line="263" w:lineRule="auto"/>
        <w:tabs>
          <w:tab w:leader="none" w:pos="13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Incentive Stock Option shall terminate and no longer be exercisable no later than ten (10) years after the Grant Date of such Incentive Stock Option; provided, however, that in the case of a grant of an Incentive Stock Option to a US Taxpayer who, at the time such Incentive Stock Option is granted, is a Ten Percent Shareholder, such Incentive Stock Option shall terminate and no longer be exercisable no later than five (5) years after the Grant Date of such Incentive Stock Option. The foregoing term limits shall apply even if the Expiry Date falls within a Black-Out, notwithstanding anything to the contrary in the Plan.</w:t>
      </w:r>
    </w:p>
    <w:p>
      <w:pPr>
        <w:spacing w:after="0" w:line="196" w:lineRule="exact"/>
        <w:rPr>
          <w:rFonts w:ascii="Times New Roman" w:cs="Times New Roman" w:eastAsia="Times New Roman" w:hAnsi="Times New Roman"/>
          <w:sz w:val="17"/>
          <w:szCs w:val="17"/>
          <w:color w:val="auto"/>
        </w:rPr>
      </w:pPr>
    </w:p>
    <w:p>
      <w:pPr>
        <w:jc w:val="both"/>
        <w:ind w:left="1360" w:hanging="425"/>
        <w:spacing w:after="0" w:line="266" w:lineRule="auto"/>
        <w:tabs>
          <w:tab w:leader="none" w:pos="1360"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US Taxpayer who has been granted Incentive Stock Options ceases to be employed by the Company (or by any parent or subsidiary corporation) for any reason, whether voluntary or involuntary, other than death, permanent and total disability, or Cause, such Incentive Stock Option shall be exercisable by the US Taxpayer (to the extent such Incentive Stock Option was Vested as of the Termination Date) at any time prior to the earlier of (A) the date that is three (3) months after the Termination Date or (B) the Expiry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6" w:name="page67"/>
    <w:bookmarkEnd w:id="66"/>
    <w:p>
      <w:pPr>
        <w:jc w:val="both"/>
        <w:ind w:left="1360"/>
        <w:spacing w:after="0" w:line="261" w:lineRule="auto"/>
        <w:rPr>
          <w:sz w:val="20"/>
          <w:szCs w:val="20"/>
          <w:color w:val="auto"/>
        </w:rPr>
      </w:pPr>
      <w:r>
        <w:rPr>
          <w:rFonts w:ascii="Times New Roman" w:cs="Times New Roman" w:eastAsia="Times New Roman" w:hAnsi="Times New Roman"/>
          <w:sz w:val="17"/>
          <w:szCs w:val="17"/>
          <w:color w:val="auto"/>
        </w:rPr>
        <w:t>If a US Taxpayer who has been granted Incentive Stock Options ceases to be employed by the Company (or by any parent or subsidiary corporation) because of the death or permanent and total disability of such US Taxpayer, such US Taxpayer, such US Taxpayer’s Personal Representative, or any person or persons to whom such Incentive Stock Option is transferred by will or the applicable laws of descent and distribution, may exercise such Incentive Stock Option (to the extent such Incentive Stock Option was Vested as of the date of death or permanent and total disability, as the case may be) at any time prior to the earlier of: (A) the date that is one (1) year after the date of death or permanent and total disability, as the case may be; and (ii) the Expiry Date.</w:t>
      </w:r>
    </w:p>
    <w:p>
      <w:pPr>
        <w:spacing w:after="0" w:line="173" w:lineRule="exact"/>
        <w:rPr>
          <w:sz w:val="20"/>
          <w:szCs w:val="20"/>
          <w:color w:val="auto"/>
        </w:rPr>
      </w:pPr>
    </w:p>
    <w:p>
      <w:pPr>
        <w:jc w:val="both"/>
        <w:ind w:left="1360"/>
        <w:spacing w:after="0" w:line="266" w:lineRule="auto"/>
        <w:rPr>
          <w:sz w:val="20"/>
          <w:szCs w:val="20"/>
          <w:color w:val="auto"/>
        </w:rPr>
      </w:pPr>
      <w:r>
        <w:rPr>
          <w:rFonts w:ascii="Times New Roman" w:cs="Times New Roman" w:eastAsia="Times New Roman" w:hAnsi="Times New Roman"/>
          <w:sz w:val="17"/>
          <w:szCs w:val="17"/>
          <w:color w:val="auto"/>
        </w:rPr>
        <w:t>If a US Taxpayer who has been granted Incentive Stock Options ceases to be employed by the Company (or by any parent or subsidiary corporation) for Cause, the right to exercise such Incentive Stock Option will terminate on the Termination Date, unless otherwise determined by the Committee. For purposes of this Appendix A, the term “permanent and total disability” has the meaning assigned to that term in Section 22(e)(3) of the Code.</w:t>
      </w:r>
    </w:p>
    <w:p>
      <w:pPr>
        <w:spacing w:after="0" w:line="168" w:lineRule="exact"/>
        <w:rPr>
          <w:sz w:val="20"/>
          <w:szCs w:val="20"/>
          <w:color w:val="auto"/>
        </w:rPr>
      </w:pPr>
    </w:p>
    <w:p>
      <w:pPr>
        <w:ind w:left="1360" w:hanging="425"/>
        <w:spacing w:after="0"/>
        <w:tabs>
          <w:tab w:leader="none" w:pos="13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Incentive Stock Option granted to a US Taxpayer may be exercised during such person’s lifetime only by such US Taxpayer.</w:t>
      </w:r>
    </w:p>
    <w:p>
      <w:pPr>
        <w:spacing w:after="0" w:line="244" w:lineRule="exact"/>
        <w:rPr>
          <w:rFonts w:ascii="Times New Roman" w:cs="Times New Roman" w:eastAsia="Times New Roman" w:hAnsi="Times New Roman"/>
          <w:sz w:val="17"/>
          <w:szCs w:val="17"/>
          <w:color w:val="auto"/>
        </w:rPr>
      </w:pPr>
    </w:p>
    <w:p>
      <w:pPr>
        <w:ind w:left="1360" w:hanging="425"/>
        <w:spacing w:after="0" w:line="291" w:lineRule="auto"/>
        <w:tabs>
          <w:tab w:leader="none" w:pos="13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Incentive Stock Option granted to a US Taxpayer may not be transferred, assigned or pledged by such US Taxpayer, except by will or by the laws of descent and distribution.</w:t>
      </w:r>
    </w:p>
    <w:p>
      <w:pPr>
        <w:spacing w:after="0" w:line="172" w:lineRule="exact"/>
        <w:rPr>
          <w:rFonts w:ascii="Times New Roman" w:cs="Times New Roman" w:eastAsia="Times New Roman" w:hAnsi="Times New Roman"/>
          <w:sz w:val="17"/>
          <w:szCs w:val="17"/>
          <w:color w:val="auto"/>
        </w:rPr>
      </w:pPr>
    </w:p>
    <w:p>
      <w:pPr>
        <w:ind w:left="1360" w:hanging="425"/>
        <w:spacing w:after="0" w:line="291" w:lineRule="auto"/>
        <w:tabs>
          <w:tab w:leader="none" w:pos="13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Incentive Stock Option shall be granted more than ten (10) years after the earlier of the date the Plan is adopted by the Board or the date the Plan is approved by the shareholders of the Company.</w:t>
      </w:r>
    </w:p>
    <w:p>
      <w:pPr>
        <w:spacing w:after="0" w:line="17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The Company cannot guarantee that a US Stock Option will be treated as an Incentive Stock Option if the Option Holder continues to provide services to the Company (or any parent or subsidiary corporation) after such Option Holder’s employment terminates, if the Option Holder otherwise exercises the US Stock Option more than three (3) months after the date his or her employment terminates, or if the Option otherwise fails to qualify as an Incentive Stock Option.</w:t>
      </w:r>
    </w:p>
    <w:p>
      <w:pPr>
        <w:spacing w:after="0" w:line="161" w:lineRule="exact"/>
        <w:rPr>
          <w:sz w:val="20"/>
          <w:szCs w:val="20"/>
          <w:color w:val="auto"/>
        </w:rPr>
      </w:pPr>
    </w:p>
    <w:p>
      <w:pPr>
        <w:jc w:val="both"/>
        <w:ind w:firstLine="624"/>
        <w:spacing w:after="0" w:line="258" w:lineRule="auto"/>
        <w:tabs>
          <w:tab w:leader="none" w:pos="86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Payment of Taxes; Tax Withholding</w:t>
      </w:r>
      <w:r>
        <w:rPr>
          <w:rFonts w:ascii="Times New Roman" w:cs="Times New Roman" w:eastAsia="Times New Roman" w:hAnsi="Times New Roman"/>
          <w:sz w:val="17"/>
          <w:szCs w:val="17"/>
          <w:color w:val="auto"/>
        </w:rPr>
        <w:t>. Each US Taxpayer is solely responsible and liable for the satisfaction of all taxes and penalties that may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imposed on or for the account of such US Taxpayer in connection with the Plan or any other plan maintained by the Company (including any taxes and penalties under Section 409A), and neither the Company nor any parent or subsidiary corporation shall have any duty or obligation to minimize the tax consequences of a US Stock Option to such US Taxpayer or to indemnify or otherwise hold such US Taxpayer or any other party harmless from any or all of such taxes or penalties. A US Taxpayer shall be required to pay to the Company, and the Company shall have the right and is hereby authorized to withhold, from any cash or other compensation payable under the Plan, or from any other compensation or amounts owing to the US Taxpayer, the amount of any required withholding taxes in respect of amounts paid under the Plan and to take such other action as may be necessary in the opinion of the Company to satisfy all obligations for the payment of such withholding and taxes. A US Taxpayer shall be required to pay to the Company, and the Company shall have the right and is hereby authorized to withhold, from any cash or other compensation payable under the Plan, or from any other compensation or amounts owing to the US Taxpayer, the amount of any required withholding taxes in respect of amounts paid under the Plan and to take such other action as may be necessary in the opinion of the Company to satisfy all obligations for the payment of such withholding and taxes.</w:t>
      </w:r>
    </w:p>
    <w:p>
      <w:pPr>
        <w:spacing w:after="0" w:line="172" w:lineRule="exact"/>
        <w:rPr>
          <w:rFonts w:ascii="Times New Roman" w:cs="Times New Roman" w:eastAsia="Times New Roman" w:hAnsi="Times New Roman"/>
          <w:sz w:val="17"/>
          <w:szCs w:val="17"/>
          <w:color w:val="auto"/>
        </w:rPr>
      </w:pPr>
    </w:p>
    <w:p>
      <w:pPr>
        <w:jc w:val="both"/>
        <w:ind w:firstLine="624"/>
        <w:spacing w:after="0" w:line="260" w:lineRule="auto"/>
        <w:tabs>
          <w:tab w:leader="none" w:pos="855"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Amendments</w:t>
      </w:r>
      <w:r>
        <w:rPr>
          <w:rFonts w:ascii="Times New Roman" w:cs="Times New Roman" w:eastAsia="Times New Roman" w:hAnsi="Times New Roman"/>
          <w:sz w:val="17"/>
          <w:szCs w:val="17"/>
          <w:color w:val="auto"/>
        </w:rPr>
        <w:t>. In addition to the provisions of Sections 10 and 12 of the Plan, to the extent determined by the Board to be required either by the Code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ensure that Incentive Stock Options granted under the Plan are qualified under Section 422 of the Code or otherwise, Plan amendments as they relate to or affect US Taxpayers shall be subject to approval by the Company shareholders entitled to vote at a meeting of shareholders. An amendment to increase the aggregate number of Shares which may be issued pursuant to the Plan and which may be made subject to Incentive Stock Options as set forth in Section III(c) of this Appendix A must be approved by shareholders within twelve (12) months of adoption of such amendment. Notwithstanding the provisions of Sections 10 and 12 of the Plan, no amendment in respect of a US Stock Option granted to a US Taxpayer shall be made without the consent of such US Taxpayer if the result of such amendment would be to cause the US Stock Option to violate the requirements of Section 409A.</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67" w:name="page68"/>
    <w:bookmarkEnd w:id="67"/>
    <w:p>
      <w:pPr>
        <w:jc w:val="both"/>
        <w:ind w:firstLine="624"/>
        <w:spacing w:after="0" w:line="259" w:lineRule="auto"/>
        <w:tabs>
          <w:tab w:leader="none" w:pos="862"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Adjustments</w:t>
      </w:r>
      <w:r>
        <w:rPr>
          <w:rFonts w:ascii="Times New Roman" w:cs="Times New Roman" w:eastAsia="Times New Roman" w:hAnsi="Times New Roman"/>
          <w:sz w:val="17"/>
          <w:szCs w:val="17"/>
          <w:color w:val="auto"/>
        </w:rPr>
        <w:t>. Notwithstanding Section 12 of the Plan, in the event that an adjustment pursuant to Section 12 of the Plan is determined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to be appropriate, the Committee shall appropriately and proportionately adjust the number of Shares subject to, and the Exercise Price of, outstanding Options, and the number of Shares subject to the limit on Incentive Stock Options set forth in Section III(c) of this Appendix A in a manner that complies with Sections 422 and 409A of the Code, as applicable. Unless the Committee specifically determines that such adjustments are in the best interests of the Company, the Committee shall, in the case of Incentive Stock Options, ensure that any adjustments will not constitute a modification, extension or renewal of the Incentive Stock Options within the meaning of Section 424(h)(3) of the Code and, in the case of Non-Qualified Stock Options, ensure that any adjustments will not constitute a modification of such Non-Qualified Stock Options within the meaning of Section 409A. The Committee will make such adjustments, and its determination will be final, binding and conclusive.</w:t>
      </w:r>
    </w:p>
    <w:p>
      <w:pPr>
        <w:spacing w:after="0" w:line="175" w:lineRule="exact"/>
        <w:rPr>
          <w:rFonts w:ascii="Times New Roman" w:cs="Times New Roman" w:eastAsia="Times New Roman" w:hAnsi="Times New Roman"/>
          <w:sz w:val="17"/>
          <w:szCs w:val="17"/>
          <w:color w:val="auto"/>
        </w:rPr>
      </w:pPr>
    </w:p>
    <w:p>
      <w:pPr>
        <w:jc w:val="both"/>
        <w:ind w:firstLine="624"/>
        <w:spacing w:after="0" w:line="273" w:lineRule="auto"/>
        <w:tabs>
          <w:tab w:leader="none" w:pos="865"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Priority</w:t>
      </w:r>
      <w:r>
        <w:rPr>
          <w:rFonts w:ascii="Times New Roman" w:cs="Times New Roman" w:eastAsia="Times New Roman" w:hAnsi="Times New Roman"/>
          <w:sz w:val="17"/>
          <w:szCs w:val="17"/>
          <w:color w:val="auto"/>
        </w:rPr>
        <w:t>. Except as specifically provided in this Appendix A, the provisions of the Plan and the Award Agreement shall govern. For an Option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who is a US Taxpayer, in the event of any inconsistency or conflict between the provisions of (i) the Plan and/or the Award Agreement, and (ii) this Appendix A, the terms of this Appendix A shall prevail.</w:t>
      </w:r>
    </w:p>
    <w:p>
      <w:pPr>
        <w:spacing w:after="0" w:line="160" w:lineRule="exact"/>
        <w:rPr>
          <w:rFonts w:ascii="Times New Roman" w:cs="Times New Roman" w:eastAsia="Times New Roman" w:hAnsi="Times New Roman"/>
          <w:sz w:val="17"/>
          <w:szCs w:val="17"/>
          <w:color w:val="auto"/>
        </w:rPr>
      </w:pPr>
    </w:p>
    <w:p>
      <w:pPr>
        <w:jc w:val="both"/>
        <w:ind w:firstLine="624"/>
        <w:spacing w:after="0" w:line="258" w:lineRule="auto"/>
        <w:tabs>
          <w:tab w:leader="none" w:pos="878"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Section 409A</w:t>
      </w:r>
      <w:r>
        <w:rPr>
          <w:rFonts w:ascii="Times New Roman" w:cs="Times New Roman" w:eastAsia="Times New Roman" w:hAnsi="Times New Roman"/>
          <w:sz w:val="17"/>
          <w:szCs w:val="17"/>
          <w:color w:val="auto"/>
        </w:rPr>
        <w:t>. For US Taxpayers, the Plan is intended to be exempt from or administered in a manner consistent with the requirements, where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of Section 409A. Where reasonably possible and practicable, the Plan shall be administered in a manner to avoid the imposition on Participants of immediate tax recognition and additional taxes pursuant to Section 409A. To the extent that an Award or the payment, settlement or deferral thereof is subject to Section 409A, the Award shall be granted, paid, settled or deferred in a manner that will comply with Section 409A, except as otherwise determined by the Committee. If a Participant is a Specified Employee and should any portion of the Award that would otherwise be payable under such Award be determined to be a payment that is not exempt from Section 409A, such payment will not be made or commence until the earlier of (i) the expiration of the six (6) month period measured from the Participant’s Separation from Service, or (ii) the date of Participant’s death following such a Separation from Service; provided, however, that such deferral will only be effected to the extent required to avoid adverse tax treatment to the Participant including, without limitation, the additional tax for which the Participant would otherwise be liable under Section 409A(a)(1)(B) in the absence of such a deferral. For purposes of Section 409A, each instalment payment provided under this Agreement shall be treated as a separate payment.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Appendix B</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LONG TERM INCENTIVE PLAN - OPTION CERTIFICATE</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Option Certificate is issued pursuant to the provisions of the Long Term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of Bitfarms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evidences that &lt;</w:t>
      </w:r>
      <w:r>
        <w:rPr>
          <w:rFonts w:ascii="Times New Roman" w:cs="Times New Roman" w:eastAsia="Times New Roman" w:hAnsi="Times New Roman"/>
          <w:sz w:val="17"/>
          <w:szCs w:val="17"/>
          <w:i w:val="1"/>
          <w:iCs w:val="1"/>
          <w:color w:val="auto"/>
        </w:rPr>
        <w:t>insert name of Option Holder</w:t>
      </w:r>
      <w:r>
        <w:rPr>
          <w:rFonts w:ascii="Times New Roman" w:cs="Times New Roman" w:eastAsia="Times New Roman" w:hAnsi="Times New Roman"/>
          <w:sz w:val="17"/>
          <w:szCs w:val="17"/>
          <w:color w:val="auto"/>
        </w:rPr>
        <w:t>&gt; is the holder (the “</w:t>
      </w:r>
      <w:r>
        <w:rPr>
          <w:rFonts w:ascii="Times New Roman" w:cs="Times New Roman" w:eastAsia="Times New Roman" w:hAnsi="Times New Roman"/>
          <w:sz w:val="17"/>
          <w:szCs w:val="17"/>
          <w:b w:val="1"/>
          <w:bCs w:val="1"/>
          <w:color w:val="auto"/>
        </w:rPr>
        <w:t>Option Holder</w:t>
      </w:r>
      <w:r>
        <w:rPr>
          <w:rFonts w:ascii="Times New Roman" w:cs="Times New Roman" w:eastAsia="Times New Roman" w:hAnsi="Times New Roman"/>
          <w:sz w:val="17"/>
          <w:szCs w:val="17"/>
          <w:color w:val="auto"/>
        </w:rPr>
        <w:t>”) of an option (the “</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to purchase up to ● common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in the capital stock of the Company at a purchase price of CAD$● per Share (the “</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This Option may be exercised at any time and from time to time from and including the following Grant Date through to and including up to 5:00 p.m. local time in Toronto, Ontario (the “</w:t>
      </w:r>
      <w:r>
        <w:rPr>
          <w:rFonts w:ascii="Times New Roman" w:cs="Times New Roman" w:eastAsia="Times New Roman" w:hAnsi="Times New Roman"/>
          <w:sz w:val="17"/>
          <w:szCs w:val="17"/>
          <w:b w:val="1"/>
          <w:bCs w:val="1"/>
          <w:color w:val="auto"/>
        </w:rPr>
        <w:t>Expiry Time</w:t>
      </w:r>
      <w:r>
        <w:rPr>
          <w:rFonts w:ascii="Times New Roman" w:cs="Times New Roman" w:eastAsia="Times New Roman" w:hAnsi="Times New Roman"/>
          <w:sz w:val="17"/>
          <w:szCs w:val="17"/>
          <w:color w:val="auto"/>
        </w:rPr>
        <w:t>”) on the following Expiry Date:</w:t>
      </w:r>
    </w:p>
    <w:p>
      <w:pPr>
        <w:spacing w:after="0" w:line="167" w:lineRule="exact"/>
        <w:rPr>
          <w:sz w:val="20"/>
          <w:szCs w:val="20"/>
          <w:color w:val="auto"/>
        </w:rPr>
      </w:pPr>
    </w:p>
    <w:p>
      <w:pPr>
        <w:ind w:left="860" w:hanging="236"/>
        <w:spacing w:after="0"/>
        <w:tabs>
          <w:tab w:leader="none" w:pos="8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of this Option is ●, 20___; and</w:t>
      </w:r>
    </w:p>
    <w:p>
      <w:pPr>
        <w:spacing w:after="0" w:line="218"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Sections 5.4, 6.2, 6.3, 6.4 and 12.4 of the Plan, the Expiry Date of this Option is ●, 20___.</w:t>
      </w:r>
    </w:p>
    <w:p>
      <w:pPr>
        <w:spacing w:after="0" w:line="2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This Option Certificate and the Option evidenced hereby is not assignable, transferable or negotiable and is subject to the detailed terms and conditions contained in the Plan. This Option Certificate is issued for convenience only and in the case of any dispute with regard to any matter in respect hereof, the provisions of the Plan and the records of the Company shall prevail. This Option is also subject to the terms and conditions contained in the schedules, if any, attached hereto, and to the terms of the Company’s Securities Trading Policy (the “Policy”).</w:t>
      </w:r>
    </w:p>
    <w:p>
      <w:pPr>
        <w:spacing w:after="0" w:line="16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From time to time, the Company may partner with a third-party administrative agent to facilitate the Option Holder to exercise their Options in a cashless manner. If such administrative agent is available, to exercise this Option, the Option Holder must, following the approval of the Clearance Committee, as defined in the Policy, log into the administrative agent account and proceed to complete the instructions as per the process established by the administrative agent.</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In case the Company ceases to offer the services of an administrative agent, to exercise this Option, the Option Holder must deliver to the Administrator of the Plan, prior to the Expiry Time on the Expiry Date, an Exercise Notice, in the form provided in the Plan, which is incorporated by reference herein, together with the original of this Option Certificate and a certified cheque or bank draft payable to the Company in an amount equal to the aggregate of the Exercise Price of the Shares in respect of which this Option is being exercised.</w:t>
      </w:r>
    </w:p>
    <w:p>
      <w:pPr>
        <w:spacing w:after="0" w:line="168"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This Option was granted to the Option Holder in his, her or its capacity as a ● [pick one: Director, Officer, Employee, Consultant] of the Company, and shall continue in effect should his, her or its status change and he, she or it continues in a new capacity as a Director, Officer, Employee or Consultant of the Company.</w:t>
      </w:r>
    </w:p>
    <w:p>
      <w:pPr>
        <w:spacing w:after="0" w:line="14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BITFARMS LTD.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138430</wp:posOffset>
            </wp:positionV>
            <wp:extent cx="2496820"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496820" cy="16510"/>
                    </a:xfrm>
                    <a:prstGeom prst="rect">
                      <a:avLst/>
                    </a:prstGeom>
                    <a:noFill/>
                  </pic:spPr>
                </pic:pic>
              </a:graphicData>
            </a:graphic>
          </wp:anchor>
        </w:drawing>
      </w: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Director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7"/>
          <w:szCs w:val="17"/>
          <w:color w:val="auto"/>
        </w:rPr>
        <w:t>The Option Holder acknowledges receipt of a copy of the Plan and represents to the Company that the Option Holder is familiar with the terms and conditions of the Plan, and hereby accepts this Option subject to all of the terms and conditions of the Plan. The Option Holder agrees to execute, deliver, file and otherwise assist the Company in filing any report, undertaking or document with respect to the awarding of the Option and exercise of the Option, as may be required by the Regulatory Authorities.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 of Option Holder:</w:t>
      </w:r>
    </w:p>
    <w:p>
      <w:pPr>
        <w:spacing w:after="0" w:line="21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color w:val="auto"/>
        </w:rPr>
        <w:t>Date 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713803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278130</wp:posOffset>
            </wp:positionV>
            <wp:extent cx="3072130"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3072130" cy="1651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3072130"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3072130" cy="1651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281940</wp:posOffset>
            </wp:positionV>
            <wp:extent cx="3072130"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307213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OPTION CERTIFICATE – SCHEDULE “A”</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[Complete the following additional terms and any other special terms, if applicable, or remove the inapplicable terms or this schedule entirely.]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additional terms and conditions attached to the Option represented by this Option Certificate are as follows:</w:t>
      </w:r>
    </w:p>
    <w:p>
      <w:pPr>
        <w:spacing w:after="0" w:line="218" w:lineRule="exact"/>
        <w:rPr>
          <w:sz w:val="20"/>
          <w:szCs w:val="20"/>
          <w:color w:val="auto"/>
        </w:rPr>
      </w:pPr>
    </w:p>
    <w:p>
      <w:pPr>
        <w:ind w:left="620" w:hanging="617"/>
        <w:spacing w:after="0" w:line="291"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will not be exercisable unless and until they have vested and then only to the extent that they have vested. The Options will vest in accordance with the following:</w:t>
      </w:r>
    </w:p>
    <w:p>
      <w:pPr>
        <w:spacing w:after="0" w:line="146"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 will vest and be exercisable on or after the Grant Date;</w:t>
      </w:r>
    </w:p>
    <w:p>
      <w:pPr>
        <w:spacing w:after="0" w:line="218"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additional Shares (●%) will vest and be exercisable on or after ● [date];</w:t>
      </w:r>
    </w:p>
    <w:p>
      <w:pPr>
        <w:spacing w:after="0" w:line="218"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additional Shares (●%) will vest and be exercisable on or after ● [date];</w:t>
      </w:r>
    </w:p>
    <w:p>
      <w:pPr>
        <w:spacing w:after="0" w:line="218" w:lineRule="exact"/>
        <w:rPr>
          <w:rFonts w:ascii="Times New Roman" w:cs="Times New Roman" w:eastAsia="Times New Roman" w:hAnsi="Times New Roman"/>
          <w:sz w:val="17"/>
          <w:szCs w:val="17"/>
          <w:color w:val="auto"/>
        </w:rPr>
      </w:pPr>
    </w:p>
    <w:p>
      <w:pPr>
        <w:ind w:left="860" w:hanging="236"/>
        <w:spacing w:after="0"/>
        <w:tabs>
          <w:tab w:leader="none" w:pos="86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additional Shares (●%) will vest and be exercisable on or after ● [date];</w:t>
      </w:r>
    </w:p>
    <w:p>
      <w:pPr>
        <w:spacing w:after="0" w:line="218" w:lineRule="exact"/>
        <w:rPr>
          <w:rFonts w:ascii="Times New Roman" w:cs="Times New Roman" w:eastAsia="Times New Roman" w:hAnsi="Times New Roman"/>
          <w:sz w:val="17"/>
          <w:szCs w:val="17"/>
          <w:color w:val="auto"/>
        </w:rPr>
      </w:pPr>
    </w:p>
    <w:p>
      <w:pPr>
        <w:jc w:val="both"/>
        <w:ind w:left="620" w:hanging="617"/>
        <w:spacing w:after="0" w:line="272" w:lineRule="auto"/>
        <w:tabs>
          <w:tab w:leader="none" w:pos="62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Option Holder ceasing to hold a position with the Company, other than as a result of the events set out in Sections 5.4(a) to 5.4(e) of the Plan, the Expiry Date of the Option shall be &lt;</w:t>
      </w:r>
      <w:r>
        <w:rPr>
          <w:rFonts w:ascii="Times New Roman" w:cs="Times New Roman" w:eastAsia="Times New Roman" w:hAnsi="Times New Roman"/>
          <w:sz w:val="17"/>
          <w:szCs w:val="17"/>
          <w:b w:val="1"/>
          <w:bCs w:val="1"/>
          <w:i w:val="1"/>
          <w:iCs w:val="1"/>
          <w:color w:val="auto"/>
        </w:rPr>
        <w:t>if applicable, insert date desired that is longer or shorter than the standard 90 days set out in the Plan</w:t>
      </w:r>
      <w:r>
        <w:rPr>
          <w:rFonts w:ascii="Times New Roman" w:cs="Times New Roman" w:eastAsia="Times New Roman" w:hAnsi="Times New Roman"/>
          <w:sz w:val="17"/>
          <w:szCs w:val="17"/>
          <w:color w:val="auto"/>
        </w:rPr>
        <w:t>&gt; following the date the Option Holder ceases to hold such position.</w:t>
      </w:r>
    </w:p>
    <w:p>
      <w:pPr>
        <w:spacing w:after="0" w:line="163" w:lineRule="exact"/>
        <w:rPr>
          <w:rFonts w:ascii="Times New Roman" w:cs="Times New Roman" w:eastAsia="Times New Roman" w:hAnsi="Times New Roman"/>
          <w:sz w:val="17"/>
          <w:szCs w:val="17"/>
          <w:color w:val="auto"/>
        </w:rPr>
      </w:pPr>
    </w:p>
    <w:p>
      <w:pPr>
        <w:ind w:left="4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“B”</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LONG TERM INCENTIVE PLAN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EXERCISE OF OPTION</w:t>
      </w:r>
    </w:p>
    <w:p>
      <w:pPr>
        <w:sectPr>
          <w:pgSz w:w="11900" w:h="16838" w:orient="portrait"/>
          <w:cols w:equalWidth="0" w:num="1">
            <w:col w:w="11240"/>
          </w:cols>
          <w:pgMar w:left="320" w:top="869" w:right="339" w:bottom="1440" w:gutter="0" w:footer="0" w:header="0"/>
        </w:sectPr>
      </w:pP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Administrator, Long Term Incentive Plan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BITFARMS LTD.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18 King Street East, Suite 902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Toronto, Ontario M5C 1C4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such other address as the Company may advise)</w:t>
      </w:r>
    </w:p>
    <w:p>
      <w:pPr>
        <w:spacing w:after="0" w:line="198" w:lineRule="exact"/>
        <w:rPr>
          <w:sz w:val="20"/>
          <w:szCs w:val="20"/>
          <w:color w:val="auto"/>
        </w:rPr>
      </w:pPr>
    </w:p>
    <w:p>
      <w:pPr>
        <w:sectPr>
          <w:pgSz w:w="11900" w:h="16838" w:orient="portrait"/>
          <w:cols w:equalWidth="0" w:num="2">
            <w:col w:w="520" w:space="720"/>
            <w:col w:w="10000"/>
          </w:cols>
          <w:pgMar w:left="320" w:top="86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The undersigned hereby irrevocably gives notice, pursuant to the Long Term Incentive Plan (the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of Bitfarms Ltd.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of the exercise of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Option to acquire and hereby subscribes for (</w:t>
      </w:r>
      <w:r>
        <w:rPr>
          <w:rFonts w:ascii="Times New Roman" w:cs="Times New Roman" w:eastAsia="Times New Roman" w:hAnsi="Times New Roman"/>
          <w:sz w:val="17"/>
          <w:szCs w:val="17"/>
          <w:b w:val="1"/>
          <w:bCs w:val="1"/>
          <w:color w:val="auto"/>
        </w:rPr>
        <w:t>cross out inapplicable item</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ind w:left="240" w:hanging="237"/>
        <w:spacing w:after="0"/>
        <w:tabs>
          <w:tab w:leader="none" w:pos="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Shares; or</w:t>
      </w:r>
    </w:p>
    <w:p>
      <w:pPr>
        <w:spacing w:after="0" w:line="218" w:lineRule="exact"/>
        <w:rPr>
          <w:rFonts w:ascii="Times New Roman" w:cs="Times New Roman" w:eastAsia="Times New Roman" w:hAnsi="Times New Roman"/>
          <w:sz w:val="17"/>
          <w:szCs w:val="17"/>
          <w:color w:val="auto"/>
        </w:rPr>
      </w:pPr>
    </w:p>
    <w:p>
      <w:pPr>
        <w:ind w:left="240" w:hanging="237"/>
        <w:spacing w:after="0"/>
        <w:tabs>
          <w:tab w:leader="none" w:pos="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________________ of the Shares;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are the subject of the Option Certificate attached hereto (</w:t>
      </w:r>
      <w:r>
        <w:rPr>
          <w:rFonts w:ascii="Times New Roman" w:cs="Times New Roman" w:eastAsia="Times New Roman" w:hAnsi="Times New Roman"/>
          <w:sz w:val="17"/>
          <w:szCs w:val="17"/>
          <w:b w:val="1"/>
          <w:bCs w:val="1"/>
          <w:color w:val="auto"/>
        </w:rPr>
        <w:t>attach your original Option Certificate</w:t>
      </w:r>
      <w:r>
        <w:rPr>
          <w:rFonts w:ascii="Times New Roman" w:cs="Times New Roman" w:eastAsia="Times New Roman" w:hAnsi="Times New Roman"/>
          <w:sz w:val="17"/>
          <w:szCs w:val="17"/>
          <w:color w:val="auto"/>
        </w:rPr>
        <w:t>).</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undersigned tenders herewith a certified cheque or bank draft (</w:t>
      </w:r>
      <w:r>
        <w:rPr>
          <w:rFonts w:ascii="Times New Roman" w:cs="Times New Roman" w:eastAsia="Times New Roman" w:hAnsi="Times New Roman"/>
          <w:sz w:val="17"/>
          <w:szCs w:val="17"/>
          <w:b w:val="1"/>
          <w:bCs w:val="1"/>
          <w:color w:val="auto"/>
        </w:rPr>
        <w:t>circle one</w:t>
      </w:r>
      <w:r>
        <w:rPr>
          <w:rFonts w:ascii="Times New Roman" w:cs="Times New Roman" w:eastAsia="Times New Roman" w:hAnsi="Times New Roman"/>
          <w:sz w:val="17"/>
          <w:szCs w:val="17"/>
          <w:color w:val="auto"/>
        </w:rPr>
        <w:t>) payable to “●” in an amount equal to the aggregate Exercise Price of the aforesaid Shares and directs the Company to issue the certificate evidencing said Shares in the name of the undersigned to be mailed to the undersigned at the following address (</w:t>
      </w:r>
      <w:r>
        <w:rPr>
          <w:rFonts w:ascii="Times New Roman" w:cs="Times New Roman" w:eastAsia="Times New Roman" w:hAnsi="Times New Roman"/>
          <w:sz w:val="17"/>
          <w:szCs w:val="17"/>
          <w:b w:val="1"/>
          <w:bCs w:val="1"/>
          <w:color w:val="auto"/>
        </w:rPr>
        <w:t>provide full complete address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2146300</wp:posOffset>
            </wp:positionH>
            <wp:positionV relativeFrom="paragraph">
              <wp:posOffset>1084580</wp:posOffset>
            </wp:positionV>
            <wp:extent cx="2858770"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2858770" cy="1651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805180</wp:posOffset>
            </wp:positionV>
            <wp:extent cx="28587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2858770" cy="1651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525780</wp:posOffset>
            </wp:positionV>
            <wp:extent cx="28587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2858770" cy="16510"/>
                    </a:xfrm>
                    <a:prstGeom prst="rect">
                      <a:avLst/>
                    </a:prstGeom>
                    <a:noFill/>
                  </pic:spPr>
                </pic:pic>
              </a:graphicData>
            </a:graphic>
          </wp:anchor>
        </w:drawing>
        <w:drawing>
          <wp:anchor simplePos="0" relativeHeight="251657728" behindDoc="1" locked="0" layoutInCell="0" allowOverlap="1">
            <wp:simplePos x="0" y="0"/>
            <wp:positionH relativeFrom="column">
              <wp:posOffset>2146300</wp:posOffset>
            </wp:positionH>
            <wp:positionV relativeFrom="paragraph">
              <wp:posOffset>246380</wp:posOffset>
            </wp:positionV>
            <wp:extent cx="28587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285877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7"/>
          <w:szCs w:val="17"/>
          <w:color w:val="auto"/>
        </w:rPr>
        <w:t>The undersigned acknowledges the Option is not validly exercised unless this Notice is completed in strict compliance with this form and delivered to the required address with the required payment prior to 5:00 p.m. local time in Toronto, Ontario on the Expiry Date of the Option.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the ____________ day of _______________________, 20_____.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4290060</wp:posOffset>
            </wp:positionH>
            <wp:positionV relativeFrom="paragraph">
              <wp:posOffset>281940</wp:posOffset>
            </wp:positionV>
            <wp:extent cx="285051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2850515" cy="1651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Signature of Option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19050</wp:posOffset>
            </wp:positionV>
            <wp:extent cx="713803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72" w:name="page73"/>
    <w:bookmarkEnd w:id="72"/>
    <w:p>
      <w:pPr>
        <w:ind w:left="9060"/>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168910</wp:posOffset>
            </wp:positionV>
            <wp:extent cx="7198995" cy="9068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98995" cy="9068435"/>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205105</wp:posOffset>
            </wp:positionH>
            <wp:positionV relativeFrom="page">
              <wp:posOffset>236855</wp:posOffset>
            </wp:positionV>
            <wp:extent cx="7138035" cy="90849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38035" cy="90849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 Yonge Street, Suite 1601, Toronto, ON M5C 1T4</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GENERAL AND SPECIAL MEETING OF SHAREHOLDERS</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NOTICE IS HEREBY GIVEN </w:t>
      </w:r>
      <w:r>
        <w:rPr>
          <w:rFonts w:ascii="Times New Roman" w:cs="Times New Roman" w:eastAsia="Times New Roman" w:hAnsi="Times New Roman"/>
          <w:sz w:val="17"/>
          <w:szCs w:val="17"/>
          <w:color w:val="auto"/>
        </w:rPr>
        <w:t>that the annual general and special meeting (the “</w:t>
      </w:r>
      <w:r>
        <w:rPr>
          <w:rFonts w:ascii="Times New Roman" w:cs="Times New Roman" w:eastAsia="Times New Roman" w:hAnsi="Times New Roman"/>
          <w:sz w:val="17"/>
          <w:szCs w:val="17"/>
          <w:b w:val="1"/>
          <w:bCs w:val="1"/>
          <w:color w:val="auto"/>
        </w:rPr>
        <w:t>Meeting</w:t>
      </w:r>
      <w:r>
        <w:rPr>
          <w:rFonts w:ascii="Times New Roman" w:cs="Times New Roman" w:eastAsia="Times New Roman" w:hAnsi="Times New Roman"/>
          <w:sz w:val="17"/>
          <w:szCs w:val="17"/>
          <w:color w:val="auto"/>
        </w:rPr>
        <w:t>”) of the holders (the “</w:t>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 of common shares (“</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of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will be held virtually at the following web link: https://virtual-meetings.tsxtrust.com/en/1648 on May 31, 2024, 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10:00 a.m. (EST) for the following purposes, all as more particularly described in the enclosed management information circular (the “</w:t>
      </w:r>
      <w:r>
        <w:rPr>
          <w:rFonts w:ascii="Times New Roman" w:cs="Times New Roman" w:eastAsia="Times New Roman" w:hAnsi="Times New Roman"/>
          <w:sz w:val="17"/>
          <w:szCs w:val="17"/>
          <w:b w:val="1"/>
          <w:bCs w:val="1"/>
          <w:color w:val="auto"/>
        </w:rPr>
        <w:t>Circular</w:t>
      </w:r>
      <w:r>
        <w:rPr>
          <w:rFonts w:ascii="Times New Roman" w:cs="Times New Roman" w:eastAsia="Times New Roman" w:hAnsi="Times New Roman"/>
          <w:sz w:val="17"/>
          <w:szCs w:val="17"/>
          <w:color w:val="auto"/>
        </w:rPr>
        <w:t>”):</w:t>
      </w:r>
    </w:p>
    <w:p>
      <w:pPr>
        <w:spacing w:after="0" w:line="163" w:lineRule="exact"/>
        <w:rPr>
          <w:sz w:val="20"/>
          <w:szCs w:val="20"/>
          <w:color w:val="auto"/>
        </w:rPr>
      </w:pPr>
    </w:p>
    <w:p>
      <w:pPr>
        <w:ind w:left="1240" w:hanging="616"/>
        <w:spacing w:after="0" w:line="291"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receive the Corporation’s consolidated financial statements for the years ended December 31, 2023, and December 31, 2022, and the report of the auditors thereon;</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the directors of the Corporation for the ensuing year;</w:t>
      </w:r>
    </w:p>
    <w:p>
      <w:pPr>
        <w:spacing w:after="0" w:line="218"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appoint the auditors and to authorize the directors to fix their remuneration;</w:t>
      </w:r>
    </w:p>
    <w:p>
      <w:pPr>
        <w:spacing w:after="0" w:line="218" w:lineRule="exact"/>
        <w:rPr>
          <w:rFonts w:ascii="Times New Roman" w:cs="Times New Roman" w:eastAsia="Times New Roman" w:hAnsi="Times New Roman"/>
          <w:sz w:val="17"/>
          <w:szCs w:val="17"/>
          <w:color w:val="auto"/>
        </w:rPr>
      </w:pPr>
    </w:p>
    <w:p>
      <w:pPr>
        <w:ind w:left="1240" w:hanging="616"/>
        <w:spacing w:after="0" w:line="291" w:lineRule="auto"/>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if deemed advisable, pass an ordinary resolution, the full text of which is set forth in the accompanying Circular, to approve the renewal of the Corporation’s long term equity incentive plan and the unallocated entitlements thereunder; and</w:t>
      </w:r>
    </w:p>
    <w:p>
      <w:pPr>
        <w:spacing w:after="0" w:line="146" w:lineRule="exact"/>
        <w:rPr>
          <w:rFonts w:ascii="Times New Roman" w:cs="Times New Roman" w:eastAsia="Times New Roman" w:hAnsi="Times New Roman"/>
          <w:sz w:val="17"/>
          <w:szCs w:val="17"/>
          <w:color w:val="auto"/>
        </w:rPr>
      </w:pPr>
    </w:p>
    <w:p>
      <w:pPr>
        <w:ind w:left="1240" w:hanging="616"/>
        <w:spacing w:after="0"/>
        <w:tabs>
          <w:tab w:leader="none" w:pos="124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further and other business as may be properly brought before the Meeting or any adjournment or postponement thereof.</w:t>
      </w:r>
    </w:p>
    <w:p>
      <w:pPr>
        <w:spacing w:after="0" w:line="21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board of directors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xml:space="preserve">”) has fixed </w:t>
      </w:r>
      <w:r>
        <w:rPr>
          <w:rFonts w:ascii="Times New Roman" w:cs="Times New Roman" w:eastAsia="Times New Roman" w:hAnsi="Times New Roman"/>
          <w:sz w:val="17"/>
          <w:szCs w:val="17"/>
          <w:b w:val="1"/>
          <w:bCs w:val="1"/>
          <w:color w:val="auto"/>
        </w:rPr>
        <w:t>April 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2024</w:t>
      </w:r>
      <w:r>
        <w:rPr>
          <w:rFonts w:ascii="Times New Roman" w:cs="Times New Roman" w:eastAsia="Times New Roman" w:hAnsi="Times New Roman"/>
          <w:sz w:val="17"/>
          <w:szCs w:val="17"/>
          <w:color w:val="auto"/>
        </w:rPr>
        <w:t xml:space="preserve"> as the record date (the “</w:t>
      </w:r>
      <w:r>
        <w:rPr>
          <w:rFonts w:ascii="Times New Roman" w:cs="Times New Roman" w:eastAsia="Times New Roman" w:hAnsi="Times New Roman"/>
          <w:sz w:val="17"/>
          <w:szCs w:val="17"/>
          <w:b w:val="1"/>
          <w:bCs w:val="1"/>
          <w:color w:val="auto"/>
        </w:rPr>
        <w:t>Record Date</w:t>
      </w:r>
      <w:r>
        <w:rPr>
          <w:rFonts w:ascii="Times New Roman" w:cs="Times New Roman" w:eastAsia="Times New Roman" w:hAnsi="Times New Roman"/>
          <w:sz w:val="17"/>
          <w:szCs w:val="17"/>
          <w:color w:val="auto"/>
        </w:rPr>
        <w:t>”) for determining the Shareholders who are entitled to receive notice of and vote at the Meeting. Only Shareholders whose names have been entered in the registers of the Corporation as at the close of business on the Record Date will be entitled to receive notice of and vote at the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w:t>
      </w:r>
    </w:p>
    <w:p>
      <w:pPr>
        <w:spacing w:after="0" w:line="21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We are inviting Shareholders to participate in the Meeting by accessing the virtual meeting platform at URL </w:t>
      </w:r>
      <w:r>
        <w:rPr>
          <w:rFonts w:ascii="Times New Roman" w:cs="Times New Roman" w:eastAsia="Times New Roman" w:hAnsi="Times New Roman"/>
          <w:sz w:val="17"/>
          <w:szCs w:val="17"/>
          <w:color w:val="auto"/>
        </w:rPr>
        <w:t>https://virtual-meetings.tsxtrust.com/en/1648</w:t>
      </w:r>
      <w:r>
        <w:rPr>
          <w:rFonts w:ascii="Times New Roman" w:cs="Times New Roman" w:eastAsia="Times New Roman" w:hAnsi="Times New Roman"/>
          <w:sz w:val="17"/>
          <w:szCs w:val="17"/>
          <w:b w:val="1"/>
          <w:bCs w:val="1"/>
          <w:color w:val="auto"/>
        </w:rPr>
        <w:t>, Password: bitfarms2024 (case sensitive). Participants should join at least ten (10) minutes prior to the scheduled start time. Shareholders will have an equal opportunity to participate at the Meeting through this method regardless of their geographic location.</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All Shareholders may attend the Meeting virtually or be represented by proxy. Shareholders are requested to complete, date and sign the enclosed form of proxy and return it in the envelope provided. </w:t>
      </w:r>
      <w:r>
        <w:rPr>
          <w:rFonts w:ascii="Times New Roman" w:cs="Times New Roman" w:eastAsia="Times New Roman" w:hAnsi="Times New Roman"/>
          <w:sz w:val="17"/>
          <w:szCs w:val="17"/>
          <w:color w:val="auto"/>
        </w:rPr>
        <w:t>To be effective, the enclosed form of proxy or voting instruction form must be deposited with TSX Trust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by mail delivery at 301 – 100 Adelaide Street West, Toronto, Ontario M5H 1S3, or by facsimile at (416) 595-9593. In order to be valid and acted upon at the Meeting, the duly completed form of proxy must be received prior to 10:00 a.m. (Toronto time) on May 29, 2024 (the “</w:t>
      </w:r>
      <w:r>
        <w:rPr>
          <w:rFonts w:ascii="Times New Roman" w:cs="Times New Roman" w:eastAsia="Times New Roman" w:hAnsi="Times New Roman"/>
          <w:sz w:val="17"/>
          <w:szCs w:val="17"/>
          <w:b w:val="1"/>
          <w:bCs w:val="1"/>
          <w:color w:val="auto"/>
        </w:rPr>
        <w:t>Proxy Deadline</w:t>
      </w:r>
      <w:r>
        <w:rPr>
          <w:rFonts w:ascii="Times New Roman" w:cs="Times New Roman" w:eastAsia="Times New Roman" w:hAnsi="Times New Roman"/>
          <w:sz w:val="17"/>
          <w:szCs w:val="17"/>
          <w:color w:val="auto"/>
        </w:rPr>
        <w:t>”), or be deposited with the Secretary of the Corporation before the commencement of the Meeting or of any adjournment thereof. Notwithstanding the foregoing, the Chair of the Meeting has the discretion to accept proxies received after such deadline.</w:t>
      </w:r>
    </w:p>
    <w:p>
      <w:pPr>
        <w:spacing w:after="0" w:line="17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A “beneficial” or “non-registered” Shareholder will not be recognized directly at the Meeting for the purposes of voting Common Shares registered in the name of his/her/its broker; however, a beneficial Shareholder may attend the Meeting as proxyholder for the registered Shareholder and vote the Common Shares in that capacity. Only Shareholders as of the Record Date are entitled to receive notice of and vote at the Meeting.</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If you are a non-registered holder of Common Shares and have received these materials through your broker, custodian, nominee or other intermediary, please complete and return the form of proxy or voting instruction form provided to you by your broker, custodian, nominee or other intermediary in accordance with the instructions provided therein.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Shareholders are reminded to review the Circular before voting.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DATED </w:t>
      </w:r>
      <w:r>
        <w:rPr>
          <w:rFonts w:ascii="Times New Roman" w:cs="Times New Roman" w:eastAsia="Times New Roman" w:hAnsi="Times New Roman"/>
          <w:sz w:val="17"/>
          <w:szCs w:val="17"/>
          <w:color w:val="auto"/>
        </w:rPr>
        <w:t>April 16, 2024.</w:t>
      </w:r>
    </w:p>
    <w:p>
      <w:pPr>
        <w:spacing w:after="0" w:line="21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BY ORDER OF THE BOARD OF DIRECTORS</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(Signed) “Nicolas Bonta”</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Nicolas Bonta</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Chairman of the Board of Directors</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lowerLetter"/>
      <w:start w:val="1"/>
    </w:lvl>
  </w:abstractNum>
  <w:abstractNum w:abstractNumId="1">
    <w:nsid w:val="6DE91B18"/>
    <w:multiLevelType w:val="hybridMultilevel"/>
    <w:lvl w:ilvl="0">
      <w:lvlJc w:val="left"/>
      <w:lvlText w:val="(%1)"/>
      <w:numFmt w:val="decimal"/>
      <w:start w:val="866"/>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1."/>
      <w:numFmt w:val="decimal"/>
      <w:start w:val="1"/>
    </w:lvl>
  </w:abstractNum>
  <w:abstractNum w:abstractNumId="6">
    <w:nsid w:val="579478FE"/>
    <w:multiLevelType w:val="hybridMultilevel"/>
    <w:lvl w:ilvl="0">
      <w:lvlJc w:val="left"/>
      <w:lvlText w:val="%1."/>
      <w:numFmt w:val="decimal"/>
      <w:start w:val="2"/>
    </w:lvl>
  </w:abstractNum>
  <w:abstractNum w:abstractNumId="7">
    <w:nsid w:val="749ABB43"/>
    <w:multiLevelType w:val="hybridMultilevel"/>
    <w:lvl w:ilvl="0">
      <w:lvlJc w:val="left"/>
      <w:lvlText w:val="(%1)"/>
      <w:numFmt w:val="decimal"/>
      <w:start w:val="6"/>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1)"/>
      <w:numFmt w:val="lowerLetter"/>
      <w:start w:val="1"/>
    </w:lvl>
    <w:lvl w:ilvl="1">
      <w:lvlJc w:val="left"/>
      <w:lvlText w:val="(%2)"/>
      <w:numFmt w:val="lowerRoman"/>
      <w:start w:val="1"/>
    </w:lvl>
  </w:abstractNum>
  <w:abstractNum w:abstractNumId="11">
    <w:nsid w:val="75C6C33A"/>
    <w:multiLevelType w:val="hybridMultilevel"/>
    <w:lvl w:ilvl="0">
      <w:lvlJc w:val="left"/>
      <w:lvlText w:val="(%1)"/>
      <w:numFmt w:val="lowerLetter"/>
      <w:start w:val="1"/>
    </w:lvl>
  </w:abstractNum>
  <w:abstractNum w:abstractNumId="12">
    <w:nsid w:val="12E685FB"/>
    <w:multiLevelType w:val="hybridMultilevel"/>
    <w:lvl w:ilvl="0">
      <w:lvlJc w:val="left"/>
      <w:lvlText w:val="%1."/>
      <w:numFmt w:val="decimal"/>
      <w:start w:val="3"/>
    </w:lvl>
  </w:abstractNum>
  <w:abstractNum w:abstractNumId="13">
    <w:nsid w:val="70C6A529"/>
    <w:multiLevelType w:val="hybridMultilevel"/>
    <w:lvl w:ilvl="0">
      <w:lvlJc w:val="left"/>
      <w:lvlText w:val="%1."/>
      <w:numFmt w:val="decimal"/>
      <w:start w:val="4"/>
    </w:lvl>
  </w:abstractNum>
  <w:abstractNum w:abstractNumId="14">
    <w:nsid w:val="520EEDD1"/>
    <w:multiLevelType w:val="hybridMultilevel"/>
    <w:lvl w:ilvl="0">
      <w:lvlJc w:val="left"/>
      <w:lvlText w:val="%1."/>
      <w:numFmt w:val="decimal"/>
      <w:start w:val="1"/>
    </w:lvl>
  </w:abstractNum>
  <w:abstractNum w:abstractNumId="15">
    <w:nsid w:val="374A3FE6"/>
    <w:multiLevelType w:val="hybridMultilevel"/>
    <w:lvl w:ilvl="0">
      <w:lvlJc w:val="left"/>
      <w:lvlText w:val="%1."/>
      <w:numFmt w:val="decimal"/>
      <w:start w:val="5"/>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lowerLetter"/>
      <w:start w:val="1"/>
    </w:lvl>
    <w:lvl w:ilvl="1">
      <w:lvlJc w:val="left"/>
      <w:lvlText w:val="(%2)"/>
      <w:numFmt w:val="lowerRoman"/>
      <w:start w:val="2"/>
    </w:lvl>
  </w:abstractNum>
  <w:abstractNum w:abstractNumId="21">
    <w:nsid w:val="1CF10FD8"/>
    <w:multiLevelType w:val="hybridMultilevel"/>
    <w:lvl w:ilvl="0">
      <w:lvlJc w:val="left"/>
      <w:lvlText w:val="%1)"/>
      <w:numFmt w:val="lowerLetter"/>
      <w:start w:val="4"/>
    </w:lvl>
  </w:abstractNum>
  <w:abstractNum w:abstractNumId="22">
    <w:nsid w:val="180115BE"/>
    <w:multiLevelType w:val="hybridMultilevel"/>
    <w:lvl w:ilvl="0">
      <w:lvlJc w:val="left"/>
      <w:lvlText w:val="%1)"/>
      <w:numFmt w:val="lowerLetter"/>
      <w:start w:val="15"/>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1)"/>
      <w:numFmt w:val="decimal"/>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1)"/>
      <w:numFmt w:val="decimal"/>
      <w:start w:val="1"/>
    </w:lvl>
  </w:abstractNum>
  <w:abstractNum w:abstractNumId="30">
    <w:nsid w:val="3F6AB60F"/>
    <w:multiLevelType w:val="hybridMultilevel"/>
    <w:lvl w:ilvl="0">
      <w:lvlJc w:val="left"/>
      <w:lvlText w:val="(%1)"/>
      <w:numFmt w:val="decimal"/>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101"/>
    </w:lvl>
  </w:abstractNum>
  <w:abstractNum w:abstractNumId="33">
    <w:nsid w:val="77AE35EB"/>
    <w:multiLevelType w:val="hybridMultilevel"/>
    <w:lvl w:ilvl="0">
      <w:lvlJc w:val="left"/>
      <w:lvlText w:val="%1)"/>
      <w:numFmt w:val="decimal"/>
      <w:start w:val="2"/>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lowerLetter"/>
      <w:start w:val="1"/>
    </w:lvl>
  </w:abstractNum>
  <w:abstractNum w:abstractNumId="36">
    <w:nsid w:val="5FF87E05"/>
    <w:multiLevelType w:val="hybridMultilevel"/>
    <w:lvl w:ilvl="0">
      <w:lvlJc w:val="left"/>
      <w:lvlText w:val="%1."/>
      <w:numFmt w:val="decimal"/>
      <w:start w:val="1"/>
    </w:lvl>
    <w:lvl w:ilvl="1">
      <w:lvlJc w:val="left"/>
      <w:lvlText w:val="(%2)"/>
      <w:numFmt w:val="lowerLetter"/>
      <w:start w:val="1"/>
    </w:lvl>
  </w:abstractNum>
  <w:abstractNum w:abstractNumId="37">
    <w:nsid w:val="2F305DEF"/>
    <w:multiLevelType w:val="hybridMultilevel"/>
    <w:lvl w:ilvl="0">
      <w:lvlJc w:val="left"/>
      <w:lvlText w:val="%1."/>
      <w:numFmt w:val="decimal"/>
      <w:start w:val="2"/>
    </w:lvl>
    <w:lvl w:ilvl="1">
      <w:lvlJc w:val="left"/>
      <w:lvlText w:val="(%2)"/>
      <w:numFmt w:val="lowerLetter"/>
      <w:start w:val="1"/>
    </w:lvl>
  </w:abstractNum>
  <w:abstractNum w:abstractNumId="38">
    <w:nsid w:val="25A70BF7"/>
    <w:multiLevelType w:val="hybridMultilevel"/>
    <w:lvl w:ilvl="0">
      <w:lvlJc w:val="left"/>
      <w:lvlText w:val="(%1)"/>
      <w:numFmt w:val="lowerLetter"/>
      <w:start w:val="2"/>
    </w:lvl>
  </w:abstractNum>
  <w:abstractNum w:abstractNumId="39">
    <w:nsid w:val="1DBABF00"/>
    <w:multiLevelType w:val="hybridMultilevel"/>
    <w:lvl w:ilvl="0">
      <w:lvlJc w:val="left"/>
      <w:lvlText w:val="%1."/>
      <w:numFmt w:val="decimal"/>
      <w:start w:val="3"/>
    </w:lvl>
    <w:lvl w:ilvl="1">
      <w:lvlJc w:val="left"/>
      <w:lvlText w:val="(%2)"/>
      <w:numFmt w:val="lowerLetter"/>
      <w:start w:val="1"/>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3"/>
    </w:lvl>
  </w:abstractNum>
  <w:abstractNum w:abstractNumId="42">
    <w:nsid w:val="1381823A"/>
    <w:multiLevelType w:val="hybridMultilevel"/>
    <w:lvl w:ilvl="0">
      <w:lvlJc w:val="left"/>
      <w:lvlText w:val="(%1)"/>
      <w:numFmt w:val="lowerLetter"/>
      <w:start w:val="1"/>
    </w:lvl>
  </w:abstractNum>
  <w:abstractNum w:abstractNumId="43">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100F8FC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45">
    <w:nsid w:val="6590700B"/>
    <w:multiLevelType w:val="hybridMultilevel"/>
    <w:lvl w:ilvl="0">
      <w:lvlJc w:val="left"/>
      <w:lvlText w:val="%1."/>
      <w:numFmt w:val="decimal"/>
      <w:start w:val="6"/>
    </w:lvl>
    <w:lvl w:ilvl="1">
      <w:lvlJc w:val="left"/>
      <w:lvlText w:val="(%2)"/>
      <w:numFmt w:val="lowerLetter"/>
      <w:start w:val="1"/>
    </w:lvl>
  </w:abstractNum>
  <w:abstractNum w:abstractNumId="46">
    <w:nsid w:val="15014ACB"/>
    <w:multiLevelType w:val="hybridMultilevel"/>
    <w:lvl w:ilvl="0">
      <w:lvlJc w:val="left"/>
      <w:lvlText w:val="%1."/>
      <w:numFmt w:val="decimal"/>
      <w:start w:val="7"/>
    </w:lvl>
  </w:abstractNum>
  <w:abstractNum w:abstractNumId="47">
    <w:nsid w:val="5F5E7FD0"/>
    <w:multiLevelType w:val="hybridMultilevel"/>
    <w:lvl w:ilvl="0">
      <w:lvlJc w:val="left"/>
      <w:lvlText w:val="%1."/>
      <w:numFmt w:val="decimal"/>
      <w:start w:val="8"/>
    </w:lvl>
  </w:abstractNum>
  <w:abstractNum w:abstractNumId="48">
    <w:nsid w:val="98A3148"/>
    <w:multiLevelType w:val="hybridMultilevel"/>
    <w:lvl w:ilvl="0">
      <w:lvlJc w:val="left"/>
      <w:lvlText w:val="%1."/>
      <w:numFmt w:val="decimal"/>
      <w:start w:val="9"/>
    </w:lvl>
  </w:abstractNum>
  <w:abstractNum w:abstractNumId="49">
    <w:nsid w:val="799D0247"/>
    <w:multiLevelType w:val="hybridMultilevel"/>
    <w:lvl w:ilvl="0">
      <w:lvlJc w:val="left"/>
      <w:lvlText w:val="(%1)"/>
      <w:numFmt w:val="lowerLetter"/>
      <w:start w:val="1"/>
    </w:lvl>
    <w:lvl w:ilvl="1">
      <w:lvlJc w:val="left"/>
      <w:lvlText w:val="(%2)"/>
      <w:numFmt w:val="lowerRoman"/>
      <w:start w:val="1"/>
    </w:lvl>
  </w:abstractNum>
  <w:abstractNum w:abstractNumId="50">
    <w:nsid w:val="6B94764"/>
    <w:multiLevelType w:val="hybridMultilevel"/>
    <w:lvl w:ilvl="0">
      <w:lvlJc w:val="left"/>
      <w:lvlText w:val="%1"/>
      <w:numFmt w:val="lowerRoman"/>
      <w:start w:val="1"/>
    </w:lvl>
    <w:lvl w:ilvl="1">
      <w:lvlJc w:val="left"/>
      <w:lvlText w:val="(%2)"/>
      <w:numFmt w:val="lowerRoman"/>
      <w:start w:val="2"/>
    </w:lvl>
  </w:abstractNum>
  <w:abstractNum w:abstractNumId="51">
    <w:nsid w:val="42C296BD"/>
    <w:multiLevelType w:val="hybridMultilevel"/>
    <w:lvl w:ilvl="0">
      <w:lvlJc w:val="left"/>
      <w:lvlText w:val="(%1)"/>
      <w:numFmt w:val="lowerRoman"/>
      <w:start w:val="1"/>
    </w:lvl>
    <w:lvl w:ilvl="1">
      <w:lvlJc w:val="left"/>
      <w:lvlText w:val="(%2)"/>
      <w:numFmt w:val="lowerRoman"/>
      <w:start w:val="1"/>
    </w:lvl>
  </w:abstractNum>
  <w:abstractNum w:abstractNumId="52">
    <w:nsid w:val="168E121F"/>
    <w:multiLevelType w:val="hybridMultilevel"/>
    <w:lvl w:ilvl="0">
      <w:lvlJc w:val="left"/>
      <w:lvlText w:val="(%1)"/>
      <w:numFmt w:val="lowerLetter"/>
      <w:start w:val="10"/>
    </w:lvl>
    <w:lvl w:ilvl="1">
      <w:lvlJc w:val="left"/>
      <w:lvlText w:val="(%2)"/>
      <w:numFmt w:val="lowerRoman"/>
      <w:start w:val="1"/>
    </w:lvl>
  </w:abstractNum>
  <w:abstractNum w:abstractNumId="53">
    <w:nsid w:val="1EBA5D23"/>
    <w:multiLevelType w:val="hybridMultilevel"/>
    <w:lvl w:ilvl="0">
      <w:lvlJc w:val="left"/>
      <w:lvlText w:val="(%1)"/>
      <w:numFmt w:val="lowerLetter"/>
      <w:start w:val="14"/>
    </w:lvl>
    <w:lvl w:ilvl="1">
      <w:lvlJc w:val="left"/>
      <w:lvlText w:val="(%2)"/>
      <w:numFmt w:val="lowerRoman"/>
      <w:start w:val="1"/>
    </w:lvl>
  </w:abstractNum>
  <w:abstractNum w:abstractNumId="54">
    <w:nsid w:val="661E3F1E"/>
    <w:multiLevelType w:val="hybridMultilevel"/>
    <w:lvl w:ilvl="0">
      <w:lvlJc w:val="left"/>
      <w:lvlText w:val="(%1)"/>
      <w:numFmt w:val="lowerLetter"/>
      <w:start w:val="27"/>
    </w:lvl>
  </w:abstractNum>
  <w:abstractNum w:abstractNumId="55">
    <w:nsid w:val="5DC79EA8"/>
    <w:multiLevelType w:val="hybridMultilevel"/>
    <w:lvl w:ilvl="0">
      <w:lvlJc w:val="left"/>
      <w:lvlText w:val="(%1)"/>
      <w:numFmt w:val="lowerLetter"/>
      <w:start w:val="28"/>
    </w:lvl>
    <w:lvl w:ilvl="1">
      <w:lvlJc w:val="left"/>
      <w:lvlText w:val="(%2)"/>
      <w:numFmt w:val="lowerRoman"/>
      <w:start w:val="1"/>
    </w:lvl>
  </w:abstractNum>
  <w:abstractNum w:abstractNumId="56">
    <w:nsid w:val="540A471C"/>
    <w:multiLevelType w:val="hybridMultilevel"/>
    <w:lvl w:ilvl="0">
      <w:lvlJc w:val="left"/>
      <w:lvlText w:val="(%1)"/>
      <w:numFmt w:val="lowerLetter"/>
      <w:start w:val="42"/>
    </w:lvl>
    <w:lvl w:ilvl="1">
      <w:lvlJc w:val="left"/>
      <w:lvlText w:val="(%2)"/>
      <w:numFmt w:val="lowerRoman"/>
      <w:start w:val="1"/>
    </w:lvl>
  </w:abstractNum>
  <w:abstractNum w:abstractNumId="57">
    <w:nsid w:val="7BD3EE7B"/>
    <w:multiLevelType w:val="hybridMultilevel"/>
    <w:lvl w:ilvl="0">
      <w:lvlJc w:val="left"/>
      <w:lvlText w:val="(%1)"/>
      <w:numFmt w:val="lowerLetter"/>
      <w:start w:val="1"/>
    </w:lvl>
  </w:abstractNum>
  <w:abstractNum w:abstractNumId="58">
    <w:nsid w:val="51D9C564"/>
    <w:multiLevelType w:val="hybridMultilevel"/>
    <w:lvl w:ilvl="0">
      <w:lvlJc w:val="left"/>
      <w:lvlText w:val="(%1)"/>
      <w:numFmt w:val="lowerLetter"/>
      <w:start w:val="1"/>
    </w:lvl>
  </w:abstractNum>
  <w:abstractNum w:abstractNumId="59">
    <w:nsid w:val="613EFDC5"/>
    <w:multiLevelType w:val="hybridMultilevel"/>
    <w:lvl w:ilvl="0">
      <w:lvlJc w:val="left"/>
      <w:lvlText w:val="(%1)"/>
      <w:numFmt w:val="lowerLetter"/>
      <w:start w:val="2"/>
    </w:lvl>
  </w:abstractNum>
  <w:abstractNum w:abstractNumId="60">
    <w:nsid w:val="BF72B14"/>
    <w:multiLevelType w:val="hybridMultilevel"/>
    <w:lvl w:ilvl="0">
      <w:lvlJc w:val="left"/>
      <w:lvlText w:val="(%1)"/>
      <w:numFmt w:val="lowerLetter"/>
      <w:start w:val="1"/>
    </w:lvl>
  </w:abstractNum>
  <w:abstractNum w:abstractNumId="61">
    <w:nsid w:val="11447B73"/>
    <w:multiLevelType w:val="hybridMultilevel"/>
    <w:lvl w:ilvl="0">
      <w:lvlJc w:val="left"/>
      <w:lvlText w:val="(%1)"/>
      <w:numFmt w:val="lowerLetter"/>
      <w:start w:val="1"/>
    </w:lvl>
  </w:abstractNum>
  <w:abstractNum w:abstractNumId="62">
    <w:nsid w:val="42963E5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3">
    <w:nsid w:val="A0382C5"/>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90"/>
    </w:lvl>
  </w:abstractNum>
  <w:abstractNum w:abstractNumId="64">
    <w:nsid w:val="8F2B15E"/>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65">
    <w:nsid w:val="1A32234B"/>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66">
    <w:nsid w:val="3B0FD379"/>
    <w:multiLevelType w:val="hybridMultilevel"/>
    <w:lvl w:ilvl="0">
      <w:lvlJc w:val="left"/>
      <w:lvlText w:val="(%1)"/>
      <w:numFmt w:val="lowerLetter"/>
      <w:start w:val="1"/>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lowerLetter"/>
      <w:start w:val="2"/>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lowerLetter"/>
      <w:start w:val="1"/>
    </w:lvl>
  </w:abstractNum>
  <w:abstractNum w:abstractNumId="71">
    <w:nsid w:val="14330624"/>
    <w:multiLevelType w:val="hybridMultilevel"/>
    <w:lvl w:ilvl="0">
      <w:lvlJc w:val="left"/>
      <w:lvlText w:val="(%1)"/>
      <w:numFmt w:val="lowerLetter"/>
      <w:start w:val="1"/>
    </w:lvl>
    <w:lvl w:ilvl="1">
      <w:lvlJc w:val="left"/>
      <w:lvlText w:val="(%2)"/>
      <w:numFmt w:val="lowerRoman"/>
      <w:start w:val="1"/>
    </w:lvl>
  </w:abstractNum>
  <w:abstractNum w:abstractNumId="72">
    <w:nsid w:val="7FFFCA11"/>
    <w:multiLevelType w:val="hybridMultilevel"/>
    <w:lvl w:ilvl="0">
      <w:lvlJc w:val="left"/>
      <w:lvlText w:val="(%1)"/>
      <w:numFmt w:val="lowerLetter"/>
      <w:start w:val="10"/>
    </w:lvl>
  </w:abstractNum>
  <w:abstractNum w:abstractNumId="73">
    <w:nsid w:val="1A27709E"/>
    <w:multiLevelType w:val="hybridMultilevel"/>
    <w:lvl w:ilvl="0">
      <w:lvlJc w:val="left"/>
      <w:lvlText w:val="(%1)"/>
      <w:numFmt w:val="lowerLetter"/>
      <w:start w:val="1"/>
    </w:lvl>
    <w:lvl w:ilvl="1">
      <w:lvlJc w:val="left"/>
      <w:lvlText w:val="(%2)"/>
      <w:numFmt w:val="lowerRoman"/>
      <w:start w:val="1"/>
    </w:lvl>
  </w:abstractNum>
  <w:abstractNum w:abstractNumId="74">
    <w:nsid w:val="71EA1109"/>
    <w:multiLevelType w:val="hybridMultilevel"/>
    <w:lvl w:ilvl="0">
      <w:lvlJc w:val="left"/>
      <w:lvlText w:val="(%1)"/>
      <w:numFmt w:val="lowerRoman"/>
      <w:start w:val="5"/>
    </w:lvl>
  </w:abstractNum>
  <w:abstractNum w:abstractNumId="75">
    <w:nsid w:val="100F59DC"/>
    <w:multiLevelType w:val="hybridMultilevel"/>
    <w:lvl w:ilvl="0">
      <w:lvlJc w:val="left"/>
      <w:lvlText w:val="(%1)"/>
      <w:numFmt w:val="lowerLetter"/>
      <w:start w:val="3"/>
    </w:lvl>
  </w:abstractNum>
  <w:abstractNum w:abstractNumId="76">
    <w:nsid w:val="7FB7E0AA"/>
    <w:multiLevelType w:val="hybridMultilevel"/>
    <w:lvl w:ilvl="0">
      <w:lvlJc w:val="left"/>
      <w:lvlText w:val="(%1)"/>
      <w:numFmt w:val="lowerLetter"/>
      <w:start w:val="1"/>
    </w:lvl>
  </w:abstractNum>
  <w:abstractNum w:abstractNumId="77">
    <w:nsid w:val="6EB5BD4"/>
    <w:multiLevelType w:val="hybridMultilevel"/>
    <w:lvl w:ilvl="0">
      <w:lvlJc w:val="left"/>
      <w:lvlText w:val="(%1)"/>
      <w:numFmt w:val="lowerLetter"/>
      <w:start w:val="3"/>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3"/>
    </w:lvl>
  </w:abstractNum>
  <w:abstractNum w:abstractNumId="80">
    <w:nsid w:val="885E1B"/>
    <w:multiLevelType w:val="hybridMultilevel"/>
    <w:lvl w:ilvl="0">
      <w:lvlJc w:val="left"/>
      <w:lvlText w:val="(%1)"/>
      <w:numFmt w:val="lowerLetter"/>
      <w:start w:val="1"/>
    </w:lvl>
    <w:lvl w:ilvl="1">
      <w:lvlJc w:val="left"/>
      <w:lvlText w:val="*"/>
      <w:numFmt w:val="bullet"/>
      <w:start w:val="1"/>
    </w:lvl>
  </w:abstractNum>
  <w:abstractNum w:abstractNumId="81">
    <w:nsid w:val="76272110"/>
    <w:multiLevelType w:val="hybridMultilevel"/>
    <w:lvl w:ilvl="0">
      <w:lvlJc w:val="left"/>
      <w:lvlText w:val="%1."/>
      <w:numFmt w:val="upperLetter"/>
      <w:start w:val="9"/>
    </w:lvl>
  </w:abstractNum>
  <w:abstractNum w:abstractNumId="82">
    <w:nsid w:val="4C04A8AF"/>
    <w:multiLevelType w:val="hybridMultilevel"/>
    <w:lvl w:ilvl="0">
      <w:lvlJc w:val="left"/>
      <w:lvlText w:val="%1."/>
      <w:numFmt w:val="upperLetter"/>
      <w:start w:val="35"/>
    </w:lvl>
    <w:lvl w:ilvl="1">
      <w:lvlJc w:val="left"/>
      <w:lvlText w:val="(%2)"/>
      <w:numFmt w:val="lowerLetter"/>
      <w:start w:val="1"/>
    </w:lvl>
  </w:abstractNum>
  <w:abstractNum w:abstractNumId="83">
    <w:nsid w:val="1716703B"/>
    <w:multiLevelType w:val="hybridMultilevel"/>
    <w:lvl w:ilvl="0">
      <w:lvlJc w:val="left"/>
      <w:lvlText w:val="%1."/>
      <w:numFmt w:val="upperLetter"/>
      <w:start w:val="61"/>
    </w:lvl>
    <w:lvl w:ilvl="1">
      <w:lvlJc w:val="left"/>
      <w:lvlText w:val="(%2)"/>
      <w:numFmt w:val="lowerLetter"/>
      <w:start w:val="1"/>
    </w:lvl>
  </w:abstractNum>
  <w:abstractNum w:abstractNumId="84">
    <w:nsid w:val="14E17E33"/>
    <w:multiLevelType w:val="hybridMultilevel"/>
    <w:lvl w:ilvl="0">
      <w:lvlJc w:val="left"/>
      <w:lvlText w:val="(%1)"/>
      <w:numFmt w:val="lowerLetter"/>
      <w:start w:val="2"/>
    </w:lvl>
    <w:lvl w:ilvl="1">
      <w:lvlJc w:val="left"/>
      <w:lvlText w:val="%2."/>
      <w:numFmt w:val="lowerRoman"/>
      <w:start w:val="1"/>
    </w:lvl>
  </w:abstractNum>
  <w:abstractNum w:abstractNumId="85">
    <w:nsid w:val="3222E7CD"/>
    <w:multiLevelType w:val="hybridMultilevel"/>
    <w:lvl w:ilvl="0">
      <w:lvlJc w:val="left"/>
      <w:lvlText w:val="%1."/>
      <w:numFmt w:val="lowerRoman"/>
      <w:start w:val="7"/>
    </w:lvl>
  </w:abstractNum>
  <w:abstractNum w:abstractNumId="86">
    <w:nsid w:val="74DE0EE3"/>
    <w:multiLevelType w:val="hybridMultilevel"/>
    <w:lvl w:ilvl="0">
      <w:lvlJc w:val="left"/>
      <w:lvlText w:val="(%1)"/>
      <w:numFmt w:val="lowerLetter"/>
      <w:start w:val="4"/>
    </w:lvl>
  </w:abstractNum>
  <w:abstractNum w:abstractNumId="87">
    <w:nsid w:val="68EBC550"/>
    <w:multiLevelType w:val="hybridMultilevel"/>
    <w:lvl w:ilvl="0">
      <w:lvlJc w:val="left"/>
      <w:lvlText w:val="(%1)"/>
      <w:numFmt w:val="lowerLetter"/>
      <w:start w:val="6"/>
    </w:lvl>
  </w:abstractNum>
  <w:abstractNum w:abstractNumId="88">
    <w:nsid w:val="2DF6D648"/>
    <w:multiLevelType w:val="hybridMultilevel"/>
    <w:lvl w:ilvl="0">
      <w:lvlJc w:val="left"/>
      <w:lvlText w:val="(%1)"/>
      <w:numFmt w:val="lowerLetter"/>
      <w:start w:val="1"/>
    </w:lvl>
  </w:abstractNum>
  <w:abstractNum w:abstractNumId="89">
    <w:nsid w:val="46B7D447"/>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0">
    <w:nsid w:val="4A2AC315"/>
    <w:multiLevelType w:val="hybridMultilevel"/>
    <w:lvl w:ilvl="0">
      <w:lvlJc w:val="left"/>
      <w:lvlText w:val="(%1)"/>
      <w:numFmt w:val="lowerLetter"/>
      <w:start w:val="1"/>
    </w:lvl>
  </w:abstractNum>
  <w:abstractNum w:abstractNumId="91">
    <w:nsid w:val="39EE015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jpe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jpe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9" Type="http://schemas.openxmlformats.org/officeDocument/2006/relationships/hyperlink" Target="https://www.sec.gov/Archives/edgar/data/1812477/000121390023052498/ea180981-f10_bitfarmsltd.htm" TargetMode="External"/><Relationship Id="rId20" Type="http://schemas.openxmlformats.org/officeDocument/2006/relationships/hyperlink" Target="https://www.sec.gov/Archives/edgar/data/1812477/000121390024035021/ea0204332-s8_bitfarm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2024-05-08T05:35:35Z</dcterms:created>
  <dcterms:modified xsi:type="dcterms:W3CDTF">2024-05-08T05:35:35Z</dcterms:modified>
</cp:coreProperties>
</file>