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For the month of May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110 Yonge Street, Suite 1601, Toronto, Ontario, Canada M5C 1T4</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440"/>
        <w:spacing w:after="0" w:line="207" w:lineRule="exact"/>
        <w:tabs>
          <w:tab w:leader="none" w:pos="58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36"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May 7, 2025, the Registrant filed with the Canadian Securities Regulatory Authorities on the System for Electronic Data Analysis and Retrieval + (SEDAR +) a press release, a copy of which is attached hereto as Exhibit 99.1, which is incorporated herein by reference.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Exhibits listed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Exhibit No.</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dated May 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Ben Gagnon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21"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Ben Gagnon</w:t>
      </w:r>
    </w:p>
    <w:p>
      <w:pPr>
        <w:spacing w:after="0" w:line="23" w:lineRule="exact"/>
        <w:rPr>
          <w:sz w:val="20"/>
          <w:szCs w:val="20"/>
          <w:color w:val="auto"/>
        </w:rPr>
      </w:pPr>
    </w:p>
    <w:p>
      <w:pPr>
        <w:ind w:left="7220"/>
        <w:spacing w:after="0"/>
        <w:tabs>
          <w:tab w:leader="none" w:pos="780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2025</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2396490</wp:posOffset>
            </wp:positionH>
            <wp:positionV relativeFrom="paragraph">
              <wp:posOffset>156845</wp:posOffset>
            </wp:positionV>
            <wp:extent cx="2348865" cy="3943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34886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Bitfarms Schedules First Quarter 2025 Conference Call on May 14,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Toronto, Ontario (May 7, 2025) </w:t>
      </w:r>
      <w:r>
        <w:rPr>
          <w:rFonts w:ascii="Times New Roman" w:cs="Times New Roman" w:eastAsia="Times New Roman" w:hAnsi="Times New Roman"/>
          <w:sz w:val="18"/>
          <w:szCs w:val="18"/>
          <w:color w:val="auto"/>
        </w:rPr>
        <w:t>- Bitfarms Ltd. (NASDAQ/TSX: BITF), a global energy and compute infrastructure company, will report its first quarter</w:t>
      </w:r>
    </w:p>
    <w:p>
      <w:pPr>
        <w:ind w:left="20"/>
        <w:spacing w:after="0" w:line="208" w:lineRule="auto"/>
        <w:rPr>
          <w:sz w:val="20"/>
          <w:szCs w:val="20"/>
          <w:color w:val="auto"/>
        </w:rPr>
      </w:pPr>
      <w:r>
        <w:rPr>
          <w:rFonts w:ascii="Times New Roman" w:cs="Times New Roman" w:eastAsia="Times New Roman" w:hAnsi="Times New Roman"/>
          <w:sz w:val="18"/>
          <w:szCs w:val="18"/>
          <w:color w:val="auto"/>
        </w:rPr>
        <w:t>2025 financial results on Wednesday, May 14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before the market opens. Management will host a conference call on the same day at 8:00 am EST. All Q1</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2025 materials will be available before the call and can be accessed on the ‘Financial Results’ section of the Bitfarms investor site.</w:t>
      </w:r>
    </w:p>
    <w:p>
      <w:pPr>
        <w:spacing w:after="0" w:line="205" w:lineRule="exact"/>
        <w:rPr>
          <w:sz w:val="20"/>
          <w:szCs w:val="20"/>
          <w:color w:val="auto"/>
        </w:rPr>
      </w:pPr>
    </w:p>
    <w:p>
      <w:pPr>
        <w:jc w:val="both"/>
        <w:ind w:left="20" w:hanging="8"/>
        <w:spacing w:after="0" w:line="282" w:lineRule="auto"/>
        <w:rPr>
          <w:sz w:val="20"/>
          <w:szCs w:val="20"/>
          <w:color w:val="auto"/>
        </w:rPr>
      </w:pPr>
      <w:r>
        <w:rPr>
          <w:rFonts w:ascii="Times New Roman" w:cs="Times New Roman" w:eastAsia="Times New Roman" w:hAnsi="Times New Roman"/>
          <w:sz w:val="18"/>
          <w:szCs w:val="18"/>
          <w:color w:val="auto"/>
        </w:rPr>
        <w:t>The live webcast and a webcast replay of the conference call can be accessed here. To access the call by telephone, register here to receive dial-in numbers and a unique PIN to join the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-22225</wp:posOffset>
            </wp:positionV>
            <wp:extent cx="7123430" cy="274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23430" cy="27432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9" w:lineRule="exact"/>
        <w:rPr>
          <w:sz w:val="20"/>
          <w:szCs w:val="20"/>
          <w:color w:val="auto"/>
        </w:rPr>
      </w:pPr>
    </w:p>
    <w:p>
      <w:pPr>
        <w:jc w:val="both"/>
        <w:ind w:left="20" w:hanging="9"/>
        <w:spacing w:after="0" w:line="275" w:lineRule="auto"/>
        <w:rPr>
          <w:sz w:val="20"/>
          <w:szCs w:val="20"/>
          <w:color w:val="auto"/>
        </w:rPr>
      </w:pPr>
      <w:r>
        <w:rPr>
          <w:rFonts w:ascii="Times New Roman" w:cs="Times New Roman" w:eastAsia="Times New Roman" w:hAnsi="Times New Roman"/>
          <w:sz w:val="18"/>
          <w:szCs w:val="18"/>
          <w:color w:val="auto"/>
        </w:rPr>
        <w:t>Founded in 2017, Bitfarms is a global energy and compute infrastructure company that develops, owns, and operates vertically integrated HPC and Bitcoin mining data centers. Bitfarms currently has 15 operating Bitcoin data centers situated in four countries: the United States, Canada, Argentina and Paraguay.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-288925</wp:posOffset>
            </wp:positionV>
            <wp:extent cx="7123430" cy="15087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23430" cy="1508760"/>
                    </a:xfrm>
                    <a:prstGeom prst="rect">
                      <a:avLst/>
                    </a:prstGeom>
                    <a:noFill/>
                  </pic:spPr>
                </pic:pic>
              </a:graphicData>
            </a:graphic>
          </wp:anchor>
        </w:drawing>
      </w:r>
    </w:p>
    <w:p>
      <w:pPr>
        <w:spacing w:after="0" w:line="370" w:lineRule="exact"/>
        <w:rPr>
          <w:sz w:val="20"/>
          <w:szCs w:val="20"/>
          <w:color w:val="auto"/>
        </w:rPr>
      </w:pPr>
    </w:p>
    <w:p>
      <w:pPr>
        <w:jc w:val="both"/>
        <w:ind w:left="20" w:hanging="9"/>
        <w:spacing w:after="0" w:line="282" w:lineRule="auto"/>
        <w:rPr>
          <w:sz w:val="20"/>
          <w:szCs w:val="20"/>
          <w:color w:val="auto"/>
        </w:rPr>
      </w:pPr>
      <w:r>
        <w:rPr>
          <w:rFonts w:ascii="Times New Roman" w:cs="Times New Roman" w:eastAsia="Times New Roman" w:hAnsi="Times New Roman"/>
          <w:sz w:val="18"/>
          <w:szCs w:val="18"/>
          <w:color w:val="auto"/>
        </w:rPr>
        <w:t>Powered primarily by environmentally friendly hydro-electric and long-term power contracts, Bitfarms is committed to using sustainable and often underutilized energy infrastructure.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learn more about Bitfarms’ events, developments, and online communities: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learn more about Bitfarms’ events, developments, and online communities: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www.bitfarms.com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https://www.facebook.com/bitfarms/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wp:posOffset>
            </wp:positionV>
            <wp:extent cx="7123430" cy="4114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23430" cy="41148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https://x.com/Bitfarms_io</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https://www.instagram.com/bitfarms/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https://www.linkedin.com/company/bitfarms/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1945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2194560"/>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Tracy Krumme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SVP, Head of IR &amp; Corp. Comms.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+1 786-671-5638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tkrumme@bitfarms.com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Caroline Brady Baker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Communications and Marketing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cbaker@bitfarms.com</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2025-05-07T15:37:02Z</dcterms:created>
  <dcterms:modified xsi:type="dcterms:W3CDTF">2025-05-07T15:37:02Z</dcterms:modified>
</cp:coreProperties>
</file>