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For the month of February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90" w:right="1440"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On February 9, 2023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w:t>
      </w:r>
      <w:hyperlink r:id="rId19">
        <w:r>
          <w:rPr>
            <w:rFonts w:ascii="Arial" w:cs="Arial" w:eastAsia="Arial" w:hAnsi="Arial"/>
            <w:sz w:val="18"/>
            <w:szCs w:val="18"/>
            <w:u w:val="single" w:color="auto"/>
            <w:color w:val="0000EE"/>
          </w:rPr>
          <w:t>Form F-10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333-258788).</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Material Change Report dated February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2" w:name="page3"/>
    <w:bookmarkEnd w:id="2"/>
    <w:p>
      <w:pPr>
        <w:ind w:left="51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2023</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908" w:right="1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February 9, 2023.</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News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attached as Schedule “A” was released on February 9, 2023, by a newswire company in Canada.</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&amp;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February 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Bitfarms Pays Off $21M Debt Obligations for $7.75M in Cash</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Payment unencumbers 6,100 miners -</w:t>
      </w:r>
    </w:p>
    <w:p>
      <w:pPr>
        <w:spacing w:after="0" w:line="21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purposes of the Company’s prospectus supplement dated August 16, 2021, to its short form base shelf prospectus dated August 12, 2021.</w:t>
      </w:r>
    </w:p>
    <w:p>
      <w:pPr>
        <w:spacing w:after="0" w:line="166"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Toronto, Ontario and Brossard, Québec (February 9, 2023) </w:t>
      </w:r>
      <w:r>
        <w:rPr>
          <w:rFonts w:ascii="Arial" w:cs="Arial" w:eastAsia="Arial" w:hAnsi="Arial"/>
          <w:sz w:val="18"/>
          <w:szCs w:val="18"/>
          <w:color w:val="auto"/>
        </w:rPr>
        <w:t>- Bitfarms Ltd. (</w:t>
      </w:r>
      <w:r>
        <w:rPr>
          <w:rFonts w:ascii="Arial" w:cs="Arial" w:eastAsia="Arial" w:hAnsi="Arial"/>
          <w:sz w:val="18"/>
          <w:szCs w:val="18"/>
          <w:u w:val="single" w:color="auto"/>
          <w:color w:val="auto"/>
        </w:rPr>
        <w:t>NASDAQ: BITF // TSX: BITF</w:t>
      </w:r>
      <w:r>
        <w:rPr>
          <w:rFonts w:ascii="Arial" w:cs="Arial" w:eastAsia="Arial" w:hAnsi="Arial"/>
          <w:sz w:val="18"/>
          <w:szCs w:val="18"/>
          <w:color w:val="auto"/>
        </w:rPr>
        <w:t>), a global Bitcoin self-mining company, has</w:t>
      </w:r>
      <w:r>
        <w:rPr>
          <w:rFonts w:ascii="Arial" w:cs="Arial" w:eastAsia="Arial" w:hAnsi="Arial"/>
          <w:sz w:val="18"/>
          <w:szCs w:val="18"/>
          <w:b w:val="1"/>
          <w:bCs w:val="1"/>
          <w:color w:val="auto"/>
        </w:rPr>
        <w:t xml:space="preserve"> </w:t>
      </w:r>
      <w:r>
        <w:rPr>
          <w:rFonts w:ascii="Arial" w:cs="Arial" w:eastAsia="Arial" w:hAnsi="Arial"/>
          <w:sz w:val="18"/>
          <w:szCs w:val="18"/>
          <w:color w:val="auto"/>
        </w:rPr>
        <w:t>modified its loan agreement with BlockFi Lending LLC (Blockfi), to settle all outstanding principal and interest due totaling $21 million for a single cash payment of $7.75 million.</w:t>
      </w:r>
    </w:p>
    <w:p>
      <w:pPr>
        <w:spacing w:after="0" w:line="1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“Combined with the earlier restructuring and elimination of our capital expenditure obligations in December, this successful negotiation and settlement furthers our initiatives to reduce indebtedness, enhance liquidity and increase financial flexibility in line with today’s market conditions,” said Jeff Lucas, CFO of Bitfarms. “Lowering our debt nearly 85% from a high of $165 million in June 2022 to $25 million today has significantly decreased principal and interest obligations, which boosts our cash flow and positions us well for future growth.</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remaining debt, mostly secured by new, high efficiency mining equipment in Quebec, matures on or before February 2024, enabling us to be debt free before the next halving event expected in May 2024,” added Lucas.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BlockFi Loan Facility Repayment</w:t>
      </w:r>
    </w:p>
    <w:p>
      <w:pPr>
        <w:spacing w:after="0" w:line="229" w:lineRule="exact"/>
        <w:rPr>
          <w:sz w:val="20"/>
          <w:szCs w:val="20"/>
          <w:color w:val="auto"/>
        </w:rPr>
      </w:pPr>
    </w:p>
    <w:p>
      <w:pPr>
        <w:ind w:left="20" w:hanging="11"/>
        <w:spacing w:after="0" w:line="257" w:lineRule="auto"/>
        <w:rPr>
          <w:sz w:val="20"/>
          <w:szCs w:val="20"/>
          <w:color w:val="auto"/>
        </w:rPr>
      </w:pPr>
      <w:r>
        <w:rPr>
          <w:rFonts w:ascii="Arial" w:cs="Arial" w:eastAsia="Arial" w:hAnsi="Arial"/>
          <w:sz w:val="18"/>
          <w:szCs w:val="18"/>
          <w:color w:val="auto"/>
        </w:rPr>
        <w:t>On February 18, 2022, Bitfarms’ wholly owned US-based subsidiary, Backbone Mining Solutions, Inc. (“BMS”), entered into a $32 million equipment financing facility with BlockFi. BMS owns and operates Bitfarms’ 20-megawatt active crypto mining facilities in the State of Washington. At January 31, 2023, outstanding principal and accrued interest on the BlockFi equipment loan facility totalled $21 million. On February 8, 2023, BlockFi retired the BMS loan in its entirety and discharged all further obligations for consideration of $7.75 million in cash. Subsequent to the settlement, all of BMS’ assets, including 6,100 miners, are unencumbered.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-8255</wp:posOffset>
            </wp:positionV>
            <wp:extent cx="712343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ind w:left="20" w:right="280" w:hanging="11"/>
        <w:spacing w:after="0" w:line="263" w:lineRule="auto"/>
        <w:rPr>
          <w:sz w:val="20"/>
          <w:szCs w:val="20"/>
          <w:color w:val="auto"/>
        </w:rPr>
      </w:pPr>
      <w:r>
        <w:rPr>
          <w:rFonts w:ascii="Arial" w:cs="Arial" w:eastAsia="Arial" w:hAnsi="Arial"/>
          <w:sz w:val="18"/>
          <w:szCs w:val="18"/>
          <w:color w:val="auto"/>
        </w:rPr>
        <w:t>Founded in 2017, Bitfarms is a global, publicly traded (NASDAQ/TSX: BITF) Bitcoin self-mining company. Bitfarms runs vertically integrated mining operations with in-house management and company-owned electrical engineering, installation service, and onsite technical repair. The Company’s proprietary data analytics system delivers best-in-class operational performance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2743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2743200"/>
                    </a:xfrm>
                    <a:prstGeom prst="rect">
                      <a:avLst/>
                    </a:prstGeom>
                    <a:noFill/>
                  </pic:spPr>
                </pic:pic>
              </a:graphicData>
            </a:graphic>
          </wp:anchor>
        </w:drawing>
      </w:r>
    </w:p>
    <w:p>
      <w:pPr>
        <w:spacing w:after="0" w:line="16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Bitfarms has 10 mining facilities around the world, which are housed in four countries: Canada, the United States, Paraguay, and Argentina. Powered by predominantly environmentally friendly hydro-electric and long-term power contracts, Bitfarms is committed to using renewable, locally based, and often underutilized energy infrastructure.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t>Forward-Looking Statements</w:t>
      </w:r>
    </w:p>
    <w:p>
      <w:pPr>
        <w:sectPr>
          <w:pgSz w:w="11900" w:h="16838" w:orient="portrait"/>
          <w:cols w:equalWidth="0" w:num="1">
            <w:col w:w="11240"/>
          </w:cols>
          <w:pgMar w:left="320" w:top="908" w:right="339" w:bottom="254" w:gutter="0" w:footer="0" w:header="0"/>
        </w:sectPr>
      </w:pPr>
    </w:p>
    <w:p>
      <w:pPr>
        <w:spacing w:after="0" w:line="26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the benefits of reductions in indebtedness and expectations as to further reductions and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88"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w:t>
      </w:r>
      <w:r>
        <w:rPr>
          <w:rFonts w:ascii="Arial" w:cs="Arial" w:eastAsia="Arial" w:hAnsi="Arial"/>
          <w:sz w:val="16"/>
          <w:szCs w:val="16"/>
          <w:i w:val="1"/>
          <w:iCs w:val="1"/>
          <w:color w:val="auto"/>
        </w:rPr>
        <w:t>;</w:t>
      </w:r>
      <w:r>
        <w:rPr>
          <w:rFonts w:ascii="Arial" w:cs="Arial" w:eastAsia="Arial" w:hAnsi="Arial"/>
          <w:sz w:val="16"/>
          <w:szCs w:val="16"/>
          <w:i w:val="1"/>
          <w:iCs w:val="1"/>
          <w:color w:val="auto"/>
          <w:highlight w:val="white"/>
        </w:rPr>
        <w:t xml:space="preserve">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year-ended December 31, 2021, filed on March 28, 2022.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r>
        <w:rPr>
          <w:rFonts w:ascii="Arial" w:cs="Arial" w:eastAsia="Arial" w:hAnsi="Arial"/>
          <w:sz w:val="16"/>
          <w:szCs w:val="16"/>
          <w:color w:val="auto"/>
        </w:rPr>
        <w:t>.</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Actual Agency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 Weaver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+1 339-234-3332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mediarelations@bitfarms.com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 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+1 418-693-2425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lmleclerc@tactconseil.ca</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25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9"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2023-02-09T15:10:47Z</dcterms:created>
  <dcterms:modified xsi:type="dcterms:W3CDTF">2023-02-09T15:10:47Z</dcterms:modified>
</cp:coreProperties>
</file>