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color w:val="auto"/>
        </w:rPr>
        <w:t>FILED BY BITFARMS LTD.</w:t>
      </w:r>
    </w:p>
    <w:p>
      <w:pPr>
        <w:spacing w:after="0" w:line="1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STRONGHOLD DIGITAL MINING,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001-40931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142875</wp:posOffset>
            </wp:positionV>
            <wp:extent cx="2031365"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Enters into a Binding LOI with HIVE Digital Technologies for the Sale of its Yguazu, Paraguay Site</w:t>
      </w:r>
    </w:p>
    <w:p>
      <w:pPr>
        <w:spacing w:after="0" w:line="229"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-Bitfarms to reinvest capital in US growth opportunities-</w:t>
      </w:r>
    </w:p>
    <w:p>
      <w:pPr>
        <w:spacing w:after="0" w:line="27"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-Accretive transaction values the completed site at ~$85 million and significantly reduces anticipated 2025 capital requirements-</w:t>
      </w:r>
    </w:p>
    <w:p>
      <w:pPr>
        <w:spacing w:after="0" w:line="9"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-Rebalances YE 2025 proforma energy portfolio to ~80% North American &amp; 20% international-</w:t>
      </w:r>
    </w:p>
    <w:p>
      <w:pPr>
        <w:spacing w:after="0" w:line="9"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-Reduces expected average power costs by ~10%-</w:t>
      </w:r>
    </w:p>
    <w:p>
      <w:pPr>
        <w:spacing w:after="0" w:line="205" w:lineRule="exact"/>
        <w:rPr>
          <w:sz w:val="24"/>
          <w:szCs w:val="24"/>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Bitfarms’ second amended and restated prospectus supplement dated December 17, 2024, to its short form base shelf prospectus dated November 10, 2023.</w:t>
      </w:r>
    </w:p>
    <w:p>
      <w:pPr>
        <w:spacing w:after="0" w:line="156" w:lineRule="exact"/>
        <w:rPr>
          <w:sz w:val="24"/>
          <w:szCs w:val="24"/>
          <w:color w:val="auto"/>
        </w:rPr>
      </w:pPr>
    </w:p>
    <w:p>
      <w:pPr>
        <w:jc w:val="both"/>
        <w:ind w:hanging="1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Toronto, Ontario (January 28, 2025) </w:t>
      </w:r>
      <w:r>
        <w:rPr>
          <w:rFonts w:ascii="Times New Roman" w:cs="Times New Roman" w:eastAsia="Times New Roman" w:hAnsi="Times New Roman"/>
          <w:sz w:val="18"/>
          <w:szCs w:val="18"/>
          <w:color w:val="auto"/>
        </w:rPr>
        <w:t>- Bitfarms Ltd. (NASDAQ/TSX: BITF), a global vertically integrated Bitcoin data center company,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that it has entered into a binding Letter of Intent (“LOI”) to sell its 200 MW site in Yguazu, Paraguay to HIVE Digital Technologies, Ltd (“HIVE”). The transaction is expected to close in the first quarter of 2025.</w:t>
      </w:r>
    </w:p>
    <w:p>
      <w:pPr>
        <w:spacing w:after="0" w:line="175"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Bitfarms CEO Ben Gagnon stated, “We are pleased to announce the sale of our Yguazu site to HIVE as we continue to streamline our operations and rebalance towards North America. Bitfarms will be reinvesting the capital from this sale towards its 1 GW growth pipeline in the U.S. for BTC and HPC/AI infrastructure which marks a significant milestone in our transition from an international Bitcoin miner to a North American energy and compute infrastructure company.”</w:t>
      </w:r>
    </w:p>
    <w:p>
      <w:pPr>
        <w:spacing w:after="0" w:line="18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remain fully committed to our current operations in Latin America, with three sites totaling 144 MW that all benefit from long-term power contracts, competitive pricing and geographical diversification. This shift towards U.S.-based assets is in-line with our strategy to diversify beyond Bitcoin mining and capitalize on the significant growth opportunities in HPC/AI.”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Terms</w:t>
      </w:r>
    </w:p>
    <w:p>
      <w:pPr>
        <w:spacing w:after="0" w:line="229"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Under the terms of the binding LOI, HIVE will purchase from Bitfarms its 100% ownership stake of its Yguazu, Paraguay Bitcoin mining site. The proposed transaction values the completed site at approximately $85 million, inclusive of approximately $19 million of power deposits with ANDE and the assumption of remaining capital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-424815</wp:posOffset>
            </wp:positionV>
            <wp:extent cx="7123430" cy="8229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82296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to receive:</w:t>
      </w:r>
    </w:p>
    <w:p>
      <w:pPr>
        <w:spacing w:after="0" w:line="22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upon closing of this transaction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million over 6 months following closing</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million as reimbursement for power deposits made to ANDE by Bitfarms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$10 million in remaining capital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-993775</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Benefits</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reduces Bitfarms’ anticipated 2025 capital requirements.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Rebalances portfolio to ~80% North American and 20% International by YE 2025, when coupled with our acquisition of Stronghold Digital Mining, which is expected to close in the next couple of months.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estimated average power costs by ~10%.</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impact miner deployment schedule. Reduces YE 2025 MW capacity from 955 MW to 755 MW.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9"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vertically integrated Bitcoin data center company that contributes its computational power to one or more mining pools from which it receives payment in Bitcoin. Bitfarms develops, owns, and operates vertically integrated mining facilities with in-house management and company-owned electrical engineering, installation service, and multiple onsite technical repair centers. The Company’s proprietary data analytics system delivers best-in-class operational performance and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-559435</wp:posOffset>
            </wp:positionV>
            <wp:extent cx="7123430" cy="15087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150876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as well as hosting agreements with two data centers, in four countries: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Canada, the United States, Paraguay, and Argentina. Powered predominantly by environmentally friendly hydro-electric and long-term power contracts,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Bitfarms is committed to using sustainable and often underutilized energy infrastructure.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23430" cy="548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54864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11480"/>
                    </a:xfrm>
                    <a:prstGeom prst="rect">
                      <a:avLst/>
                    </a:prstGeom>
                    <a:noFill/>
                  </pic:spPr>
                </pic:pic>
              </a:graphicData>
            </a:graphic>
          </wp:anchor>
        </w:drawing>
        <w:t>Glossary of Terms</w:t>
      </w:r>
    </w:p>
    <w:p>
      <w:pPr>
        <w:spacing w:after="0" w:line="22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Y/Y or M/M= year over year or month over month</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HPC/AI = High Performance Computing / Artificial Intelligence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-392430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83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83080"/>
                    </a:xfrm>
                    <a:prstGeom prst="rect">
                      <a:avLst/>
                    </a:prstGeom>
                    <a:noFill/>
                  </pic:spPr>
                </pic:pic>
              </a:graphicData>
            </a:graphic>
          </wp:anchor>
        </w:drawing>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w:t>
      </w:r>
      <w:r>
        <w:rPr>
          <w:rFonts w:ascii="Times New Roman" w:cs="Times New Roman" w:eastAsia="Times New Roman" w:hAnsi="Times New Roman"/>
          <w:sz w:val="18"/>
          <w:szCs w:val="18"/>
          <w:i w:val="1"/>
          <w:iCs w:val="1"/>
          <w:color w:val="auto"/>
          <w:highlight w:val="white"/>
        </w:rPr>
        <w:t xml:space="preserve">securities laws. The statements and information in this release regarding the sale of the Yguazu, Paraguay Site, the merits of the rebalancing operations to North America, the reinvestment of the proceeds of the sale for growth, the North American energy and compute infrastructure strategy, and other </w:t>
      </w:r>
      <w:r>
        <w:rPr>
          <w:rFonts w:ascii="Times New Roman" w:cs="Times New Roman" w:eastAsia="Times New Roman" w:hAnsi="Times New Roman"/>
          <w:sz w:val="18"/>
          <w:szCs w:val="18"/>
          <w:i w:val="1"/>
          <w:iCs w:val="1"/>
          <w:color w:val="auto"/>
        </w:rPr>
        <w:t xml:space="preserve">statements regarding future growth, plans and objectives of the Company are forward-looking information. Any statements that involve discussions with </w:t>
      </w:r>
      <w:r>
        <w:rPr>
          <w:rFonts w:ascii="Times New Roman" w:cs="Times New Roman" w:eastAsia="Times New Roman" w:hAnsi="Times New Roman"/>
          <w:sz w:val="18"/>
          <w:szCs w:val="18"/>
          <w:i w:val="1"/>
          <w:iCs w:val="1"/>
          <w:color w:val="auto"/>
          <w:highlight w:val="white"/>
        </w:rPr>
        <w:t xml:space="preserve">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w:t>
      </w:r>
      <w:r>
        <w:rPr>
          <w:rFonts w:ascii="Times New Roman" w:cs="Times New Roman" w:eastAsia="Times New Roman" w:hAnsi="Times New Roman"/>
          <w:sz w:val="18"/>
          <w:szCs w:val="18"/>
          <w:i w:val="1"/>
          <w:iCs w:val="1"/>
          <w:color w:val="auto"/>
        </w:rPr>
        <w:t xml:space="preserve">“could”, “would”, “might” or “will” be taken to occur or be achieved) are not statements of historical fact and may be forward-looking information and </w:t>
      </w:r>
      <w:r>
        <w:rPr>
          <w:rFonts w:ascii="Times New Roman" w:cs="Times New Roman" w:eastAsia="Times New Roman" w:hAnsi="Times New Roman"/>
          <w:sz w:val="18"/>
          <w:szCs w:val="18"/>
          <w:i w:val="1"/>
          <w:iCs w:val="1"/>
          <w:color w:val="auto"/>
          <w:highlight w:val="white"/>
        </w:rPr>
        <w:t>are intended to identify forward-looking information.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both"/>
        <w:spacing w:after="0" w:line="267"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t xml:space="preserve">This forward-looking information is based on assumptions and estimates of management of the Company at the time they were made, and involves known </w:t>
      </w:r>
      <w:r>
        <w:rPr>
          <w:rFonts w:ascii="Times New Roman" w:cs="Times New Roman" w:eastAsia="Times New Roman" w:hAnsi="Times New Roman"/>
          <w:sz w:val="17"/>
          <w:szCs w:val="17"/>
          <w:i w:val="1"/>
          <w:iCs w:val="1"/>
          <w:color w:val="auto"/>
          <w:highlight w:val="white"/>
        </w:rPr>
        <w:t xml:space="preserve">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an inability to complete the sale of the Yguazu, Paraguay Site on the terms as announced or at all; the reinvestment of the proceeds of the sale may not occur on an economic basis; the anticipated benefits of the rebalancing of operations to North America and the North American energy and compute infrastructure strategy may not be realized; expansion may not materialize as currently anticipated, or at all; the digital currency market; the ability to successfully mine </w:t>
      </w:r>
      <w:r>
        <w:rPr>
          <w:rFonts w:ascii="Times New Roman" w:cs="Times New Roman" w:eastAsia="Times New Roman" w:hAnsi="Times New Roman"/>
          <w:sz w:val="17"/>
          <w:szCs w:val="17"/>
          <w:i w:val="1"/>
          <w:iCs w:val="1"/>
          <w:color w:val="auto"/>
        </w:rPr>
        <w:t>Bitcoin;</w:t>
      </w:r>
      <w:r>
        <w:rPr>
          <w:rFonts w:ascii="Times New Roman" w:cs="Times New Roman" w:eastAsia="Times New Roman" w:hAnsi="Times New Roman"/>
          <w:sz w:val="17"/>
          <w:szCs w:val="17"/>
          <w:i w:val="1"/>
          <w:iCs w:val="1"/>
          <w:color w:val="auto"/>
          <w:highlight w:val="white"/>
        </w:rPr>
        <w:t xml:space="preserve"> revenue may not increase as currently anticipated, or at all; it may not be possible to profitably liquidate the current </w:t>
      </w:r>
      <w:r>
        <w:rPr>
          <w:rFonts w:ascii="Times New Roman" w:cs="Times New Roman" w:eastAsia="Times New Roman" w:hAnsi="Times New Roman"/>
          <w:sz w:val="17"/>
          <w:szCs w:val="17"/>
          <w:i w:val="1"/>
          <w:iCs w:val="1"/>
          <w:color w:val="auto"/>
        </w:rPr>
        <w:t>Bitcoin</w:t>
      </w:r>
      <w:r>
        <w:rPr>
          <w:rFonts w:ascii="Times New Roman" w:cs="Times New Roman" w:eastAsia="Times New Roman" w:hAnsi="Times New Roman"/>
          <w:sz w:val="17"/>
          <w:szCs w:val="17"/>
          <w:i w:val="1"/>
          <w:iCs w:val="1"/>
          <w:color w:val="auto"/>
          <w:highlight w:val="white"/>
        </w:rPr>
        <w:t xml:space="preserve"> inventory, or at all; a decline in </w:t>
      </w:r>
      <w:r>
        <w:rPr>
          <w:rFonts w:ascii="Times New Roman" w:cs="Times New Roman" w:eastAsia="Times New Roman" w:hAnsi="Times New Roman"/>
          <w:sz w:val="17"/>
          <w:szCs w:val="17"/>
          <w:i w:val="1"/>
          <w:iCs w:val="1"/>
          <w:color w:val="auto"/>
        </w:rPr>
        <w:t>Bitcoin</w:t>
      </w:r>
      <w:r>
        <w:rPr>
          <w:rFonts w:ascii="Times New Roman" w:cs="Times New Roman" w:eastAsia="Times New Roman" w:hAnsi="Times New Roman"/>
          <w:sz w:val="17"/>
          <w:szCs w:val="17"/>
          <w:i w:val="1"/>
          <w:iCs w:val="1"/>
          <w:color w:val="auto"/>
          <w:highlight w:val="white"/>
        </w:rPr>
        <w:t xml:space="preserve"> prices may have a significant negative impact on operations; an increase in network difficulty may have a significant negative impact on operations; the volatility of </w:t>
      </w:r>
      <w:r>
        <w:rPr>
          <w:rFonts w:ascii="Times New Roman" w:cs="Times New Roman" w:eastAsia="Times New Roman" w:hAnsi="Times New Roman"/>
          <w:sz w:val="17"/>
          <w:szCs w:val="17"/>
          <w:i w:val="1"/>
          <w:iCs w:val="1"/>
          <w:color w:val="auto"/>
        </w:rPr>
        <w:t>Bitcoin</w:t>
      </w:r>
      <w:r>
        <w:rPr>
          <w:rFonts w:ascii="Times New Roman" w:cs="Times New Roman" w:eastAsia="Times New Roman" w:hAnsi="Times New Roman"/>
          <w:sz w:val="17"/>
          <w:szCs w:val="17"/>
          <w:i w:val="1"/>
          <w:iCs w:val="1"/>
          <w:color w:val="auto"/>
          <w:highlight w:val="white"/>
        </w:rPr>
        <w:t xml:space="preserve"> prices; the anticipated growth and sustainability of hydroelectricity for the purposes of </w:t>
      </w:r>
      <w:r>
        <w:rPr>
          <w:rFonts w:ascii="Times New Roman" w:cs="Times New Roman" w:eastAsia="Times New Roman" w:hAnsi="Times New Roman"/>
          <w:sz w:val="17"/>
          <w:szCs w:val="17"/>
          <w:i w:val="1"/>
          <w:iCs w:val="1"/>
          <w:color w:val="auto"/>
        </w:rPr>
        <w:t>Bitcoin</w:t>
      </w:r>
      <w:r>
        <w:rPr>
          <w:rFonts w:ascii="Times New Roman" w:cs="Times New Roman" w:eastAsia="Times New Roman" w:hAnsi="Times New Roman"/>
          <w:sz w:val="17"/>
          <w:szCs w:val="17"/>
          <w:i w:val="1"/>
          <w:iCs w:val="1"/>
          <w:color w:val="auto"/>
          <w:highlight w:val="white"/>
        </w:rPr>
        <w:t xml:space="preserve"> mining in the applicable jurisdictions; the inability to maintain reliable and economical sources of power for the Company to operate </w:t>
      </w:r>
      <w:r>
        <w:rPr>
          <w:rFonts w:ascii="Times New Roman" w:cs="Times New Roman" w:eastAsia="Times New Roman" w:hAnsi="Times New Roman"/>
          <w:sz w:val="17"/>
          <w:szCs w:val="17"/>
          <w:i w:val="1"/>
          <w:iCs w:val="1"/>
          <w:color w:val="auto"/>
        </w:rPr>
        <w:t>Bitcoin</w:t>
      </w:r>
      <w:r>
        <w:rPr>
          <w:rFonts w:ascii="Times New Roman" w:cs="Times New Roman" w:eastAsia="Times New Roman" w:hAnsi="Times New Roman"/>
          <w:sz w:val="17"/>
          <w:szCs w:val="17"/>
          <w:i w:val="1"/>
          <w:iCs w:val="1"/>
          <w:color w:val="auto"/>
          <w:highlight w:val="white"/>
        </w:rPr>
        <w:t xml:space="preserve">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w:t>
      </w:r>
      <w:r>
        <w:rPr>
          <w:rFonts w:ascii="Times New Roman" w:cs="Times New Roman" w:eastAsia="Times New Roman" w:hAnsi="Times New Roman"/>
          <w:sz w:val="17"/>
          <w:szCs w:val="17"/>
          <w:i w:val="1"/>
          <w:iCs w:val="1"/>
          <w:color w:val="auto"/>
        </w:rPr>
        <w:t>the risk that a material weakness in internal control over financial reporting could result</w:t>
      </w:r>
      <w:r>
        <w:rPr>
          <w:rFonts w:ascii="Times New Roman" w:cs="Times New Roman" w:eastAsia="Times New Roman" w:hAnsi="Times New Roman"/>
          <w:sz w:val="17"/>
          <w:szCs w:val="17"/>
          <w:i w:val="1"/>
          <w:iCs w:val="1"/>
          <w:color w:val="auto"/>
          <w:highlight w:val="white"/>
        </w:rPr>
        <w:t xml:space="preserve"> </w:t>
      </w:r>
      <w:r>
        <w:rPr>
          <w:rFonts w:ascii="Times New Roman" w:cs="Times New Roman" w:eastAsia="Times New Roman" w:hAnsi="Times New Roman"/>
          <w:sz w:val="17"/>
          <w:szCs w:val="17"/>
          <w:i w:val="1"/>
          <w:iCs w:val="1"/>
          <w:color w:val="auto"/>
        </w:rPr>
        <w:t xml:space="preserve">in a misstatement of the Company’s financial position that may lead to a material misstatement of the annual or interim consolidated financial statements if not prevented or detected on a timely basis; </w:t>
      </w:r>
      <w:r>
        <w:rPr>
          <w:rFonts w:ascii="Times New Roman" w:cs="Times New Roman" w:eastAsia="Times New Roman" w:hAnsi="Times New Roman"/>
          <w:sz w:val="17"/>
          <w:szCs w:val="17"/>
          <w:i w:val="1"/>
          <w:iCs w:val="1"/>
          <w:color w:val="auto"/>
          <w:highlight w:val="white"/>
        </w:rPr>
        <w:t>any regulations or laws that will prevent Bitfarms from operating its business; historical prices of Bitcoin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i w:val="1"/>
          <w:iCs w:val="1"/>
          <w:color w:val="auto"/>
          <w:highlight w:val="white"/>
        </w:rPr>
        <w:t xml:space="preserve">the ability to mine </w:t>
      </w:r>
      <w:r>
        <w:rPr>
          <w:rFonts w:ascii="Times New Roman" w:cs="Times New Roman" w:eastAsia="Times New Roman" w:hAnsi="Times New Roman"/>
          <w:sz w:val="17"/>
          <w:szCs w:val="17"/>
          <w:i w:val="1"/>
          <w:iCs w:val="1"/>
          <w:color w:val="auto"/>
        </w:rPr>
        <w:t>Bitcoin</w:t>
      </w:r>
      <w:r>
        <w:rPr>
          <w:rFonts w:ascii="Times New Roman" w:cs="Times New Roman" w:eastAsia="Times New Roman" w:hAnsi="Times New Roman"/>
          <w:sz w:val="17"/>
          <w:szCs w:val="17"/>
          <w:i w:val="1"/>
          <w:iCs w:val="1"/>
          <w:color w:val="auto"/>
          <w:highlight w:val="white"/>
        </w:rPr>
        <w:t xml:space="preserve">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www.sedarplus.ca (which are also available on the website of the U.S. Securities and Exchange Commission at www.sec.gov), including the restated MD&amp;A for the year-ended December 31, 2023, filed on December 9,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 </w:t>
      </w:r>
      <w:r>
        <w:rPr>
          <w:rFonts w:ascii="Times New Roman" w:cs="Times New Roman" w:eastAsia="Times New Roman" w:hAnsi="Times New Roman"/>
          <w:sz w:val="17"/>
          <w:szCs w:val="17"/>
          <w:i w:val="1"/>
          <w:iCs w:val="1"/>
          <w:color w:val="auto"/>
        </w:rPr>
        <w:t>Trading in the securities of the Company should be considered highly speculative.</w:t>
      </w:r>
      <w:r>
        <w:rPr>
          <w:rFonts w:ascii="Times New Roman" w:cs="Times New Roman" w:eastAsia="Times New Roman" w:hAnsi="Times New Roman"/>
          <w:sz w:val="17"/>
          <w:szCs w:val="17"/>
          <w:i w:val="1"/>
          <w:iCs w:val="1"/>
          <w:color w:val="auto"/>
          <w:highlight w:val="white"/>
        </w:rPr>
        <w:t xml:space="preserve"> </w:t>
      </w:r>
      <w:r>
        <w:rPr>
          <w:rFonts w:ascii="Times New Roman" w:cs="Times New Roman" w:eastAsia="Times New Roman" w:hAnsi="Times New Roman"/>
          <w:sz w:val="17"/>
          <w:szCs w:val="17"/>
          <w:i w:val="1"/>
          <w:iCs w:val="1"/>
          <w:color w:val="auto"/>
        </w:rPr>
        <w:t>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057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057400"/>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Brady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cbaker@bitfarms.com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2025-01-29T05:07:19Z</dcterms:created>
  <dcterms:modified xsi:type="dcterms:W3CDTF">2025-01-29T05:07:19Z</dcterms:modified>
</cp:coreProperties>
</file>