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5)*</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Bitfarms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09173B107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Riot Platforms,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3855 Ambrosia Street, Suite 301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Castle Rock, CO 80109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Telephone: (303) 794-2000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Attention to:</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William Jackman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Vice President, General Counsel and Secretary</w:t>
      </w:r>
    </w:p>
    <w:p>
      <w:pPr>
        <w:spacing w:after="0" w:line="220"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13,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ind w:right="38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firstLine="8"/>
        <w:spacing w:after="0" w:line="282" w:lineRule="auto"/>
        <w:tabs>
          <w:tab w:leader="none" w:pos="1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492125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98"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18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w w:val="99"/>
              </w:rPr>
              <w:t>CUSIP No. 09173B107</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17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Page 2 of 5</w:t>
            </w:r>
          </w:p>
        </w:tc>
        <w:tc>
          <w:tcPr>
            <w:tcW w:w="0" w:type="dxa"/>
            <w:vAlign w:val="bottom"/>
          </w:tcPr>
          <w:p>
            <w:pPr>
              <w:spacing w:after="0"/>
              <w:rPr>
                <w:sz w:val="1"/>
                <w:szCs w:val="1"/>
                <w:color w:val="auto"/>
              </w:rPr>
            </w:pPr>
          </w:p>
        </w:tc>
      </w:tr>
      <w:tr>
        <w:trPr>
          <w:trHeight w:val="432"/>
        </w:trPr>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14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SCHEDULE 13D</w:t>
            </w: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80" w:type="dxa"/>
            <w:vAlign w:val="bottom"/>
            <w:tcBorders>
              <w:bottom w:val="single" w:sz="8" w:color="auto"/>
            </w:tcBorders>
            <w:gridSpan w:val="5"/>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Borders>
              <w:right w:val="single" w:sz="8" w:color="auto"/>
            </w:tcBorders>
          </w:tcPr>
          <w:p>
            <w:pPr>
              <w:spacing w:after="0"/>
              <w:rPr>
                <w:sz w:val="19"/>
                <w:szCs w:val="19"/>
                <w:color w:val="auto"/>
              </w:rPr>
            </w:pPr>
          </w:p>
        </w:tc>
        <w:tc>
          <w:tcPr>
            <w:tcW w:w="888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02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0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Riot Platforms, Inc.</w:t>
            </w:r>
          </w:p>
        </w:tc>
        <w:tc>
          <w:tcPr>
            <w:tcW w:w="7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00" w:type="dxa"/>
            <w:vAlign w:val="bottom"/>
            <w:tcBorders>
              <w:left w:val="single" w:sz="8" w:color="auto"/>
            </w:tcBorders>
          </w:tcPr>
          <w:p>
            <w:pPr>
              <w:ind w:left="120"/>
              <w:spacing w:after="0" w:line="156" w:lineRule="exact"/>
              <w:rPr>
                <w:sz w:val="20"/>
                <w:szCs w:val="20"/>
                <w:color w:val="auto"/>
              </w:rPr>
            </w:pPr>
            <w:r>
              <w:rPr>
                <w:rFonts w:ascii="Times New Roman" w:cs="Times New Roman" w:eastAsia="Times New Roman" w:hAnsi="Times New Roman"/>
                <w:sz w:val="18"/>
                <w:szCs w:val="18"/>
                <w:color w:val="auto"/>
              </w:rPr>
              <w:t>2</w:t>
            </w:r>
          </w:p>
        </w:tc>
        <w:tc>
          <w:tcPr>
            <w:tcW w:w="300" w:type="dxa"/>
            <w:vAlign w:val="bottom"/>
            <w:tcBorders>
              <w:right w:val="single" w:sz="8" w:color="auto"/>
            </w:tcBorders>
          </w:tcPr>
          <w:p>
            <w:pPr>
              <w:spacing w:after="0"/>
              <w:rPr>
                <w:sz w:val="13"/>
                <w:szCs w:val="13"/>
                <w:color w:val="auto"/>
              </w:rPr>
            </w:pPr>
          </w:p>
        </w:tc>
        <w:tc>
          <w:tcPr>
            <w:tcW w:w="8880" w:type="dxa"/>
            <w:vAlign w:val="bottom"/>
            <w:gridSpan w:val="5"/>
          </w:tcPr>
          <w:p>
            <w:pPr>
              <w:ind w:left="8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020" w:type="dxa"/>
            <w:vAlign w:val="bottom"/>
          </w:tcPr>
          <w:p>
            <w:pPr>
              <w:ind w:left="720"/>
              <w:spacing w:after="0" w:line="156" w:lineRule="exact"/>
              <w:rPr>
                <w:sz w:val="20"/>
                <w:szCs w:val="20"/>
                <w:color w:val="auto"/>
              </w:rPr>
            </w:pPr>
            <w:r>
              <w:rPr>
                <w:rFonts w:ascii="Times New Roman" w:cs="Times New Roman" w:eastAsia="Times New Roman" w:hAnsi="Times New Roman"/>
                <w:sz w:val="18"/>
                <w:szCs w:val="18"/>
                <w:color w:val="auto"/>
              </w:rPr>
              <w:t>(a)</w:t>
            </w:r>
          </w:p>
        </w:tc>
        <w:tc>
          <w:tcPr>
            <w:tcW w:w="740" w:type="dxa"/>
            <w:vAlign w:val="bottom"/>
            <w:tcBorders>
              <w:right w:val="single" w:sz="8" w:color="auto"/>
            </w:tcBorders>
          </w:tcPr>
          <w:p>
            <w:pPr>
              <w:ind w:left="80"/>
              <w:spacing w:after="0" w:line="156"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0"/>
        </w:trPr>
        <w:tc>
          <w:tcPr>
            <w:tcW w:w="300" w:type="dxa"/>
            <w:vAlign w:val="bottom"/>
            <w:tcBorders>
              <w:left w:val="single" w:sz="8" w:color="auto"/>
              <w:bottom w:val="single" w:sz="8" w:color="auto"/>
            </w:tcBorders>
          </w:tcPr>
          <w:p>
            <w:pPr>
              <w:spacing w:after="0"/>
              <w:rPr>
                <w:sz w:val="23"/>
                <w:szCs w:val="23"/>
                <w:color w:val="auto"/>
              </w:rPr>
            </w:pPr>
          </w:p>
        </w:tc>
        <w:tc>
          <w:tcPr>
            <w:tcW w:w="300" w:type="dxa"/>
            <w:vAlign w:val="bottom"/>
            <w:tcBorders>
              <w:bottom w:val="single" w:sz="8" w:color="auto"/>
              <w:right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7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(b)</w:t>
            </w:r>
          </w:p>
        </w:tc>
        <w:tc>
          <w:tcPr>
            <w:tcW w:w="740" w:type="dxa"/>
            <w:vAlign w:val="bottom"/>
            <w:tcBorders>
              <w:bottom w:val="single" w:sz="8" w:color="auto"/>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8"/>
        </w:trPr>
        <w:tc>
          <w:tcPr>
            <w:tcW w:w="3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Borders>
              <w:right w:val="single" w:sz="8" w:color="auto"/>
            </w:tcBorders>
          </w:tcPr>
          <w:p>
            <w:pPr>
              <w:spacing w:after="0"/>
              <w:rPr>
                <w:sz w:val="19"/>
                <w:szCs w:val="19"/>
                <w:color w:val="auto"/>
              </w:rPr>
            </w:pPr>
          </w:p>
        </w:tc>
        <w:tc>
          <w:tcPr>
            <w:tcW w:w="17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SEC USE ONLY</w:t>
            </w:r>
          </w:p>
        </w:tc>
        <w:tc>
          <w:tcPr>
            <w:tcW w:w="7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0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4"/>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Borders>
              <w:right w:val="single" w:sz="8" w:color="auto"/>
            </w:tcBorders>
          </w:tcPr>
          <w:p>
            <w:pPr>
              <w:spacing w:after="0"/>
              <w:rPr>
                <w:sz w:val="19"/>
                <w:szCs w:val="19"/>
                <w:color w:val="auto"/>
              </w:rPr>
            </w:pPr>
          </w:p>
        </w:tc>
        <w:tc>
          <w:tcPr>
            <w:tcW w:w="17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SOURCE OF FUNDS</w:t>
            </w:r>
          </w:p>
        </w:tc>
        <w:tc>
          <w:tcPr>
            <w:tcW w:w="7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0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WC</w:t>
            </w: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3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Borders>
              <w:right w:val="single" w:sz="8" w:color="auto"/>
            </w:tcBorders>
          </w:tcPr>
          <w:p>
            <w:pPr>
              <w:spacing w:after="0"/>
              <w:rPr>
                <w:sz w:val="24"/>
                <w:szCs w:val="24"/>
                <w:color w:val="auto"/>
              </w:rPr>
            </w:pPr>
          </w:p>
        </w:tc>
        <w:tc>
          <w:tcPr>
            <w:tcW w:w="888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02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0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8880" w:type="dxa"/>
            <w:vAlign w:val="bottom"/>
            <w:tcBorders>
              <w:bottom w:val="single" w:sz="8" w:color="auto"/>
            </w:tcBorders>
            <w:gridSpan w:val="5"/>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Borders>
              <w:right w:val="single" w:sz="8" w:color="auto"/>
            </w:tcBorders>
          </w:tcPr>
          <w:p>
            <w:pPr>
              <w:spacing w:after="0"/>
              <w:rPr>
                <w:sz w:val="19"/>
                <w:szCs w:val="19"/>
                <w:color w:val="auto"/>
              </w:rPr>
            </w:pPr>
          </w:p>
        </w:tc>
        <w:tc>
          <w:tcPr>
            <w:tcW w:w="888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02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0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Nevada</w:t>
            </w: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00" w:type="dxa"/>
            <w:vAlign w:val="bottom"/>
            <w:tcBorders>
              <w:lef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19"/>
                <w:szCs w:val="19"/>
                <w:color w:val="auto"/>
              </w:rPr>
            </w:pPr>
          </w:p>
        </w:tc>
        <w:tc>
          <w:tcPr>
            <w:tcW w:w="7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102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00" w:type="dxa"/>
            <w:vAlign w:val="bottom"/>
            <w:tcBorders>
              <w:left w:val="single" w:sz="8" w:color="auto"/>
            </w:tcBorders>
          </w:tcPr>
          <w:p>
            <w:pPr>
              <w:spacing w:after="0"/>
              <w:rPr>
                <w:sz w:val="24"/>
                <w:szCs w:val="24"/>
                <w:color w:val="auto"/>
              </w:rPr>
            </w:pPr>
          </w:p>
        </w:tc>
        <w:tc>
          <w:tcPr>
            <w:tcW w:w="1420" w:type="dxa"/>
            <w:vAlign w:val="bottom"/>
            <w:tcBorders>
              <w:right w:val="single" w:sz="8" w:color="auto"/>
            </w:tcBorders>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9"/>
              </w:rPr>
              <w:t>NUMBER OF</w:t>
            </w: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57,627,036</w:t>
            </w:r>
          </w:p>
        </w:tc>
        <w:tc>
          <w:tcPr>
            <w:tcW w:w="102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00" w:type="dxa"/>
            <w:vAlign w:val="bottom"/>
            <w:tcBorders>
              <w:left w:val="single" w:sz="8" w:color="auto"/>
            </w:tcBorders>
          </w:tcPr>
          <w:p>
            <w:pPr>
              <w:spacing w:after="0"/>
              <w:rPr>
                <w:sz w:val="16"/>
                <w:szCs w:val="16"/>
                <w:color w:val="auto"/>
              </w:rPr>
            </w:pPr>
          </w:p>
        </w:tc>
        <w:tc>
          <w:tcPr>
            <w:tcW w:w="1420" w:type="dxa"/>
            <w:vAlign w:val="bottom"/>
            <w:tcBorders>
              <w:right w:val="single" w:sz="8" w:color="auto"/>
            </w:tcBorders>
            <w:gridSpan w:val="2"/>
          </w:tcPr>
          <w:p>
            <w:pPr>
              <w:jc w:val="center"/>
              <w:ind w:right="250"/>
              <w:spacing w:after="0" w:line="191" w:lineRule="exact"/>
              <w:rPr>
                <w:sz w:val="20"/>
                <w:szCs w:val="20"/>
                <w:color w:val="auto"/>
              </w:rPr>
            </w:pPr>
            <w:r>
              <w:rPr>
                <w:rFonts w:ascii="Times New Roman" w:cs="Times New Roman" w:eastAsia="Times New Roman" w:hAnsi="Times New Roman"/>
                <w:sz w:val="18"/>
                <w:szCs w:val="18"/>
                <w:color w:val="auto"/>
                <w:w w:val="98"/>
              </w:rPr>
              <w:t>SHARES</w:t>
            </w:r>
          </w:p>
        </w:tc>
        <w:tc>
          <w:tcPr>
            <w:tcW w:w="100" w:type="dxa"/>
            <w:vAlign w:val="bottom"/>
          </w:tcPr>
          <w:p>
            <w:pPr>
              <w:spacing w:after="0"/>
              <w:rPr>
                <w:sz w:val="16"/>
                <w:szCs w:val="16"/>
                <w:color w:val="auto"/>
              </w:rPr>
            </w:pPr>
          </w:p>
        </w:tc>
        <w:tc>
          <w:tcPr>
            <w:tcW w:w="4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6"/>
                <w:szCs w:val="16"/>
                <w:color w:val="auto"/>
              </w:rPr>
            </w:pPr>
          </w:p>
        </w:tc>
        <w:tc>
          <w:tcPr>
            <w:tcW w:w="714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02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 w:type="dxa"/>
            <w:vAlign w:val="bottom"/>
            <w:tcBorders>
              <w:left w:val="single" w:sz="8" w:color="auto"/>
            </w:tcBorders>
          </w:tcPr>
          <w:p>
            <w:pPr>
              <w:spacing w:after="0"/>
              <w:rPr>
                <w:sz w:val="20"/>
                <w:szCs w:val="20"/>
                <w:color w:val="auto"/>
              </w:rPr>
            </w:pPr>
          </w:p>
        </w:tc>
        <w:tc>
          <w:tcPr>
            <w:tcW w:w="1420" w:type="dxa"/>
            <w:vAlign w:val="bottom"/>
            <w:tcBorders>
              <w:right w:val="single" w:sz="8" w:color="auto"/>
            </w:tcBorders>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9"/>
              </w:rPr>
              <w:t>OWNED BY</w:t>
            </w: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02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00" w:type="dxa"/>
            <w:vAlign w:val="bottom"/>
            <w:tcBorders>
              <w:lef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Borders>
              <w:right w:val="single" w:sz="8" w:color="auto"/>
            </w:tcBorders>
          </w:tcPr>
          <w:p>
            <w:pPr>
              <w:jc w:val="center"/>
              <w:ind w:right="55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100" w:type="dxa"/>
            <w:vAlign w:val="bottom"/>
          </w:tcPr>
          <w:p>
            <w:pPr>
              <w:spacing w:after="0"/>
              <w:rPr>
                <w:sz w:val="15"/>
                <w:szCs w:val="15"/>
                <w:color w:val="auto"/>
              </w:rPr>
            </w:pPr>
          </w:p>
        </w:tc>
        <w:tc>
          <w:tcPr>
            <w:tcW w:w="460" w:type="dxa"/>
            <w:vAlign w:val="bottom"/>
            <w:tcBorders>
              <w:right w:val="single" w:sz="8" w:color="auto"/>
            </w:tcBorders>
          </w:tcPr>
          <w:p>
            <w:pPr>
              <w:spacing w:after="0" w:line="177" w:lineRule="exact"/>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15"/>
                <w:szCs w:val="15"/>
                <w:color w:val="auto"/>
              </w:rPr>
            </w:pPr>
          </w:p>
        </w:tc>
        <w:tc>
          <w:tcPr>
            <w:tcW w:w="7140" w:type="dxa"/>
            <w:vAlign w:val="bottom"/>
          </w:tcPr>
          <w:p>
            <w:pPr>
              <w:ind w:left="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1020" w:type="dxa"/>
            <w:vAlign w:val="bottom"/>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1420" w:type="dxa"/>
            <w:vAlign w:val="bottom"/>
            <w:tcBorders>
              <w:right w:val="single" w:sz="8" w:color="auto"/>
            </w:tcBorders>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8"/>
              </w:rPr>
              <w:t>REPORTING</w:t>
            </w:r>
          </w:p>
        </w:tc>
        <w:tc>
          <w:tcPr>
            <w:tcW w:w="1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142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rPr>
              <w:t>PERSON</w:t>
            </w:r>
          </w:p>
        </w:tc>
        <w:tc>
          <w:tcPr>
            <w:tcW w:w="1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57,627,036</w:t>
            </w:r>
          </w:p>
        </w:tc>
        <w:tc>
          <w:tcPr>
            <w:tcW w:w="102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300" w:type="dxa"/>
            <w:vAlign w:val="bottom"/>
            <w:tcBorders>
              <w:lef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Borders>
              <w:right w:val="single" w:sz="8" w:color="auto"/>
            </w:tcBorders>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w w:val="97"/>
              </w:rPr>
              <w:t>WITH</w:t>
            </w: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00" w:type="dxa"/>
            <w:vAlign w:val="bottom"/>
            <w:tcBorders>
              <w:lef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Borders>
              <w:right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9"/>
                <w:szCs w:val="19"/>
                <w:color w:val="auto"/>
              </w:rPr>
            </w:pPr>
          </w:p>
        </w:tc>
        <w:tc>
          <w:tcPr>
            <w:tcW w:w="7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2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0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02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88"/>
              </w:rPr>
              <w:t>11</w:t>
            </w:r>
          </w:p>
        </w:tc>
        <w:tc>
          <w:tcPr>
            <w:tcW w:w="300" w:type="dxa"/>
            <w:vAlign w:val="bottom"/>
            <w:tcBorders>
              <w:right w:val="single" w:sz="8" w:color="auto"/>
            </w:tcBorders>
          </w:tcPr>
          <w:p>
            <w:pPr>
              <w:spacing w:after="0"/>
              <w:rPr>
                <w:sz w:val="19"/>
                <w:szCs w:val="19"/>
                <w:color w:val="auto"/>
              </w:rPr>
            </w:pPr>
          </w:p>
        </w:tc>
        <w:tc>
          <w:tcPr>
            <w:tcW w:w="888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02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0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57,627,036</w:t>
            </w: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88"/>
              </w:rPr>
              <w:t>12</w:t>
            </w:r>
          </w:p>
        </w:tc>
        <w:tc>
          <w:tcPr>
            <w:tcW w:w="300" w:type="dxa"/>
            <w:vAlign w:val="bottom"/>
            <w:tcBorders>
              <w:bottom w:val="single" w:sz="8" w:color="auto"/>
              <w:right w:val="single" w:sz="8" w:color="auto"/>
            </w:tcBorders>
          </w:tcPr>
          <w:p>
            <w:pPr>
              <w:spacing w:after="0"/>
              <w:rPr>
                <w:sz w:val="18"/>
                <w:szCs w:val="18"/>
                <w:color w:val="auto"/>
              </w:rPr>
            </w:pPr>
          </w:p>
        </w:tc>
        <w:tc>
          <w:tcPr>
            <w:tcW w:w="888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020" w:type="dxa"/>
            <w:vAlign w:val="bottom"/>
            <w:tcBorders>
              <w:bottom w:val="single" w:sz="8" w:color="auto"/>
            </w:tcBorders>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88"/>
              </w:rPr>
              <w:t>13</w:t>
            </w:r>
          </w:p>
        </w:tc>
        <w:tc>
          <w:tcPr>
            <w:tcW w:w="300" w:type="dxa"/>
            <w:vAlign w:val="bottom"/>
            <w:tcBorders>
              <w:right w:val="single" w:sz="8" w:color="auto"/>
            </w:tcBorders>
          </w:tcPr>
          <w:p>
            <w:pPr>
              <w:spacing w:after="0"/>
              <w:rPr>
                <w:sz w:val="19"/>
                <w:szCs w:val="19"/>
                <w:color w:val="auto"/>
              </w:rPr>
            </w:pPr>
          </w:p>
        </w:tc>
        <w:tc>
          <w:tcPr>
            <w:tcW w:w="888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02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0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88"/>
              </w:rPr>
              <w:t>14</w:t>
            </w:r>
          </w:p>
        </w:tc>
        <w:tc>
          <w:tcPr>
            <w:tcW w:w="300" w:type="dxa"/>
            <w:vAlign w:val="bottom"/>
            <w:tcBorders>
              <w:right w:val="single" w:sz="8" w:color="auto"/>
            </w:tcBorders>
          </w:tcPr>
          <w:p>
            <w:pPr>
              <w:spacing w:after="0"/>
              <w:rPr>
                <w:sz w:val="19"/>
                <w:szCs w:val="19"/>
                <w:color w:val="auto"/>
              </w:rPr>
            </w:pPr>
          </w:p>
        </w:tc>
        <w:tc>
          <w:tcPr>
            <w:tcW w:w="888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02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0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CO</w:t>
            </w: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68"/>
        </w:trPr>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ind w:left="100"/>
        <w:spacing w:after="0"/>
        <w:tabs>
          <w:tab w:leader="none" w:pos="9760" w:val="left"/>
        </w:tabs>
        <w:rPr>
          <w:sz w:val="20"/>
          <w:szCs w:val="20"/>
          <w:color w:val="auto"/>
        </w:rPr>
      </w:pPr>
      <w:r>
        <w:rPr>
          <w:rFonts w:ascii="Times New Roman" w:cs="Times New Roman" w:eastAsia="Times New Roman" w:hAnsi="Times New Roman"/>
          <w:sz w:val="18"/>
          <w:szCs w:val="18"/>
          <w:color w:val="auto"/>
        </w:rPr>
        <w:t>CUSIP No. 09173B107</w:t>
      </w:r>
      <w:r>
        <w:rPr>
          <w:sz w:val="20"/>
          <w:szCs w:val="20"/>
          <w:color w:val="auto"/>
        </w:rPr>
        <w:tab/>
      </w:r>
      <w:r>
        <w:rPr>
          <w:rFonts w:ascii="Times New Roman" w:cs="Times New Roman" w:eastAsia="Times New Roman" w:hAnsi="Times New Roman"/>
          <w:sz w:val="18"/>
          <w:szCs w:val="18"/>
          <w:color w:val="auto"/>
        </w:rPr>
        <w:t>Page 3 of 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Amendment No. 5 to Schedule 13D (“</w:t>
      </w:r>
      <w:r>
        <w:rPr>
          <w:rFonts w:ascii="Times New Roman" w:cs="Times New Roman" w:eastAsia="Times New Roman" w:hAnsi="Times New Roman"/>
          <w:sz w:val="18"/>
          <w:szCs w:val="18"/>
          <w:u w:val="single" w:color="auto"/>
          <w:color w:val="auto"/>
        </w:rPr>
        <w:t>Amendment No. 5</w:t>
      </w:r>
      <w:r>
        <w:rPr>
          <w:rFonts w:ascii="Times New Roman" w:cs="Times New Roman" w:eastAsia="Times New Roman" w:hAnsi="Times New Roman"/>
          <w:sz w:val="18"/>
          <w:szCs w:val="18"/>
          <w:color w:val="auto"/>
        </w:rPr>
        <w:t>”) relates to the Schedule 13D filed on May 28, 2024 (as amended by Amendment No. 1, dated May 29, 2024, Amendment No. 2, dated June 4, 2024, Amendment No. 3 dated June 5, 2024 and Amendment No. 4 dated June 12, 2024, the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by Riot Platforms, Inc., a Nevada corporation (the “</w:t>
      </w:r>
      <w:r>
        <w:rPr>
          <w:rFonts w:ascii="Times New Roman" w:cs="Times New Roman" w:eastAsia="Times New Roman" w:hAnsi="Times New Roman"/>
          <w:sz w:val="18"/>
          <w:szCs w:val="18"/>
          <w:u w:val="single" w:color="auto"/>
          <w:color w:val="auto"/>
        </w:rPr>
        <w:t>Reporting Person</w:t>
      </w:r>
      <w:r>
        <w:rPr>
          <w:rFonts w:ascii="Times New Roman" w:cs="Times New Roman" w:eastAsia="Times New Roman" w:hAnsi="Times New Roman"/>
          <w:sz w:val="18"/>
          <w:szCs w:val="18"/>
          <w:color w:val="auto"/>
        </w:rPr>
        <w:t>”), relating to the Common Shares, no par value per share (the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of Bitfarms Ltd., a corporation incorporated under the Canada Business Corporations Act and continued under the Business Corporations Act (Ontario), whose principal executive offices are located at 110 Yonge Street, Suite 1601, Toronto, Ontario, M5C 1T4.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specifically amended by this Amendment No. 5, the Schedule 13D is unchanged.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of the Schedule 13D is hereby amended and restated to read in full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disclosed under Item 4 of the Schedule 13D (as amended by Amendment No. 5) is hereby incorporated by reference into this Item 3.</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purchase price of the Common Shares held by the Reporting Person reported herein was US$120,779,490. The Common Shares beneficially owned by the Reporting Person were purchased using funds out of its working capital.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of the Schedule 13D is hereby amended and supplemented by adding the following information: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June 13, 2024, the Reporting Person issued a press release announcing that the Reporting Person had increased its beneficial ownership of the Common Shares to 14.0%. The foregoing summary of the press release is not intended to be complete and is qualified in its entirety by reference to the full text of the press release, which is filed as </w:t>
      </w:r>
      <w:r>
        <w:rPr>
          <w:rFonts w:ascii="Times New Roman" w:cs="Times New Roman" w:eastAsia="Times New Roman" w:hAnsi="Times New Roman"/>
          <w:sz w:val="18"/>
          <w:szCs w:val="18"/>
          <w:u w:val="single" w:color="auto"/>
          <w:color w:val="auto"/>
        </w:rPr>
        <w:t>Exhibit 1</w:t>
      </w:r>
      <w:r>
        <w:rPr>
          <w:rFonts w:ascii="Times New Roman" w:cs="Times New Roman" w:eastAsia="Times New Roman" w:hAnsi="Times New Roman"/>
          <w:sz w:val="18"/>
          <w:szCs w:val="18"/>
          <w:color w:val="auto"/>
        </w:rPr>
        <w:t xml:space="preserve"> hereto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of the Schedule 13D is hereby amended and supplemented by adding the following information:</w:t>
      </w:r>
    </w:p>
    <w:p>
      <w:pPr>
        <w:spacing w:after="0" w:line="225" w:lineRule="exact"/>
        <w:rPr>
          <w:sz w:val="20"/>
          <w:szCs w:val="20"/>
          <w:color w:val="auto"/>
        </w:rPr>
      </w:pPr>
    </w:p>
    <w:p>
      <w:pPr>
        <w:ind w:firstLine="8"/>
        <w:spacing w:after="0" w:line="282" w:lineRule="auto"/>
        <w:tabs>
          <w:tab w:leader="none" w:pos="25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information concerning the Common Shares purchased by (or on behalf of) the Reporting Person during the 60-day period prior to this filing is added: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Weighted Average Price</w:t>
            </w:r>
          </w:p>
        </w:tc>
        <w:tc>
          <w:tcPr>
            <w:tcW w:w="2680" w:type="dxa"/>
            <w:vAlign w:val="bottom"/>
          </w:tcPr>
          <w:p>
            <w:pPr>
              <w:spacing w:after="0"/>
              <w:rPr>
                <w:sz w:val="18"/>
                <w:szCs w:val="18"/>
                <w:color w:val="auto"/>
              </w:rPr>
            </w:pPr>
          </w:p>
        </w:tc>
      </w:tr>
      <w:tr>
        <w:trPr>
          <w:trHeight w:val="238"/>
        </w:trPr>
        <w:tc>
          <w:tcPr>
            <w:tcW w:w="2940" w:type="dxa"/>
            <w:vAlign w:val="bottom"/>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Trade Date</w:t>
            </w:r>
          </w:p>
        </w:tc>
        <w:tc>
          <w:tcPr>
            <w:tcW w:w="2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2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per Share (US$)</w:t>
            </w:r>
          </w:p>
        </w:tc>
        <w:tc>
          <w:tcPr>
            <w:tcW w:w="268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Price Range (US$)</w:t>
            </w:r>
          </w:p>
        </w:tc>
      </w:tr>
      <w:tr>
        <w:trPr>
          <w:trHeight w:val="210"/>
        </w:trPr>
        <w:tc>
          <w:tcPr>
            <w:tcW w:w="270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06/12/2024</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2,401,533</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2.42</w:t>
            </w:r>
          </w:p>
        </w:tc>
        <w:tc>
          <w:tcPr>
            <w:tcW w:w="2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2.32 – 2.49</w:t>
            </w:r>
          </w:p>
        </w:tc>
      </w:tr>
      <w:tr>
        <w:trPr>
          <w:trHeight w:val="234"/>
        </w:trPr>
        <w:tc>
          <w:tcPr>
            <w:tcW w:w="27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06/13/2024</w:t>
            </w:r>
          </w:p>
        </w:tc>
        <w:tc>
          <w:tcPr>
            <w:tcW w:w="24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1,432,063</w:t>
            </w:r>
          </w:p>
        </w:tc>
        <w:tc>
          <w:tcPr>
            <w:tcW w:w="24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2.70</w:t>
            </w:r>
          </w:p>
        </w:tc>
        <w:tc>
          <w:tcPr>
            <w:tcW w:w="2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2.55 – 2.75</w:t>
            </w:r>
          </w:p>
        </w:tc>
      </w:tr>
      <w:tr>
        <w:trPr>
          <w:trHeight w:val="657"/>
        </w:trPr>
        <w:tc>
          <w:tcPr>
            <w:tcW w:w="2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ind w:left="100"/>
        <w:spacing w:after="0"/>
        <w:tabs>
          <w:tab w:leader="none" w:pos="9760" w:val="left"/>
        </w:tabs>
        <w:rPr>
          <w:sz w:val="20"/>
          <w:szCs w:val="20"/>
          <w:color w:val="auto"/>
        </w:rPr>
      </w:pPr>
      <w:r>
        <w:rPr>
          <w:rFonts w:ascii="Times New Roman" w:cs="Times New Roman" w:eastAsia="Times New Roman" w:hAnsi="Times New Roman"/>
          <w:sz w:val="18"/>
          <w:szCs w:val="18"/>
          <w:color w:val="auto"/>
        </w:rPr>
        <w:t>CUSIP No. 09173B107</w:t>
      </w:r>
      <w:r>
        <w:rPr>
          <w:sz w:val="20"/>
          <w:szCs w:val="20"/>
          <w:color w:val="auto"/>
        </w:rPr>
        <w:tab/>
      </w:r>
      <w:r>
        <w:rPr>
          <w:rFonts w:ascii="Times New Roman" w:cs="Times New Roman" w:eastAsia="Times New Roman" w:hAnsi="Times New Roman"/>
          <w:sz w:val="18"/>
          <w:szCs w:val="18"/>
          <w:color w:val="auto"/>
        </w:rPr>
        <w:t>Page 4 of 5</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SCHEDULE 13D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1: Press Release of the Reporting Person, dated June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904" w:right="979" w:bottom="1440" w:gutter="0" w:footer="0" w:header="0"/>
        </w:sectPr>
      </w:pPr>
    </w:p>
    <w:bookmarkStart w:id="4" w:name="page5"/>
    <w:bookmarkEnd w:id="4"/>
    <w:p>
      <w:pPr>
        <w:ind w:left="100"/>
        <w:spacing w:after="0"/>
        <w:tabs>
          <w:tab w:leader="none" w:pos="9760" w:val="left"/>
        </w:tabs>
        <w:rPr>
          <w:sz w:val="20"/>
          <w:szCs w:val="20"/>
          <w:color w:val="auto"/>
        </w:rPr>
      </w:pPr>
      <w:r>
        <w:rPr>
          <w:rFonts w:ascii="Times New Roman" w:cs="Times New Roman" w:eastAsia="Times New Roman" w:hAnsi="Times New Roman"/>
          <w:sz w:val="18"/>
          <w:szCs w:val="18"/>
          <w:color w:val="auto"/>
        </w:rPr>
        <w:t>CUSIP No. 09173B107</w:t>
      </w:r>
      <w:r>
        <w:rPr>
          <w:sz w:val="20"/>
          <w:szCs w:val="20"/>
          <w:color w:val="auto"/>
        </w:rPr>
        <w:tab/>
      </w:r>
      <w:r>
        <w:rPr>
          <w:rFonts w:ascii="Times New Roman" w:cs="Times New Roman" w:eastAsia="Times New Roman" w:hAnsi="Times New Roman"/>
          <w:sz w:val="18"/>
          <w:szCs w:val="18"/>
          <w:color w:val="auto"/>
        </w:rPr>
        <w:t>Page 5 of 5</w:t>
      </w:r>
    </w:p>
    <w:p>
      <w:pPr>
        <w:spacing w:after="0" w:line="22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SCHEDULE 13D</w:t>
      </w:r>
    </w:p>
    <w:p>
      <w:pPr>
        <w:spacing w:after="0" w:line="22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13,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Riot Platforms,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Colin 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Colin Yee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60"/>
          </w:cols>
          <w:pgMar w:left="320" w:top="904" w:right="619" w:bottom="1440" w:gutter="0" w:footer="0" w:header="0"/>
        </w:sectPr>
      </w:pPr>
    </w:p>
    <w:bookmarkStart w:id="5" w:name="page6"/>
    <w:bookmarkEnd w:id="5"/>
    <w:p>
      <w:pPr>
        <w:ind w:left="10340"/>
        <w:spacing w:after="0"/>
        <w:rPr>
          <w:sz w:val="20"/>
          <w:szCs w:val="20"/>
          <w:color w:val="auto"/>
        </w:rPr>
      </w:pPr>
      <w:r>
        <w:rPr>
          <w:rFonts w:ascii="Times New Roman" w:cs="Times New Roman" w:eastAsia="Times New Roman" w:hAnsi="Times New Roman"/>
          <w:sz w:val="22"/>
          <w:szCs w:val="22"/>
          <w:b w:val="1"/>
          <w:bCs w:val="1"/>
          <w:color w:val="auto"/>
        </w:rPr>
        <w:t>Exhibit 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RIOT PLATFORMS,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REPORTS BENEFICIAL OWNERSHIP OF 14% IN BITFARMS LTD.</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CASTLE ROCK, CO, June 13, 2024 </w:t>
      </w:r>
      <w:r>
        <w:rPr>
          <w:rFonts w:ascii="Times New Roman" w:cs="Times New Roman" w:eastAsia="Times New Roman" w:hAnsi="Times New Roman"/>
          <w:sz w:val="18"/>
          <w:szCs w:val="18"/>
          <w:color w:val="auto"/>
        </w:rPr>
        <w:t>– Riot Platforms, Inc. (“</w:t>
      </w:r>
      <w:r>
        <w:rPr>
          <w:rFonts w:ascii="Times New Roman" w:cs="Times New Roman" w:eastAsia="Times New Roman" w:hAnsi="Times New Roman"/>
          <w:sz w:val="18"/>
          <w:szCs w:val="18"/>
          <w:b w:val="1"/>
          <w:bCs w:val="1"/>
          <w:color w:val="auto"/>
        </w:rPr>
        <w:t>Riot</w:t>
      </w:r>
      <w:r>
        <w:rPr>
          <w:rFonts w:ascii="Times New Roman" w:cs="Times New Roman" w:eastAsia="Times New Roman" w:hAnsi="Times New Roman"/>
          <w:sz w:val="18"/>
          <w:szCs w:val="18"/>
          <w:color w:val="auto"/>
        </w:rPr>
        <w:t>”) issues this press release pursuant to Part 3 of Canadian National Instrument 62-103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The Early Warning System and Related Take-Over Bid and Insider Reporting Issues </w:t>
      </w:r>
      <w:r>
        <w:rPr>
          <w:rFonts w:ascii="Times New Roman" w:cs="Times New Roman" w:eastAsia="Times New Roman" w:hAnsi="Times New Roman"/>
          <w:sz w:val="18"/>
          <w:szCs w:val="18"/>
          <w:color w:val="auto"/>
        </w:rPr>
        <w:t>and Part 5 of Canadian National Instrument 62-104 –</w:t>
      </w:r>
      <w:r>
        <w:rPr>
          <w:rFonts w:ascii="Times New Roman" w:cs="Times New Roman" w:eastAsia="Times New Roman" w:hAnsi="Times New Roman"/>
          <w:sz w:val="18"/>
          <w:szCs w:val="18"/>
          <w:i w:val="1"/>
          <w:iCs w:val="1"/>
          <w:color w:val="auto"/>
        </w:rPr>
        <w:t xml:space="preserve"> Take-Over Bids and Issuer Bids </w:t>
      </w:r>
      <w:r>
        <w:rPr>
          <w:rFonts w:ascii="Times New Roman" w:cs="Times New Roman" w:eastAsia="Times New Roman" w:hAnsi="Times New Roman"/>
          <w:sz w:val="18"/>
          <w:szCs w:val="18"/>
          <w:color w:val="auto"/>
        </w:rPr>
        <w:t>in respect of Bitfarms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Riot announces that on June 13, 2024 it acquired ownership of 1,432,063 common shares (the “</w:t>
      </w:r>
      <w:r>
        <w:rPr>
          <w:rFonts w:ascii="Times New Roman" w:cs="Times New Roman" w:eastAsia="Times New Roman" w:hAnsi="Times New Roman"/>
          <w:sz w:val="18"/>
          <w:szCs w:val="18"/>
          <w:b w:val="1"/>
          <w:bCs w:val="1"/>
          <w:color w:val="auto"/>
        </w:rPr>
        <w:t>Purchased Shares</w:t>
      </w:r>
      <w:r>
        <w:rPr>
          <w:rFonts w:ascii="Times New Roman" w:cs="Times New Roman" w:eastAsia="Times New Roman" w:hAnsi="Times New Roman"/>
          <w:sz w:val="18"/>
          <w:szCs w:val="18"/>
          <w:color w:val="auto"/>
        </w:rPr>
        <w:t>”) of the Company representing approximately 0.35% of the issued and outstanding Common Shares (the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of the Company (as calculated based on the information most recently provided by the Company in its material change report dated June 10, 2024).</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Purchased Shares were acquired through normal course purchases on the Nasdaq Stock Market and other open market trades for a weighted average price of approximately US$2.70 per Purchased Share (equivalent to approximately C$3.72 per Purchased Share based on the daily exchange rate posted by the Bank of Canada on June 13, 2024 (the “</w:t>
      </w:r>
      <w:r>
        <w:rPr>
          <w:rFonts w:ascii="Times New Roman" w:cs="Times New Roman" w:eastAsia="Times New Roman" w:hAnsi="Times New Roman"/>
          <w:sz w:val="18"/>
          <w:szCs w:val="18"/>
          <w:b w:val="1"/>
          <w:bCs w:val="1"/>
          <w:color w:val="auto"/>
        </w:rPr>
        <w:t>Exchange Rate</w:t>
      </w:r>
      <w:r>
        <w:rPr>
          <w:rFonts w:ascii="Times New Roman" w:cs="Times New Roman" w:eastAsia="Times New Roman" w:hAnsi="Times New Roman"/>
          <w:sz w:val="18"/>
          <w:szCs w:val="18"/>
          <w:color w:val="auto"/>
        </w:rPr>
        <w:t>”)) at a price range per Purchased Share of approximately US$2.55 to US$2.75 (equivalent to approximately C$3.50 to C$3.78 based on the Exchange Rate) for an aggregate amount equal to US$3,870,293.46 (equivalent to approximately C$5,320,105.40 based on the Exchange Rate).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Immediately prior to the acquisition of Common Shares giving rise to the issuance of this press release, Riot beneficially owned 56,194,973 Common Shares, representing approximately 13.65% of the issued and outstanding Common Shares (as calculated based on the information most recently provided by the Company in its material change report dated June 10, 2024). Following completion of the aforementioned acquisition, Riot beneficially owned 57,627,036 Common Shares, representing approximately 14.00% of the issued and outstanding Common Shares as at the date hereof (as calculated based on the information most recently provided by the Company in its material change report dated June 10, 2024).</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Riot currently intends to requisition a special meeting of the Company’s shareholders, at which Riot intends to nominate several well-qualified and independent directors to join the Company’s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which follows from Riot’s serious concerns regarding the Board’s track record of poor corporate governance.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Riot intends to review its investment in the Company on a continuing basis and depending upon various factors, including without limitation, any discussion between Riot, the Company and/or the Board and its advisors regarding Riot’s previously submitted non-binding proposal (the “</w:t>
      </w:r>
      <w:r>
        <w:rPr>
          <w:rFonts w:ascii="Times New Roman" w:cs="Times New Roman" w:eastAsia="Times New Roman" w:hAnsi="Times New Roman"/>
          <w:sz w:val="18"/>
          <w:szCs w:val="18"/>
          <w:b w:val="1"/>
          <w:bCs w:val="1"/>
          <w:color w:val="auto"/>
        </w:rPr>
        <w:t>Proposal</w:t>
      </w:r>
      <w:r>
        <w:rPr>
          <w:rFonts w:ascii="Times New Roman" w:cs="Times New Roman" w:eastAsia="Times New Roman" w:hAnsi="Times New Roman"/>
          <w:sz w:val="18"/>
          <w:szCs w:val="18"/>
          <w:color w:val="auto"/>
        </w:rPr>
        <w:t>”), the proposed requisition and/or the composition of the Board, the Company’s financial position and strategic direction, overall market conditions, other investment opportunities available to Riot, and the availability of securities of the Company at prices that would make the purchase or sale of such securities desirable, Riot may (i) increase or decrease its position in the Company through, among other things, the purchase or sale of securities of the Company, including through transactions involving the Common Shares and/or other equity, debt, notes, other securities, or derivative or other instruments that are based upon or relate to the value of securities of the Company in the open market or otherwise, (ii) enter into transactions that increase or hedge its economic exposure to the Common Shares without affecting its beneficial ownership of the Common Shares or (iii) consider or propose one or more of the actions described in subparagraphs (a) - (k) of Item 5 of Riot’s early warning report filed in accordance with applicable Canadian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- 2 -</w:t>
      </w:r>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press release is not meant to be, nor should it be construed as, an offer (or an intention to make an offer) to buy or the solicitation of an offer to sell any of the Company’s securities.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Riot will file the Early Warning Report in accordance with applicable securities laws, which will be available under the Company’s profile at </w:t>
      </w:r>
      <w:r>
        <w:rPr>
          <w:rFonts w:ascii="Times New Roman" w:cs="Times New Roman" w:eastAsia="Times New Roman" w:hAnsi="Times New Roman"/>
          <w:sz w:val="18"/>
          <w:szCs w:val="18"/>
          <w:u w:val="single" w:color="auto"/>
          <w:color w:val="auto"/>
        </w:rPr>
        <w:t>www.sedarplus.ca</w:t>
      </w:r>
      <w:r>
        <w:rPr>
          <w:rFonts w:ascii="Times New Roman" w:cs="Times New Roman" w:eastAsia="Times New Roman" w:hAnsi="Times New Roman"/>
          <w:sz w:val="18"/>
          <w:szCs w:val="18"/>
          <w:color w:val="auto"/>
        </w:rPr>
        <w:t>. The head office of the Company is 110 Yonge Street, Suite 1601 Toronto, Ontario M5C 1T4. The address of Riot is 3855 Ambrosia Street, Suite 301, Castle Rock, CO 80109.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and to obtain a copy of the Early Warning Report, please see the Company’s profile on the SEDAR+ website (</w:t>
      </w:r>
      <w:r>
        <w:rPr>
          <w:rFonts w:ascii="Times New Roman" w:cs="Times New Roman" w:eastAsia="Times New Roman" w:hAnsi="Times New Roman"/>
          <w:sz w:val="18"/>
          <w:szCs w:val="18"/>
          <w:u w:val="single" w:color="auto"/>
          <w:color w:val="auto"/>
        </w:rPr>
        <w:t>www.sedarplus.ca</w:t>
      </w:r>
      <w:r>
        <w:rPr>
          <w:rFonts w:ascii="Times New Roman" w:cs="Times New Roman" w:eastAsia="Times New Roman" w:hAnsi="Times New Roman"/>
          <w:sz w:val="18"/>
          <w:szCs w:val="18"/>
          <w:color w:val="auto"/>
        </w:rPr>
        <w:t>) or contact Phil McPherson, Vice President, Capital Markets &amp; Investor Relations, at (303) 794-2000 ext. 110.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Riot Platforms, Inc.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Riot’s (NASDAQ: RIOT) vision is to be the world’s leading Bitcoin-driven infrastructure platform. Our mission is to positively impact the sectors, networks, and communities that we touch. We believe that the combination of an innovative spirit and strong community partnership allows the Company to achieve best-in-class execution and create successful outcomes.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Riot, a Nevada corporation, is a Bitcoin mining and digital infrastructure company focused on a vertically integrated strategy. Riot has Bitcoin mining operations in central Texas and electrical switchgear engineering and fabrication operations in Denver, Colorado.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visit </w:t>
      </w:r>
      <w:r>
        <w:rPr>
          <w:rFonts w:ascii="Times New Roman" w:cs="Times New Roman" w:eastAsia="Times New Roman" w:hAnsi="Times New Roman"/>
          <w:sz w:val="18"/>
          <w:szCs w:val="18"/>
          <w:u w:val="single" w:color="auto"/>
          <w:color w:val="auto"/>
        </w:rPr>
        <w:t>www.riotplatforms.com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Non-Binding Proposal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Riot cautions Riot shareholders, Company shareholders and others considering trading in Riot securities or Company securities that the Proposal referred to in this press release is non-binding, does not constitute and should not be construed as an offer or intention to make an offer directly to Company shareholders, and there can be no assurance that any definitive offer will be made by Riot, that the Company will accept any offer made by Riot, that any agreement will be entered into by Riot and the Company or that the Proposal or any other transaction will be approved or consummated. Riot does not undertake any obligation to provide any updates with respect to the proposed transaction, except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- 3 -</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Statements contained herein that are not historical facts constitute “forward-looking statements” and “forward-looking information” (together, “forward-looking statements”) within the meaning of applicable U.S. and Canadian securities laws that reflect management’s current expectations, assumptions, and estimates of future events, performance and economic conditions. Such forward-looking statements rely on the safe harbor provisions of Section 27A of the U.S. Securities Act of 1933 and Section 21E of the U.S. Securities Exchange Act of 1934 and the safe harbor provisions of applicable Canadian securities laws. Because such statements are subject to risks and uncertainties, actual results may differ materially from those expressed or implied by such forward-looking statements. Words and phrases such as “anticipate,” “believe,” “combined company,” “create,” “drive,” “expect,” “forecast,” “future,” “growth,” “intend,” “hope,” “opportunity,” “plan,” “potential,” “proposal,” “synergies,” “unlock,” “upside,” “will,” “would,” and similar words and phrases are intended to identify forward-looking statements. These forward-looking statements may include, but are not limited to, statements concerning: uncertainties as to whether any definitive offer will be made by Riot or the Company will accept any offer made by Riot; whether the Company will enter into discussions with Riot regarding the proposed combination of Riot and the Company; the outcome of any such discussions, including the possibility that the terms of any such combination will be materially different from those described herein; the conditions to the completion of any combination, including the receipt of Company shareholder approval and the receipt of all required regulatory approvals; the future performance, results of operations, liquidity and financial position of each of Riot, the Company and the company resulting from the combination of Riot and the Company; the possibility that the combined company may be unable to achieve expected synergies and operating efficiencies within the expected timeframes or at all; the integration of the Company’s operations with those of Riot and the possibility that such integration may be more difficult, time-consuming and costly than expected or that operating costs and business disruption may be greater than expected in connection with the proposed transaction. Such forward-looking statements are not guarantees of future performance or actual results, and readers should not place undue reliance on any forward-looking statement as actual results may differ materially and adversely from forward-looking statements. Detailed information regarding the factors identified by the management of Riot, which they believe may cause actual results to differ materially from those expressed or implied by such forward-looking statements in this press release, may be found in Riot’s filings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including the risks, uncertainties and other factors discussed under the sections entitled “Risk Factors” and “Cautionary Note Regarding Forward-Looking Statements” of Riot’s Annual Report on Form 10-K for the fiscal year ended December 31, 2023, filed with the SEC on February 23, 2024, and the other filings Riot has made or will make with the SEC after such date, copies of which may be obtained from the SEC’s website at www.sec.gov. All forward-looking statements contained herein are made only as of the date hereof, and Riot disclaims any intention or obligation to update or revise any such forward-looking statements to reflect events or circumstances that subsequently occur, or of which Riot hereafter becomes aware, except as required by applicable law.</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This press release is for informational purposes only and is not intended to and does not constitute an offer to sell or the solicitation of an offer, or an intention to offer, to subscribe for or buy or an invitation to purchase or subscribe for any securities, nor shall there be any sale, issuance or transfer of securities in any jurisdiction in contravention of applicable law. Such an offer to purchase securities would only be made pursuant to a registration statement, prospectus, tender offer, takeover bid circular, management information circular or other regulatory filing filed by Riot with the SEC and available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or filed with applicable Canadian securities regulatory authorities on SEDAR+ and available at </w:t>
      </w:r>
      <w:r>
        <w:rPr>
          <w:rFonts w:ascii="Times New Roman" w:cs="Times New Roman" w:eastAsia="Times New Roman" w:hAnsi="Times New Roman"/>
          <w:sz w:val="18"/>
          <w:szCs w:val="18"/>
          <w:u w:val="single" w:color="auto"/>
          <w:color w:val="auto"/>
        </w:rPr>
        <w:t>www.sedarplus.ca</w:t>
      </w:r>
      <w:r>
        <w:rPr>
          <w:rFonts w:ascii="Times New Roman" w:cs="Times New Roman" w:eastAsia="Times New Roman" w:hAnsi="Times New Roman"/>
          <w:sz w:val="18"/>
          <w:szCs w:val="18"/>
          <w:color w:val="auto"/>
        </w:rPr>
        <w:t xml:space="preserve">. This press release is not intended to, and does not, solicit a proxy from any shareholder of the Company. Such a solicitation of proxies would only be made pursuant to a proxy circular filed with applicable Canadian securities regulatory authorities on SEDAR+ and available at </w:t>
      </w:r>
      <w:r>
        <w:rPr>
          <w:rFonts w:ascii="Times New Roman" w:cs="Times New Roman" w:eastAsia="Times New Roman" w:hAnsi="Times New Roman"/>
          <w:sz w:val="18"/>
          <w:szCs w:val="18"/>
          <w:u w:val="single" w:color="auto"/>
          <w:color w:val="auto"/>
        </w:rPr>
        <w:t>www.sedarplus.ca</w:t>
      </w:r>
      <w:r>
        <w:rPr>
          <w:rFonts w:ascii="Times New Roman" w:cs="Times New Roman" w:eastAsia="Times New Roman" w:hAnsi="Times New Roman"/>
          <w:sz w:val="18"/>
          <w:szCs w:val="18"/>
          <w:color w:val="auto"/>
        </w:rPr>
        <w:t xml:space="preserve"> or pursuant to an exemption from the proxy solicitation rules under applicable Canadian securities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for Investors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relates to, among other things, a proposal that Riot has made for a business combination transaction with the Company. In furtherance of this proposal and subject to future developments, Riot (and, if applicable, the Company) may file one or more registration statements, prospectuses, management information circulars, proxy statements, proxy circulars, tender offers, takeover bid circulars or other documents with the SEC and applicable Canadian securities regulatory authorities. This press release is not a substitute for any registration statement, prospectus, management information circular, proxy statement, proxy circular, tender offer, takeover bid circular or other document (collectively, “</w:t>
      </w:r>
      <w:r>
        <w:rPr>
          <w:rFonts w:ascii="Times New Roman" w:cs="Times New Roman" w:eastAsia="Times New Roman" w:hAnsi="Times New Roman"/>
          <w:sz w:val="18"/>
          <w:szCs w:val="18"/>
          <w:b w:val="1"/>
          <w:bCs w:val="1"/>
          <w:color w:val="auto"/>
        </w:rPr>
        <w:t>Regulatory Filings</w:t>
      </w:r>
      <w:r>
        <w:rPr>
          <w:rFonts w:ascii="Times New Roman" w:cs="Times New Roman" w:eastAsia="Times New Roman" w:hAnsi="Times New Roman"/>
          <w:sz w:val="18"/>
          <w:szCs w:val="18"/>
          <w:color w:val="auto"/>
        </w:rPr>
        <w:t>”) Riot and/or the Company may file with the SEC and/or applicable Canadian securities regulatory authorities in connection with the proposed transaction. INVESTORS AND SECURITY HOLDERS OF RIOT AND THE COMPANY ARE URGED TO READ EACH REGULATORY FILING WHEN AND IF FILED BY RIOT AND/OR THE COMPANY WITH THE SEC AND/OR APPLICABLE CANADIAN SECURITIES REGULATORY AUTHORITIES CAREFULLY IN THEIR ENTIRETY IF AND WHEN THEY BECOME AVAILABLE AS THEY WILL CONTAIN IMPORTANT INFORMATION ABOUT RIOT, THE COMPANY, THE PROPOSED TRANSACTION AND RELATED MATTERS. Any proxy circular, takeover bid circular, management information circular, prospectus or other applicable Regulatory Filing (if and when filed) will be mailed to shareholders of the Company (if and when required to be mailed by applicable law). Investors and security holders will be able to obtain free copies of Regulatory Filings (if and when available) and other documents filed by Riot with the SEC and available at www.sec.gov, and on the “Investor Relations” page of Riot’s corporate website, www.Riotplatforms.com. Investors and security holders will be able to obtain free copies of any documents filed with applicable Canadian securities regulatory authorities by Riot on SEDAR+ at www.sedarplus.ca, and on the “Investor Relations” page of Riot’s corporate website, www.Riotplatforms.com.</w:t>
      </w:r>
    </w:p>
    <w:p>
      <w:pPr>
        <w:spacing w:after="0" w:line="1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This press release is neither a solicitation of a proxy nor a substitute for any proxy statement or other filings that may be made with the SEC or Canadian securities regulatory authorities. Nonetheless, Riot and its directors and executive officers and other members of management and employees may be deemed to be participants in the solicitation of proxies in respect of the proposed transaction. You can find information about Riot’s executive officers and directors in Riot’s Annual Report on Form 10-K for the year ended December 31, 2023. Additional information regarding the interests of such potential participants will be included in one or more Regulatory Filings filed with the SEC and Canadian securities regulatory authorities if and when they become available. These documents (if and when available) may be obtained free of charge from the SEC’s website at www.sec.gov, on SEDAR+ at www.sedarplus.ca and by visiting the “Investor Relations” page of Riot’s corporate website, </w:t>
      </w:r>
      <w:r>
        <w:rPr>
          <w:rFonts w:ascii="Times New Roman" w:cs="Times New Roman" w:eastAsia="Times New Roman" w:hAnsi="Times New Roman"/>
          <w:sz w:val="18"/>
          <w:szCs w:val="18"/>
          <w:u w:val="single" w:color="auto"/>
          <w:color w:val="auto"/>
        </w:rPr>
        <w:t>www.Riotplatforms.com</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 McPherson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303-794-2000 ext. 110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IR@Riot.Inc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Okapi Partners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Bruce Goldfarb / Chuck Garske, (877) 285-5990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info@okapipartners.com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Longacre Square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 Germani / Dan Zacchei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jgermani@longacresquare.com</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dzacchei@longacresquare.com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2024-06-13T20:17:12Z</dcterms:created>
  <dcterms:modified xsi:type="dcterms:W3CDTF">2024-06-13T20:17:12Z</dcterms:modified>
</cp:coreProperties>
</file>