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>
          <w:bdr w:val="single" w:sz="16" w:space="1" w:color="000000"/>
        </w:rPr>
      </w:pPr>
      <w:bookmarkStart w:id="0" w:name="ea0250576-6k_bitfarms.htm"/>
      <w:bookmarkStart w:id="1" w:name="ksea02505766k_bitfarms"/>
      <w:bookmarkEnd w:id="0"/>
      <w:bookmarkEnd w:id="1"/>
      <w:r>
        <w:rPr>
          <w:bdr w:val="single" w:sz="16" w:space="1" w:color="000000"/>
        </w:rPr>
        <w:t> </w:t>
      </w:r>
    </w:p>
    <w:p>
      <w:pPr>
        <w:pStyle w:val="TextBody"/>
        <w:bidi w:val="0"/>
        <w:jc w:val="center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4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4"/>
        </w:rPr>
        <w:t>UNITED STATES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4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4"/>
        </w:rPr>
        <w:t>SECURITIES AND EXCHANGE COMMISSION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Washington, D.C. 20549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jc w:val="left"/>
        <w:rPr>
          <w:bdr w:val="single" w:sz="12" w:space="1" w:color="000000"/>
        </w:rPr>
      </w:pPr>
      <w:r>
        <w:rPr>
          <w:bdr w:val="single" w:sz="12" w:space="1" w:color="000000"/>
        </w:rPr>
        <w:t> 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4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4"/>
        </w:rPr>
        <w:t>FORM 6-K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jc w:val="left"/>
        <w:rPr>
          <w:bdr w:val="single" w:sz="12" w:space="1" w:color="000000"/>
        </w:rPr>
      </w:pPr>
      <w:r>
        <w:rPr>
          <w:bdr w:val="single" w:sz="12" w:space="1" w:color="000000"/>
        </w:rPr>
        <w:t> 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REPORT OF FOREIGN PRIVATE ISSUER</w:t>
        <w:br/>
        <w:t>PURSUANT TO RULE 13a-16 OR 15d-16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UNDER THE SECURITIES EXCHANGE ACT OF 1934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For the month of July 2025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jc w:val="left"/>
        <w:rPr>
          <w:bdr w:val="single" w:sz="12" w:space="1" w:color="000000"/>
        </w:rPr>
      </w:pPr>
      <w:r>
        <w:rPr>
          <w:bdr w:val="single" w:sz="12" w:space="1" w:color="000000"/>
        </w:rPr>
        <w:t> 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 xml:space="preserve">Commission File Number: 001-40370 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jc w:val="left"/>
        <w:rPr>
          <w:bdr w:val="single" w:sz="12" w:space="1" w:color="000000"/>
        </w:rPr>
      </w:pPr>
      <w:r>
        <w:rPr>
          <w:bdr w:val="single" w:sz="12" w:space="1" w:color="000000"/>
        </w:rPr>
        <w:t> 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4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4"/>
        </w:rPr>
        <w:t>BITFARMS LTD.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(Translation of registrant’s name into English)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jc w:val="left"/>
        <w:rPr>
          <w:bdr w:val="single" w:sz="12" w:space="1" w:color="000000"/>
        </w:rPr>
      </w:pPr>
      <w:r>
        <w:rPr>
          <w:bdr w:val="single" w:sz="12" w:space="1" w:color="000000"/>
        </w:rPr>
        <w:t> 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110 Yonge Street, Suite 1601, Toronto, Ontario, Canada M5C 1T4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(Address of principal executive offices)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jc w:val="left"/>
        <w:rPr>
          <w:bdr w:val="single" w:sz="12" w:space="1" w:color="000000"/>
        </w:rPr>
      </w:pPr>
      <w:r>
        <w:rPr>
          <w:bdr w:val="single" w:sz="12" w:space="1" w:color="000000"/>
        </w:rPr>
        <w:t> 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Indicate by check mark whether the registrant files or will file annual reports under cover of Form 20-F or Form 40-F.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Form 20-F ☐ Form 40-F ☒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bdr w:val="single" w:sz="12" w:space="1" w:color="000000"/>
        </w:rPr>
      </w:pPr>
      <w:r>
        <w:rPr>
          <w:bdr w:val="single" w:sz="12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DOCUMENTS INCLUDED AS PART OF THIS FORM 6-K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On July 29, 2025, the Registrant filed with the Canadian Securities Regulatory Authorities on the System for Electronic Data Analysis and Retrieval + (SEDAR +) a press release, a copy of which is attached hereto as Exhibit 99.1, which is incorporated herein by reference.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See the Exhibits listed below.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Exhibits</w:t>
      </w:r>
    </w:p>
    <w:p>
      <w:pPr>
        <w:pStyle w:val="TextBody"/>
        <w:bidi w:val="0"/>
        <w:spacing w:before="0" w:after="283"/>
        <w:jc w:val="left"/>
        <w:rPr/>
      </w:pPr>
      <w:r>
        <w:rPr/>
        <w:t> </w:t>
      </w:r>
    </w:p>
    <w:tbl>
      <w:tblPr>
        <w:tblW w:w="3805" w:type="dxa"/>
        <w:jc w:val="left"/>
        <w:tblInd w:w="0" w:type="dxa"/>
        <w:tblLayout w:type="fixed"/>
        <w:tblCellMar>
          <w:top w:w="0" w:type="dxa"/>
          <w:left w:w="0" w:type="dxa"/>
          <w:bottom w:w="28" w:type="dxa"/>
          <w:right w:w="0" w:type="dxa"/>
        </w:tblCellMar>
      </w:tblPr>
      <w:tblGrid>
        <w:gridCol w:w="980"/>
        <w:gridCol w:w="60"/>
        <w:gridCol w:w="2765"/>
      </w:tblGrid>
      <w:tr>
        <w:trPr/>
        <w:tc>
          <w:tcPr>
            <w:tcW w:w="980" w:type="dxa"/>
            <w:tcBorders>
              <w:bottom w:val="single" w:sz="12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sz w:val="20"/>
              </w:rPr>
            </w:pPr>
            <w:r>
              <w:rPr>
                <w:sz w:val="20"/>
              </w:rPr>
              <w:t>Exhibit No.</w:t>
            </w:r>
          </w:p>
        </w:tc>
        <w:tc>
          <w:tcPr>
            <w:tcW w:w="60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765" w:type="dxa"/>
            <w:tcBorders>
              <w:bottom w:val="single" w:sz="12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sz w:val="20"/>
              </w:rPr>
            </w:pPr>
            <w:r>
              <w:rPr>
                <w:sz w:val="20"/>
              </w:rPr>
              <w:t>Description</w:t>
            </w:r>
          </w:p>
        </w:tc>
      </w:tr>
      <w:tr>
        <w:trPr/>
        <w:tc>
          <w:tcPr>
            <w:tcW w:w="980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  <w:tc>
          <w:tcPr>
            <w:tcW w:w="60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765" w:type="dxa"/>
            <w:tcBorders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> </w:t>
            </w:r>
          </w:p>
        </w:tc>
      </w:tr>
      <w:tr>
        <w:trPr/>
        <w:tc>
          <w:tcPr>
            <w:tcW w:w="980" w:type="dxa"/>
            <w:tcBorders/>
            <w:shd w:fill="CCEEF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>
                <w:sz w:val="20"/>
              </w:rPr>
            </w:pPr>
            <w:r>
              <w:rPr>
                <w:sz w:val="20"/>
              </w:rPr>
              <w:t>99.1</w:t>
            </w:r>
          </w:p>
        </w:tc>
        <w:tc>
          <w:tcPr>
            <w:tcW w:w="60" w:type="dxa"/>
            <w:tcBorders/>
            <w:shd w:fill="CCEEF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765" w:type="dxa"/>
            <w:tcBorders/>
            <w:shd w:fill="CCEEF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hyperlink w:anchor="ea025057601ex99-1_bitfarms.htm">
              <w:r>
                <w:rPr>
                  <w:rStyle w:val="InternetLink"/>
                  <w:sz w:val="20"/>
                </w:rPr>
                <w:t>Press Release dated July 29, 2025</w:t>
              </w:r>
            </w:hyperlink>
          </w:p>
        </w:tc>
      </w:tr>
    </w:tbl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  <w:bdr w:val="single" w:sz="12" w:space="1" w:color="00000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  <w:bdr w:val="single" w:sz="12" w:space="1" w:color="000000"/>
        </w:rPr>
        <w:t>1</w:t>
      </w:r>
    </w:p>
    <w:p>
      <w:pPr>
        <w:pStyle w:val="TextBody"/>
        <w:bidi w:val="0"/>
        <w:spacing w:before="0" w:after="0"/>
        <w:ind w:left="0" w:right="0" w:hanging="0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SIGNATURE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pStyle w:val="TextBody"/>
        <w:bidi w:val="0"/>
        <w:spacing w:before="0" w:after="0"/>
        <w:ind w:left="16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345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5"/>
        <w:gridCol w:w="365"/>
        <w:gridCol w:w="650"/>
        <w:gridCol w:w="2360"/>
      </w:tblGrid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37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BITFARMS LTD.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6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6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By:</w:t>
            </w:r>
          </w:p>
        </w:tc>
        <w:tc>
          <w:tcPr>
            <w:tcW w:w="3010" w:type="dxa"/>
            <w:gridSpan w:val="2"/>
            <w:tcBorders>
              <w:bottom w:val="single" w:sz="12" w:space="0" w:color="000000"/>
            </w:tcBorders>
            <w:tcMar>
              <w:bottom w:w="2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/s/ Ben Gagnon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6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Name:</w:t>
            </w:r>
          </w:p>
        </w:tc>
        <w:tc>
          <w:tcPr>
            <w:tcW w:w="2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  <w:r>
              <w:rPr/>
              <w:t>Ben Gagnon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6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Title:</w:t>
            </w:r>
          </w:p>
        </w:tc>
        <w:tc>
          <w:tcPr>
            <w:tcW w:w="2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  <w:r>
              <w:rPr/>
              <w:t>Chief Executive Officer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Date: July 29, 2025</w:t>
      </w:r>
    </w:p>
    <w:p>
      <w:pPr>
        <w:pStyle w:val="TextBody"/>
        <w:bidi w:val="0"/>
        <w:spacing w:before="0" w:after="283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  <w:bdr w:val="single" w:sz="12" w:space="1" w:color="00000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  <w:bdr w:val="single" w:sz="12" w:space="1" w:color="000000"/>
        </w:rPr>
        <w:t>2</w:t>
      </w:r>
    </w:p>
    <w:p>
      <w:pPr>
        <w:pStyle w:val="TextBody"/>
        <w:bidi w:val="0"/>
        <w:spacing w:before="0" w:after="283"/>
        <w:jc w:val="left"/>
        <w:rPr/>
      </w:pPr>
      <w:r>
        <w:rPr/>
        <w:t> </w:t>
      </w:r>
    </w:p>
    <w:p>
      <w:pPr>
        <w:pStyle w:val="TextBody"/>
        <w:shd w:fill="FFFFFF" w:val="clear"/>
        <w:bidi w:val="0"/>
        <w:spacing w:before="0" w:after="0"/>
        <w:ind w:left="0" w:right="0" w:hanging="0"/>
        <w:jc w:val="right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bookmarkStart w:id="2" w:name="ea025057601ex99-1_bitfarms.htm"/>
      <w:bookmarkStart w:id="3" w:name="ksea025057601ex991_bitfarms"/>
      <w:bookmarkEnd w:id="2"/>
      <w:bookmarkEnd w:id="3"/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Exhibit 99.1</w:t>
      </w:r>
      <w:r>
        <w:br w:type="page"/>
      </w:r>
    </w:p>
    <w:p>
      <w:pPr>
        <w:pStyle w:val="TextBody"/>
        <w:shd w:fill="FFFFFF" w:val="clear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shd w:fill="FFFFFF" w:val="clear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drawing>
          <wp:inline distT="0" distB="0" distL="0" distR="0">
            <wp:extent cx="2609850" cy="438150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shd w:fill="FFFFFF" w:val="clear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 xml:space="preserve">Bitfarms Schedules Second Quarter 2025 Conference Call on August 12, 2025 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Toronto, Ontario and New York, New York (July 29, 2025)</w:t>
      </w: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 xml:space="preserve"> - Bitfarms Ltd. (NASDAQ/TSX: BITF) (“Bitfarms” or the “Company”), a global energy and compute infrastructure company, will report its second quarter 2025 financial results on Tuesday, August 12</w:t>
      </w:r>
      <w:r>
        <w:rPr>
          <w:rFonts w:ascii="Times New Roman;Times;Serif" w:hAnsi="Times New Roman;Times;Serif"/>
          <w:b w:val="false"/>
          <w:i w:val="false"/>
          <w:caps w:val="false"/>
          <w:smallCaps w:val="false"/>
          <w:position w:val="7"/>
          <w:sz w:val="16"/>
          <w:sz w:val="20"/>
        </w:rPr>
        <w:t>th</w:t>
      </w: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 xml:space="preserve"> before the market opens. Management will host a conference call on the same day at 8:00 am EST. All Q2 2025 materials will be available before the call and can be accessed on the ‘Financial Results’ section of the Bitfarms investor site.</w:t>
      </w:r>
    </w:p>
    <w:p>
      <w:pPr>
        <w:pStyle w:val="TextBody"/>
        <w:bidi w:val="0"/>
        <w:spacing w:before="0" w:after="0"/>
        <w:ind w:left="10" w:right="0" w:hanging="1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10" w:right="0" w:hanging="1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The live webcast and a webcast replay of the conference call can be accessed here. To access the call by telephone, register here to receive dial-in numbers and a unique PIN to join the call.</w:t>
      </w:r>
    </w:p>
    <w:p>
      <w:pPr>
        <w:pStyle w:val="TextBody"/>
        <w:shd w:fill="FEFEFE" w:val="clear"/>
        <w:bidi w:val="0"/>
        <w:spacing w:before="0" w:after="0"/>
        <w:ind w:left="11" w:right="0" w:hanging="11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shd w:fill="FEFEFE" w:val="clear"/>
        <w:bidi w:val="0"/>
        <w:spacing w:before="0" w:after="0"/>
        <w:ind w:left="11" w:right="0" w:hanging="11"/>
        <w:jc w:val="both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About Bitfarms Ltd.</w:t>
      </w:r>
    </w:p>
    <w:p>
      <w:pPr>
        <w:pStyle w:val="TextBody"/>
        <w:shd w:fill="FEFEFE" w:val="clear"/>
        <w:bidi w:val="0"/>
        <w:spacing w:before="0" w:after="0"/>
        <w:ind w:left="0" w:right="0" w:hanging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shd w:fill="FEFEFE" w:val="clear"/>
        <w:bidi w:val="0"/>
        <w:spacing w:before="0" w:after="0"/>
        <w:ind w:left="11" w:right="0" w:hanging="11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Founded in 2017, Bitfarms is a North American energy and compute infrastructure company that develops, owns, and operates vertically integrated data centers. Bitfarms currently operates 15 data centers situated in four countries, which currently mine Bitcoin: the United States, Canada, Argentina and Paraguay.</w:t>
      </w:r>
    </w:p>
    <w:p>
      <w:pPr>
        <w:pStyle w:val="TextBody"/>
        <w:shd w:fill="FEFEFE" w:val="clear"/>
        <w:bidi w:val="0"/>
        <w:spacing w:before="0" w:after="0"/>
        <w:ind w:left="11" w:right="0" w:hanging="11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shd w:fill="FEFEFE" w:val="clear"/>
        <w:bidi w:val="0"/>
        <w:spacing w:before="0" w:after="0"/>
        <w:ind w:left="11" w:right="0" w:hanging="11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To learn more about Bitfarms’ events, developments, and online communities:</w:t>
      </w:r>
    </w:p>
    <w:p>
      <w:pPr>
        <w:pStyle w:val="TextBody"/>
        <w:shd w:fill="FEFEFE" w:val="clear"/>
        <w:bidi w:val="0"/>
        <w:spacing w:before="0" w:after="0"/>
        <w:ind w:left="11" w:right="0" w:hanging="11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www.bitfarms.com</w:t>
      </w:r>
    </w:p>
    <w:p>
      <w:pPr>
        <w:pStyle w:val="TextBody"/>
        <w:bidi w:val="0"/>
        <w:spacing w:before="0" w:after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https://www.facebook.com/bitfarms/</w:t>
      </w:r>
    </w:p>
    <w:p>
      <w:pPr>
        <w:pStyle w:val="TextBody"/>
        <w:shd w:fill="FEFEFE" w:val="clear"/>
        <w:bidi w:val="0"/>
        <w:spacing w:before="0" w:after="0"/>
        <w:ind w:left="11" w:right="0" w:hanging="11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https://x.com/Bitfarms_io</w:t>
      </w:r>
    </w:p>
    <w:p>
      <w:pPr>
        <w:pStyle w:val="TextBody"/>
        <w:shd w:fill="FEFEFE" w:val="clear"/>
        <w:bidi w:val="0"/>
        <w:spacing w:before="0" w:after="0"/>
        <w:ind w:left="11" w:right="0" w:hanging="11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https://www.instagram.com/bitfarms/</w:t>
      </w:r>
    </w:p>
    <w:p>
      <w:pPr>
        <w:pStyle w:val="TextBody"/>
        <w:shd w:fill="FEFEFE" w:val="clear"/>
        <w:bidi w:val="0"/>
        <w:spacing w:before="0" w:after="0"/>
        <w:ind w:left="11" w:right="0" w:hanging="11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https://www.linkedin.com/company/bitfarms/</w:t>
      </w:r>
    </w:p>
    <w:p>
      <w:pPr>
        <w:pStyle w:val="TextBody"/>
        <w:shd w:fill="FEFEFE" w:val="clear"/>
        <w:bidi w:val="0"/>
        <w:spacing w:before="0" w:after="0"/>
        <w:ind w:left="0" w:right="0" w:hanging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shd w:fill="FEFEFE" w:val="clear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Investor Relations Contact:</w:t>
      </w:r>
    </w:p>
    <w:p>
      <w:pPr>
        <w:pStyle w:val="TextBody"/>
        <w:shd w:fill="FEFEFE" w:val="clear"/>
        <w:bidi w:val="0"/>
        <w:spacing w:before="0" w:after="0"/>
        <w:ind w:left="0" w:right="0" w:hanging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shd w:fill="FEFEFE" w:val="clear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Laine Yonker</w:t>
      </w:r>
    </w:p>
    <w:p>
      <w:pPr>
        <w:pStyle w:val="TextBody"/>
        <w:shd w:fill="FEFEFE" w:val="clear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lyonker@bitfarms.com</w:t>
      </w:r>
    </w:p>
    <w:p>
      <w:pPr>
        <w:pStyle w:val="TextBody"/>
        <w:shd w:fill="FEFEFE" w:val="clear"/>
        <w:bidi w:val="0"/>
        <w:spacing w:before="0" w:after="0"/>
        <w:ind w:left="0" w:right="0" w:hanging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shd w:fill="FEFEFE" w:val="clear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Media Contact:</w:t>
      </w:r>
    </w:p>
    <w:p>
      <w:pPr>
        <w:pStyle w:val="TextBody"/>
        <w:shd w:fill="FEFEFE" w:val="clear"/>
        <w:bidi w:val="0"/>
        <w:spacing w:before="0" w:after="0"/>
        <w:ind w:left="0" w:right="0" w:hanging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shd w:fill="FEFEFE" w:val="clear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Caroline Brady Baker</w:t>
      </w:r>
    </w:p>
    <w:p>
      <w:pPr>
        <w:pStyle w:val="TextBody"/>
        <w:shd w:fill="FEFEFE" w:val="clear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cbaker@bitfarms.com</w:t>
      </w:r>
    </w:p>
    <w:p>
      <w:pPr>
        <w:pStyle w:val="TextBody"/>
        <w:shd w:fill="FEFEFE" w:val="clear"/>
        <w:bidi w:val="0"/>
        <w:spacing w:before="0" w:after="0"/>
        <w:ind w:left="0" w:right="0" w:hanging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Times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408</Words>
  <Characters>2323</Characters>
  <CharactersWithSpaces>2751</CharactersWithSpaces>
  <Paragraphs>121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