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May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Commission File Number: 333-258788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BITFARMS LTD.</w:t>
      </w:r>
    </w:p>
    <w:p>
      <w:pPr>
        <w:spacing w:after="0" w:line="34"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This report on Form 6-K, including the interim condensed consolidated financial statements for the three months ended March 31, 2023 and management’s discussion and analysis for the three months ended March 31, 2023, shall be deemed to be incorporated by reference as exhibits to the Registration Statement of Bitfarms Ltd. on Form F-10 (File No. </w:t>
      </w:r>
      <w:hyperlink r:id="rId19">
        <w:r>
          <w:rPr>
            <w:rFonts w:ascii="Arial" w:cs="Arial" w:eastAsia="Arial" w:hAnsi="Arial"/>
            <w:sz w:val="18"/>
            <w:szCs w:val="18"/>
            <w:u w:val="single" w:color="auto"/>
            <w:color w:val="0000EE"/>
          </w:rPr>
          <w:t>333-258788</w:t>
        </w:r>
      </w:hyperlink>
      <w:r>
        <w:rPr>
          <w:rFonts w:ascii="Arial" w:cs="Arial" w:eastAsia="Arial" w:hAnsi="Arial"/>
          <w:sz w:val="18"/>
          <w:szCs w:val="18"/>
          <w:color w:val="auto"/>
        </w:rPr>
        <w:t>) and to be a part thereof from the date on which this report was furnished, to the extent not superseded by documents or reports subsequently filed or furnished.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93"/>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100" w:type="dxa"/>
            <w:vAlign w:val="bottom"/>
          </w:tcPr>
          <w:p>
            <w:pPr>
              <w:spacing w:after="0"/>
              <w:rPr>
                <w:sz w:val="24"/>
                <w:szCs w:val="24"/>
                <w:color w:val="auto"/>
              </w:rPr>
            </w:pPr>
          </w:p>
        </w:tc>
        <w:tc>
          <w:tcPr>
            <w:tcW w:w="1012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rPr>
              <w:t>Description</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5"/>
                <w:szCs w:val="15"/>
                <w:color w:val="auto"/>
              </w:rPr>
            </w:pPr>
          </w:p>
        </w:tc>
        <w:tc>
          <w:tcPr>
            <w:tcW w:w="1012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8"/>
                <w:szCs w:val="18"/>
                <w:color w:val="0000EE"/>
              </w:rPr>
              <w:t>Interim Condensed Consolidated Financial Statements for the three months ended March 31, 2023.</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0000EE"/>
            </w:tcBorders>
            <w:shd w:val="clear" w:color="auto" w:fill="CCEEFF"/>
          </w:tcPr>
          <w:p>
            <w:pPr>
              <w:spacing w:after="0" w:line="20" w:lineRule="exact"/>
              <w:rPr>
                <w:sz w:val="1"/>
                <w:szCs w:val="1"/>
                <w:color w:val="auto"/>
              </w:rPr>
            </w:pPr>
          </w:p>
        </w:tc>
        <w:tc>
          <w:tcPr>
            <w:tcW w:w="3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5"/>
                <w:szCs w:val="15"/>
                <w:color w:val="auto"/>
              </w:rPr>
            </w:pPr>
          </w:p>
        </w:tc>
        <w:tc>
          <w:tcPr>
            <w:tcW w:w="10120" w:type="dxa"/>
            <w:vAlign w:val="bottom"/>
            <w:gridSpan w:val="7"/>
          </w:tcPr>
          <w:p>
            <w:pPr>
              <w:ind w:left="20"/>
              <w:spacing w:after="0" w:line="176" w:lineRule="exact"/>
              <w:rPr>
                <w:sz w:val="20"/>
                <w:szCs w:val="20"/>
                <w:color w:val="auto"/>
              </w:rPr>
            </w:pPr>
            <w:r>
              <w:rPr>
                <w:rFonts w:ascii="Arial" w:cs="Arial" w:eastAsia="Arial" w:hAnsi="Arial"/>
                <w:sz w:val="18"/>
                <w:szCs w:val="18"/>
                <w:color w:val="0000EE"/>
              </w:rPr>
              <w:t>Management’s Discussion &amp; Analysis for the three months ended March 31, 2023.</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5"/>
                <w:szCs w:val="15"/>
                <w:color w:val="auto"/>
              </w:rPr>
            </w:pPr>
          </w:p>
        </w:tc>
        <w:tc>
          <w:tcPr>
            <w:tcW w:w="1012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8"/>
                <w:szCs w:val="18"/>
                <w:color w:val="0000EE"/>
              </w:rPr>
              <w:t>CEO Certification of Interim Filings - Interim Certificate dated May 15, 2023.</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0000EE"/>
            </w:tcBorders>
            <w:shd w:val="clear" w:color="auto" w:fill="CCEEFF"/>
          </w:tcPr>
          <w:p>
            <w:pPr>
              <w:spacing w:after="0" w:line="20" w:lineRule="exact"/>
              <w:rPr>
                <w:sz w:val="1"/>
                <w:szCs w:val="1"/>
                <w:color w:val="auto"/>
              </w:rPr>
            </w:pPr>
          </w:p>
        </w:tc>
        <w:tc>
          <w:tcPr>
            <w:tcW w:w="3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99.4</w:t>
            </w:r>
          </w:p>
        </w:tc>
        <w:tc>
          <w:tcPr>
            <w:tcW w:w="100" w:type="dxa"/>
            <w:vAlign w:val="bottom"/>
          </w:tcPr>
          <w:p>
            <w:pPr>
              <w:spacing w:after="0"/>
              <w:rPr>
                <w:sz w:val="15"/>
                <w:szCs w:val="15"/>
                <w:color w:val="auto"/>
              </w:rPr>
            </w:pPr>
          </w:p>
        </w:tc>
        <w:tc>
          <w:tcPr>
            <w:tcW w:w="10120" w:type="dxa"/>
            <w:vAlign w:val="bottom"/>
            <w:gridSpan w:val="7"/>
          </w:tcPr>
          <w:p>
            <w:pPr>
              <w:ind w:left="20"/>
              <w:spacing w:after="0" w:line="176" w:lineRule="exact"/>
              <w:rPr>
                <w:sz w:val="20"/>
                <w:szCs w:val="20"/>
                <w:color w:val="auto"/>
              </w:rPr>
            </w:pPr>
            <w:r>
              <w:rPr>
                <w:rFonts w:ascii="Arial" w:cs="Arial" w:eastAsia="Arial" w:hAnsi="Arial"/>
                <w:sz w:val="18"/>
                <w:szCs w:val="18"/>
                <w:color w:val="0000EE"/>
              </w:rPr>
              <w:t>CFO Certification of Interim Filings - Interim Certificate dated May 15, 2023.</w:t>
            </w:r>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7"/>
                <w:szCs w:val="17"/>
                <w:color w:val="auto"/>
              </w:rPr>
            </w:pPr>
          </w:p>
        </w:tc>
        <w:tc>
          <w:tcPr>
            <w:tcW w:w="1012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8"/>
                <w:szCs w:val="18"/>
                <w:color w:val="0000EE"/>
              </w:rPr>
              <w:t>Press Release dated May 15, 2023</w:t>
            </w:r>
          </w:p>
        </w:tc>
      </w:tr>
      <w:tr>
        <w:trPr>
          <w:trHeight w:val="871"/>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gridSpan w:val="2"/>
          </w:tcPr>
          <w:p>
            <w:pPr>
              <w:spacing w:after="0"/>
              <w:rPr>
                <w:sz w:val="24"/>
                <w:szCs w:val="24"/>
                <w:color w:val="auto"/>
              </w:rPr>
            </w:pPr>
          </w:p>
        </w:tc>
        <w:tc>
          <w:tcPr>
            <w:tcW w:w="2460" w:type="dxa"/>
            <w:vAlign w:val="bottom"/>
            <w:tcBorders>
              <w:top w:val="single" w:sz="8" w:color="0000EE"/>
              <w:bottom w:val="single" w:sz="8" w:color="auto"/>
            </w:tcBorders>
          </w:tcPr>
          <w:p>
            <w:pPr>
              <w:spacing w:after="0"/>
              <w:rPr>
                <w:sz w:val="24"/>
                <w:szCs w:val="24"/>
                <w:color w:val="auto"/>
              </w:rPr>
            </w:pPr>
          </w:p>
        </w:tc>
        <w:tc>
          <w:tcPr>
            <w:tcW w:w="3160" w:type="dxa"/>
            <w:vAlign w:val="bottom"/>
            <w:tcBorders>
              <w:top w:val="single" w:sz="8" w:color="CCEEFF"/>
              <w:bottom w:val="single" w:sz="8" w:color="auto"/>
            </w:tcBorders>
          </w:tcPr>
          <w:p>
            <w:pPr>
              <w:jc w:val="right"/>
              <w:ind w:right="1010"/>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2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1800225</wp:posOffset>
            </wp:positionV>
            <wp:extent cx="204025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0402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3597910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40" w:type="dxa"/>
            <w:vAlign w:val="bottom"/>
            <w:gridSpan w:val="6"/>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69"/>
        </w:trPr>
        <w:tc>
          <w:tcPr>
            <w:tcW w:w="10340" w:type="dxa"/>
            <w:vAlign w:val="bottom"/>
            <w:gridSpan w:val="6"/>
            <w:shd w:val="clear" w:color="auto" w:fill="CCEEFF"/>
          </w:tcPr>
          <w:p>
            <w:pPr>
              <w:ind w:left="460"/>
              <w:spacing w:after="0" w:line="169" w:lineRule="exact"/>
              <w:rPr>
                <w:sz w:val="20"/>
                <w:szCs w:val="20"/>
                <w:color w:val="auto"/>
              </w:rPr>
            </w:pPr>
            <w:r>
              <w:rPr>
                <w:rFonts w:ascii="Arial" w:cs="Arial" w:eastAsia="Arial" w:hAnsi="Arial"/>
                <w:sz w:val="18"/>
                <w:szCs w:val="18"/>
                <w:color w:val="0000EE"/>
              </w:rPr>
              <w:t>Interim Consolidated Statements of Financial Position</w:t>
            </w:r>
          </w:p>
        </w:tc>
        <w:tc>
          <w:tcPr>
            <w:tcW w:w="9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3</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6"/>
          </w:tcPr>
          <w:p>
            <w:pPr>
              <w:ind w:left="460"/>
              <w:spacing w:after="0" w:line="176" w:lineRule="exact"/>
              <w:rPr>
                <w:sz w:val="20"/>
                <w:szCs w:val="20"/>
                <w:color w:val="auto"/>
              </w:rPr>
            </w:pPr>
            <w:r>
              <w:rPr>
                <w:rFonts w:ascii="Arial" w:cs="Arial" w:eastAsia="Arial" w:hAnsi="Arial"/>
                <w:sz w:val="18"/>
                <w:szCs w:val="18"/>
                <w:color w:val="0000EE"/>
              </w:rPr>
              <w:t>Interim Consolidated Statements of Profit or Loss and Comprehensive Profit or Loss</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
        </w:trPr>
        <w:tc>
          <w:tcPr>
            <w:tcW w:w="46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6"/>
            <w:shd w:val="clear" w:color="auto" w:fill="CCEEFF"/>
          </w:tcPr>
          <w:p>
            <w:pPr>
              <w:ind w:left="460"/>
              <w:spacing w:after="0" w:line="176" w:lineRule="exact"/>
              <w:rPr>
                <w:sz w:val="20"/>
                <w:szCs w:val="20"/>
                <w:color w:val="auto"/>
              </w:rPr>
            </w:pPr>
            <w:r>
              <w:rPr>
                <w:rFonts w:ascii="Arial" w:cs="Arial" w:eastAsia="Arial" w:hAnsi="Arial"/>
                <w:sz w:val="18"/>
                <w:szCs w:val="18"/>
                <w:color w:val="0000EE"/>
              </w:rPr>
              <w:t>Interim Consolidated Statements of Changes in Equity</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6"/>
          </w:tcPr>
          <w:p>
            <w:pPr>
              <w:ind w:left="460"/>
              <w:spacing w:after="0" w:line="176" w:lineRule="exact"/>
              <w:rPr>
                <w:sz w:val="20"/>
                <w:szCs w:val="20"/>
                <w:color w:val="auto"/>
              </w:rPr>
            </w:pPr>
            <w:r>
              <w:rPr>
                <w:rFonts w:ascii="Arial" w:cs="Arial" w:eastAsia="Arial" w:hAnsi="Arial"/>
                <w:sz w:val="18"/>
                <w:szCs w:val="18"/>
                <w:color w:val="0000EE"/>
              </w:rPr>
              <w:t>Interim Consolidated Statements of Cash Flows</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
        </w:trPr>
        <w:tc>
          <w:tcPr>
            <w:tcW w:w="46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 w:type="dxa"/>
            <w:vAlign w:val="bottom"/>
          </w:tcPr>
          <w:p>
            <w:pPr>
              <w:spacing w:after="0"/>
              <w:rPr>
                <w:sz w:val="15"/>
                <w:szCs w:val="15"/>
                <w:color w:val="auto"/>
              </w:rPr>
            </w:pPr>
          </w:p>
        </w:tc>
        <w:tc>
          <w:tcPr>
            <w:tcW w:w="6280" w:type="dxa"/>
            <w:vAlign w:val="bottom"/>
            <w:gridSpan w:val="20"/>
          </w:tcPr>
          <w:p>
            <w:pPr>
              <w:spacing w:after="0" w:line="176" w:lineRule="exact"/>
              <w:rPr>
                <w:sz w:val="20"/>
                <w:szCs w:val="20"/>
                <w:color w:val="auto"/>
              </w:rPr>
            </w:pPr>
            <w:r>
              <w:rPr>
                <w:rFonts w:ascii="Arial" w:cs="Arial" w:eastAsia="Arial" w:hAnsi="Arial"/>
                <w:sz w:val="18"/>
                <w:szCs w:val="18"/>
                <w:b w:val="1"/>
                <w:bCs w:val="1"/>
                <w:color w:val="0000EE"/>
              </w:rPr>
              <w:t>Notes to the Interim Condensed Consolidated Financial Statements</w:t>
            </w:r>
          </w:p>
        </w:tc>
        <w:tc>
          <w:tcPr>
            <w:tcW w:w="450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152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89"/>
              </w:rPr>
              <w:t>Nature of Operations</w:t>
            </w:r>
          </w:p>
        </w:tc>
        <w:tc>
          <w:tcPr>
            <w:tcW w:w="4760" w:type="dxa"/>
            <w:vAlign w:val="bottom"/>
            <w:tcBorders>
              <w:bottom w:val="single" w:sz="8" w:color="CCEEFF"/>
            </w:tcBorders>
            <w:gridSpan w:val="12"/>
            <w:shd w:val="clear" w:color="auto" w:fill="CCEEFF"/>
          </w:tcPr>
          <w:p>
            <w:pPr>
              <w:spacing w:after="0"/>
              <w:rPr>
                <w:sz w:val="17"/>
                <w:szCs w:val="17"/>
                <w:color w:val="auto"/>
              </w:rPr>
            </w:pPr>
          </w:p>
        </w:tc>
        <w:tc>
          <w:tcPr>
            <w:tcW w:w="4500" w:type="dxa"/>
            <w:vAlign w:val="bottom"/>
            <w:tcBorders>
              <w:bottom w:val="single" w:sz="8" w:color="CCEEFF"/>
            </w:tcBorders>
            <w:shd w:val="clear" w:color="auto" w:fill="CCEEFF"/>
          </w:tcPr>
          <w:p>
            <w:pPr>
              <w:jc w:val="center"/>
              <w:ind w:left="3510"/>
              <w:spacing w:after="0" w:line="176" w:lineRule="exact"/>
              <w:rPr>
                <w:sz w:val="20"/>
                <w:szCs w:val="20"/>
                <w:color w:val="auto"/>
              </w:rPr>
            </w:pPr>
            <w:r>
              <w:rPr>
                <w:rFonts w:ascii="Arial" w:cs="Arial" w:eastAsia="Arial" w:hAnsi="Arial"/>
                <w:sz w:val="18"/>
                <w:szCs w:val="18"/>
                <w:color w:val="auto"/>
                <w:w w:val="99"/>
              </w:rPr>
              <w:t>7</w:t>
            </w: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rPr>
              <w:t>2.</w:t>
            </w:r>
          </w:p>
        </w:tc>
        <w:tc>
          <w:tcPr>
            <w:tcW w:w="6280" w:type="dxa"/>
            <w:vAlign w:val="bottom"/>
            <w:gridSpan w:val="20"/>
          </w:tcPr>
          <w:p>
            <w:pPr>
              <w:spacing w:after="0" w:line="176" w:lineRule="exact"/>
              <w:rPr>
                <w:sz w:val="20"/>
                <w:szCs w:val="20"/>
                <w:color w:val="auto"/>
              </w:rPr>
            </w:pPr>
            <w:r>
              <w:rPr>
                <w:rFonts w:ascii="Arial" w:cs="Arial" w:eastAsia="Arial" w:hAnsi="Arial"/>
                <w:sz w:val="18"/>
                <w:szCs w:val="18"/>
                <w:color w:val="0000EE"/>
              </w:rPr>
              <w:t>Liquidity</w:t>
            </w:r>
          </w:p>
        </w:tc>
        <w:tc>
          <w:tcPr>
            <w:tcW w:w="4500" w:type="dxa"/>
            <w:vAlign w:val="bottom"/>
          </w:tcPr>
          <w:p>
            <w:pPr>
              <w:jc w:val="center"/>
              <w:ind w:left="3510"/>
              <w:spacing w:after="0" w:line="176" w:lineRule="exact"/>
              <w:rPr>
                <w:sz w:val="20"/>
                <w:szCs w:val="20"/>
                <w:color w:val="auto"/>
              </w:rPr>
            </w:pPr>
            <w:r>
              <w:rPr>
                <w:rFonts w:ascii="Arial" w:cs="Arial" w:eastAsia="Arial" w:hAnsi="Arial"/>
                <w:sz w:val="18"/>
                <w:szCs w:val="18"/>
                <w:color w:val="auto"/>
                <w:w w:val="99"/>
              </w:rPr>
              <w:t>7</w:t>
            </w:r>
          </w:p>
        </w:tc>
      </w:tr>
      <w:tr>
        <w:trPr>
          <w:trHeight w:val="21"/>
        </w:trPr>
        <w:tc>
          <w:tcPr>
            <w:tcW w:w="4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w:t>
            </w:r>
          </w:p>
        </w:tc>
        <w:tc>
          <w:tcPr>
            <w:tcW w:w="62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Basis of Presentation and Significant Accounting Policies</w:t>
            </w:r>
          </w:p>
        </w:tc>
        <w:tc>
          <w:tcPr>
            <w:tcW w:w="4500" w:type="dxa"/>
            <w:vAlign w:val="bottom"/>
            <w:shd w:val="clear" w:color="auto" w:fill="CCEEFF"/>
          </w:tcPr>
          <w:p>
            <w:pPr>
              <w:jc w:val="center"/>
              <w:ind w:left="3510"/>
              <w:spacing w:after="0" w:line="176" w:lineRule="exact"/>
              <w:rPr>
                <w:sz w:val="20"/>
                <w:szCs w:val="20"/>
                <w:color w:val="auto"/>
              </w:rPr>
            </w:pPr>
            <w:r>
              <w:rPr>
                <w:rFonts w:ascii="Arial" w:cs="Arial" w:eastAsia="Arial" w:hAnsi="Arial"/>
                <w:sz w:val="18"/>
                <w:szCs w:val="18"/>
                <w:color w:val="auto"/>
                <w:w w:val="99"/>
              </w:rPr>
              <w:t>8</w:t>
            </w:r>
          </w:p>
        </w:tc>
      </w:tr>
      <w:tr>
        <w:trPr>
          <w:trHeight w:val="176"/>
        </w:trPr>
        <w:tc>
          <w:tcPr>
            <w:tcW w:w="4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4.</w:t>
            </w:r>
          </w:p>
        </w:tc>
        <w:tc>
          <w:tcPr>
            <w:tcW w:w="414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color w:val="0000EE"/>
              </w:rPr>
              <w:t>Significant Accounting Judgments and Estimates</w:t>
            </w:r>
          </w:p>
        </w:tc>
        <w:tc>
          <w:tcPr>
            <w:tcW w:w="2140" w:type="dxa"/>
            <w:vAlign w:val="bottom"/>
            <w:tcBorders>
              <w:top w:val="single" w:sz="8" w:color="CCEEFF"/>
            </w:tcBorders>
            <w:gridSpan w:val="2"/>
          </w:tcPr>
          <w:p>
            <w:pPr>
              <w:spacing w:after="0"/>
              <w:rPr>
                <w:sz w:val="15"/>
                <w:szCs w:val="15"/>
                <w:color w:val="auto"/>
              </w:rPr>
            </w:pPr>
          </w:p>
        </w:tc>
        <w:tc>
          <w:tcPr>
            <w:tcW w:w="4500" w:type="dxa"/>
            <w:vAlign w:val="bottom"/>
            <w:tcBorders>
              <w:top w:val="single" w:sz="8" w:color="CCEEFF"/>
            </w:tcBorders>
          </w:tcPr>
          <w:p>
            <w:pPr>
              <w:jc w:val="center"/>
              <w:ind w:left="3510"/>
              <w:spacing w:after="0" w:line="176" w:lineRule="exact"/>
              <w:rPr>
                <w:sz w:val="20"/>
                <w:szCs w:val="20"/>
                <w:color w:val="auto"/>
              </w:rPr>
            </w:pPr>
            <w:r>
              <w:rPr>
                <w:rFonts w:ascii="Arial" w:cs="Arial" w:eastAsia="Arial" w:hAnsi="Arial"/>
                <w:sz w:val="18"/>
                <w:szCs w:val="18"/>
                <w:color w:val="auto"/>
                <w:w w:val="89"/>
              </w:rPr>
              <w:t>10</w:t>
            </w:r>
          </w:p>
        </w:tc>
      </w:tr>
      <w:tr>
        <w:trPr>
          <w:trHeight w:val="20"/>
        </w:trPr>
        <w:tc>
          <w:tcPr>
            <w:tcW w:w="4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86"/>
              </w:rPr>
              <w:t>Other Assets</w:t>
            </w:r>
          </w:p>
        </w:tc>
        <w:tc>
          <w:tcPr>
            <w:tcW w:w="5360" w:type="dxa"/>
            <w:vAlign w:val="bottom"/>
            <w:tcBorders>
              <w:bottom w:val="single" w:sz="8" w:color="CCEEFF"/>
            </w:tcBorders>
            <w:gridSpan w:val="17"/>
            <w:shd w:val="clear" w:color="auto" w:fill="CCEEFF"/>
          </w:tcPr>
          <w:p>
            <w:pPr>
              <w:spacing w:after="0"/>
              <w:rPr>
                <w:sz w:val="17"/>
                <w:szCs w:val="17"/>
                <w:color w:val="auto"/>
              </w:rPr>
            </w:pPr>
          </w:p>
        </w:tc>
        <w:tc>
          <w:tcPr>
            <w:tcW w:w="4500" w:type="dxa"/>
            <w:vAlign w:val="bottom"/>
            <w:tcBorders>
              <w:bottom w:val="single" w:sz="8" w:color="CCEEFF"/>
            </w:tcBorders>
            <w:shd w:val="clear" w:color="auto" w:fill="CCEEFF"/>
          </w:tcPr>
          <w:p>
            <w:pPr>
              <w:jc w:val="center"/>
              <w:ind w:left="3510"/>
              <w:spacing w:after="0" w:line="176" w:lineRule="exact"/>
              <w:rPr>
                <w:sz w:val="20"/>
                <w:szCs w:val="20"/>
                <w:color w:val="auto"/>
              </w:rPr>
            </w:pPr>
            <w:r>
              <w:rPr>
                <w:rFonts w:ascii="Arial" w:cs="Arial" w:eastAsia="Arial" w:hAnsi="Arial"/>
                <w:sz w:val="18"/>
                <w:szCs w:val="18"/>
                <w:color w:val="auto"/>
                <w:w w:val="89"/>
              </w:rPr>
              <w:t>10</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6.</w:t>
            </w:r>
          </w:p>
        </w:tc>
        <w:tc>
          <w:tcPr>
            <w:tcW w:w="6280" w:type="dxa"/>
            <w:vAlign w:val="bottom"/>
            <w:gridSpan w:val="20"/>
          </w:tcPr>
          <w:p>
            <w:pPr>
              <w:spacing w:after="0" w:line="176" w:lineRule="exact"/>
              <w:rPr>
                <w:sz w:val="20"/>
                <w:szCs w:val="20"/>
                <w:color w:val="auto"/>
              </w:rPr>
            </w:pPr>
            <w:r>
              <w:rPr>
                <w:rFonts w:ascii="Arial" w:cs="Arial" w:eastAsia="Arial" w:hAnsi="Arial"/>
                <w:sz w:val="18"/>
                <w:szCs w:val="18"/>
                <w:color w:val="0000EE"/>
              </w:rPr>
              <w:t>Digital Assets</w:t>
            </w:r>
          </w:p>
        </w:tc>
        <w:tc>
          <w:tcPr>
            <w:tcW w:w="4500" w:type="dxa"/>
            <w:vAlign w:val="bottom"/>
          </w:tcPr>
          <w:p>
            <w:pPr>
              <w:jc w:val="center"/>
              <w:ind w:left="3510"/>
              <w:spacing w:after="0" w:line="176" w:lineRule="exact"/>
              <w:rPr>
                <w:sz w:val="20"/>
                <w:szCs w:val="20"/>
                <w:color w:val="auto"/>
              </w:rPr>
            </w:pPr>
            <w:r>
              <w:rPr>
                <w:rFonts w:ascii="Arial" w:cs="Arial" w:eastAsia="Arial" w:hAnsi="Arial"/>
                <w:sz w:val="18"/>
                <w:szCs w:val="18"/>
                <w:color w:val="auto"/>
                <w:w w:val="89"/>
              </w:rPr>
              <w:t>11</w:t>
            </w:r>
          </w:p>
        </w:tc>
      </w:tr>
      <w:tr>
        <w:trPr>
          <w:trHeight w:val="21"/>
        </w:trPr>
        <w:tc>
          <w:tcPr>
            <w:tcW w:w="4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62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Property, Plant and Equipment</w:t>
            </w:r>
          </w:p>
        </w:tc>
        <w:tc>
          <w:tcPr>
            <w:tcW w:w="4500" w:type="dxa"/>
            <w:vAlign w:val="bottom"/>
            <w:shd w:val="clear" w:color="auto" w:fill="CCEEFF"/>
          </w:tcPr>
          <w:p>
            <w:pPr>
              <w:jc w:val="center"/>
              <w:ind w:left="3510"/>
              <w:spacing w:after="0" w:line="176" w:lineRule="exact"/>
              <w:rPr>
                <w:sz w:val="20"/>
                <w:szCs w:val="20"/>
                <w:color w:val="auto"/>
              </w:rPr>
            </w:pPr>
            <w:r>
              <w:rPr>
                <w:rFonts w:ascii="Arial" w:cs="Arial" w:eastAsia="Arial" w:hAnsi="Arial"/>
                <w:sz w:val="18"/>
                <w:szCs w:val="18"/>
                <w:color w:val="auto"/>
                <w:w w:val="89"/>
              </w:rPr>
              <w:t>12</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rPr>
              <w:t>8.</w:t>
            </w:r>
          </w:p>
        </w:tc>
        <w:tc>
          <w:tcPr>
            <w:tcW w:w="6280" w:type="dxa"/>
            <w:vAlign w:val="bottom"/>
            <w:gridSpan w:val="20"/>
          </w:tcPr>
          <w:p>
            <w:pPr>
              <w:spacing w:after="0" w:line="176" w:lineRule="exact"/>
              <w:rPr>
                <w:sz w:val="20"/>
                <w:szCs w:val="20"/>
                <w:color w:val="auto"/>
              </w:rPr>
            </w:pPr>
            <w:r>
              <w:rPr>
                <w:rFonts w:ascii="Arial" w:cs="Arial" w:eastAsia="Arial" w:hAnsi="Arial"/>
                <w:sz w:val="18"/>
                <w:szCs w:val="18"/>
                <w:color w:val="0000EE"/>
              </w:rPr>
              <w:t>Long-term Deposits, Equipment Prepayments, Other and Commitments</w:t>
            </w:r>
          </w:p>
        </w:tc>
        <w:tc>
          <w:tcPr>
            <w:tcW w:w="4500" w:type="dxa"/>
            <w:vAlign w:val="bottom"/>
          </w:tcPr>
          <w:p>
            <w:pPr>
              <w:jc w:val="center"/>
              <w:ind w:left="3510"/>
              <w:spacing w:after="0" w:line="176" w:lineRule="exact"/>
              <w:rPr>
                <w:sz w:val="20"/>
                <w:szCs w:val="20"/>
                <w:color w:val="auto"/>
              </w:rPr>
            </w:pPr>
            <w:r>
              <w:rPr>
                <w:rFonts w:ascii="Arial" w:cs="Arial" w:eastAsia="Arial" w:hAnsi="Arial"/>
                <w:sz w:val="18"/>
                <w:szCs w:val="18"/>
                <w:color w:val="auto"/>
                <w:w w:val="89"/>
              </w:rPr>
              <w:t>14</w:t>
            </w:r>
          </w:p>
        </w:tc>
      </w:tr>
      <w:tr>
        <w:trPr>
          <w:trHeight w:val="21"/>
        </w:trPr>
        <w:tc>
          <w:tcPr>
            <w:tcW w:w="4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w:t>
            </w:r>
          </w:p>
        </w:tc>
        <w:tc>
          <w:tcPr>
            <w:tcW w:w="282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color w:val="0000EE"/>
                <w:w w:val="89"/>
              </w:rPr>
              <w:t>Trade Payables and Accrued Liabilities</w:t>
            </w:r>
          </w:p>
        </w:tc>
        <w:tc>
          <w:tcPr>
            <w:tcW w:w="3460" w:type="dxa"/>
            <w:vAlign w:val="bottom"/>
            <w:tcBorders>
              <w:bottom w:val="single" w:sz="8" w:color="CCEEFF"/>
            </w:tcBorders>
            <w:gridSpan w:val="6"/>
            <w:shd w:val="clear" w:color="auto" w:fill="CCEEFF"/>
          </w:tcPr>
          <w:p>
            <w:pPr>
              <w:spacing w:after="0"/>
              <w:rPr>
                <w:sz w:val="17"/>
                <w:szCs w:val="17"/>
                <w:color w:val="auto"/>
              </w:rPr>
            </w:pPr>
          </w:p>
        </w:tc>
        <w:tc>
          <w:tcPr>
            <w:tcW w:w="4500" w:type="dxa"/>
            <w:vAlign w:val="bottom"/>
            <w:tcBorders>
              <w:bottom w:val="single" w:sz="8" w:color="CCEEFF"/>
            </w:tcBorders>
            <w:shd w:val="clear" w:color="auto" w:fill="CCEEFF"/>
          </w:tcPr>
          <w:p>
            <w:pPr>
              <w:jc w:val="center"/>
              <w:ind w:left="3510"/>
              <w:spacing w:after="0" w:line="176" w:lineRule="exact"/>
              <w:rPr>
                <w:sz w:val="20"/>
                <w:szCs w:val="20"/>
                <w:color w:val="auto"/>
              </w:rPr>
            </w:pPr>
            <w:r>
              <w:rPr>
                <w:rFonts w:ascii="Arial" w:cs="Arial" w:eastAsia="Arial" w:hAnsi="Arial"/>
                <w:sz w:val="18"/>
                <w:szCs w:val="18"/>
                <w:color w:val="auto"/>
                <w:w w:val="89"/>
              </w:rPr>
              <w:t>14</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10.</w:t>
            </w:r>
          </w:p>
        </w:tc>
        <w:tc>
          <w:tcPr>
            <w:tcW w:w="6280" w:type="dxa"/>
            <w:vAlign w:val="bottom"/>
            <w:gridSpan w:val="20"/>
          </w:tcPr>
          <w:p>
            <w:pPr>
              <w:spacing w:after="0" w:line="176" w:lineRule="exact"/>
              <w:rPr>
                <w:sz w:val="20"/>
                <w:szCs w:val="20"/>
                <w:color w:val="auto"/>
              </w:rPr>
            </w:pPr>
            <w:r>
              <w:rPr>
                <w:rFonts w:ascii="Arial" w:cs="Arial" w:eastAsia="Arial" w:hAnsi="Arial"/>
                <w:sz w:val="18"/>
                <w:szCs w:val="18"/>
                <w:color w:val="0000EE"/>
              </w:rPr>
              <w:t>Long-term Debt</w:t>
            </w:r>
          </w:p>
        </w:tc>
        <w:tc>
          <w:tcPr>
            <w:tcW w:w="4500" w:type="dxa"/>
            <w:vAlign w:val="bottom"/>
          </w:tcPr>
          <w:p>
            <w:pPr>
              <w:jc w:val="center"/>
              <w:ind w:left="3510"/>
              <w:spacing w:after="0" w:line="176" w:lineRule="exact"/>
              <w:rPr>
                <w:sz w:val="20"/>
                <w:szCs w:val="20"/>
                <w:color w:val="auto"/>
              </w:rPr>
            </w:pPr>
            <w:r>
              <w:rPr>
                <w:rFonts w:ascii="Arial" w:cs="Arial" w:eastAsia="Arial" w:hAnsi="Arial"/>
                <w:sz w:val="18"/>
                <w:szCs w:val="18"/>
                <w:color w:val="auto"/>
                <w:w w:val="89"/>
              </w:rPr>
              <w:t>15</w:t>
            </w:r>
          </w:p>
        </w:tc>
      </w:tr>
      <w:tr>
        <w:trPr>
          <w:trHeight w:val="20"/>
        </w:trPr>
        <w:tc>
          <w:tcPr>
            <w:tcW w:w="4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62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Leases</w:t>
            </w:r>
          </w:p>
        </w:tc>
        <w:tc>
          <w:tcPr>
            <w:tcW w:w="4500" w:type="dxa"/>
            <w:vAlign w:val="bottom"/>
            <w:shd w:val="clear" w:color="auto" w:fill="CCEEFF"/>
          </w:tcPr>
          <w:p>
            <w:pPr>
              <w:jc w:val="center"/>
              <w:ind w:left="3510"/>
              <w:spacing w:after="0" w:line="176" w:lineRule="exact"/>
              <w:rPr>
                <w:sz w:val="20"/>
                <w:szCs w:val="20"/>
                <w:color w:val="auto"/>
              </w:rPr>
            </w:pPr>
            <w:r>
              <w:rPr>
                <w:rFonts w:ascii="Arial" w:cs="Arial" w:eastAsia="Arial" w:hAnsi="Arial"/>
                <w:sz w:val="18"/>
                <w:szCs w:val="18"/>
                <w:color w:val="auto"/>
                <w:w w:val="89"/>
              </w:rPr>
              <w:t>17</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rPr>
              <w:t>12.</w:t>
            </w:r>
          </w:p>
        </w:tc>
        <w:tc>
          <w:tcPr>
            <w:tcW w:w="6280" w:type="dxa"/>
            <w:vAlign w:val="bottom"/>
            <w:gridSpan w:val="20"/>
          </w:tcPr>
          <w:p>
            <w:pPr>
              <w:spacing w:after="0" w:line="176" w:lineRule="exact"/>
              <w:rPr>
                <w:sz w:val="20"/>
                <w:szCs w:val="20"/>
                <w:color w:val="auto"/>
              </w:rPr>
            </w:pPr>
            <w:r>
              <w:rPr>
                <w:rFonts w:ascii="Arial" w:cs="Arial" w:eastAsia="Arial" w:hAnsi="Arial"/>
                <w:sz w:val="18"/>
                <w:szCs w:val="18"/>
                <w:color w:val="0000EE"/>
              </w:rPr>
              <w:t>Income Taxes</w:t>
            </w:r>
          </w:p>
        </w:tc>
        <w:tc>
          <w:tcPr>
            <w:tcW w:w="4500" w:type="dxa"/>
            <w:vAlign w:val="bottom"/>
          </w:tcPr>
          <w:p>
            <w:pPr>
              <w:jc w:val="center"/>
              <w:ind w:left="3510"/>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4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13.</w:t>
            </w:r>
          </w:p>
        </w:tc>
        <w:tc>
          <w:tcPr>
            <w:tcW w:w="198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0"/>
              </w:rPr>
              <w:t>Asset Retirement Provision</w:t>
            </w:r>
          </w:p>
        </w:tc>
        <w:tc>
          <w:tcPr>
            <w:tcW w:w="4300" w:type="dxa"/>
            <w:vAlign w:val="bottom"/>
            <w:tcBorders>
              <w:bottom w:val="single" w:sz="8" w:color="CCEEFF"/>
            </w:tcBorders>
            <w:gridSpan w:val="9"/>
            <w:shd w:val="clear" w:color="auto" w:fill="CCEEFF"/>
          </w:tcPr>
          <w:p>
            <w:pPr>
              <w:spacing w:after="0"/>
              <w:rPr>
                <w:sz w:val="17"/>
                <w:szCs w:val="17"/>
                <w:color w:val="auto"/>
              </w:rPr>
            </w:pPr>
          </w:p>
        </w:tc>
        <w:tc>
          <w:tcPr>
            <w:tcW w:w="4500" w:type="dxa"/>
            <w:vAlign w:val="bottom"/>
            <w:tcBorders>
              <w:bottom w:val="single" w:sz="8" w:color="CCEEFF"/>
            </w:tcBorders>
            <w:shd w:val="clear" w:color="auto" w:fill="CCEEFF"/>
          </w:tcPr>
          <w:p>
            <w:pPr>
              <w:jc w:val="center"/>
              <w:ind w:left="3510"/>
              <w:spacing w:after="0" w:line="176" w:lineRule="exact"/>
              <w:rPr>
                <w:sz w:val="20"/>
                <w:szCs w:val="20"/>
                <w:color w:val="auto"/>
              </w:rPr>
            </w:pPr>
            <w:r>
              <w:rPr>
                <w:rFonts w:ascii="Arial" w:cs="Arial" w:eastAsia="Arial" w:hAnsi="Arial"/>
                <w:sz w:val="18"/>
                <w:szCs w:val="18"/>
                <w:color w:val="auto"/>
                <w:w w:val="89"/>
              </w:rPr>
              <w:t>19</w:t>
            </w: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14.</w:t>
            </w:r>
          </w:p>
        </w:tc>
        <w:tc>
          <w:tcPr>
            <w:tcW w:w="6280" w:type="dxa"/>
            <w:vAlign w:val="bottom"/>
            <w:gridSpan w:val="20"/>
          </w:tcPr>
          <w:p>
            <w:pPr>
              <w:spacing w:after="0" w:line="176" w:lineRule="exact"/>
              <w:rPr>
                <w:sz w:val="20"/>
                <w:szCs w:val="20"/>
                <w:color w:val="auto"/>
              </w:rPr>
            </w:pPr>
            <w:r>
              <w:rPr>
                <w:rFonts w:ascii="Arial" w:cs="Arial" w:eastAsia="Arial" w:hAnsi="Arial"/>
                <w:sz w:val="18"/>
                <w:szCs w:val="18"/>
                <w:color w:val="0000EE"/>
              </w:rPr>
              <w:t>Share Capital</w:t>
            </w:r>
          </w:p>
        </w:tc>
        <w:tc>
          <w:tcPr>
            <w:tcW w:w="4500" w:type="dxa"/>
            <w:vAlign w:val="bottom"/>
          </w:tcPr>
          <w:p>
            <w:pPr>
              <w:jc w:val="center"/>
              <w:ind w:left="3510"/>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4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15.</w:t>
            </w:r>
          </w:p>
        </w:tc>
        <w:tc>
          <w:tcPr>
            <w:tcW w:w="62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Financial Instruments</w:t>
            </w:r>
          </w:p>
        </w:tc>
        <w:tc>
          <w:tcPr>
            <w:tcW w:w="4500" w:type="dxa"/>
            <w:vAlign w:val="bottom"/>
            <w:shd w:val="clear" w:color="auto" w:fill="CCEEFF"/>
          </w:tcPr>
          <w:p>
            <w:pPr>
              <w:jc w:val="center"/>
              <w:ind w:left="3510"/>
              <w:spacing w:after="0" w:line="176" w:lineRule="exact"/>
              <w:rPr>
                <w:sz w:val="20"/>
                <w:szCs w:val="20"/>
                <w:color w:val="auto"/>
              </w:rPr>
            </w:pPr>
            <w:r>
              <w:rPr>
                <w:rFonts w:ascii="Arial" w:cs="Arial" w:eastAsia="Arial" w:hAnsi="Arial"/>
                <w:sz w:val="18"/>
                <w:szCs w:val="18"/>
                <w:color w:val="auto"/>
                <w:w w:val="89"/>
              </w:rPr>
              <w:t>21</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16.</w:t>
            </w:r>
          </w:p>
        </w:tc>
        <w:tc>
          <w:tcPr>
            <w:tcW w:w="6280" w:type="dxa"/>
            <w:vAlign w:val="bottom"/>
            <w:gridSpan w:val="20"/>
          </w:tcPr>
          <w:p>
            <w:pPr>
              <w:spacing w:after="0" w:line="176" w:lineRule="exact"/>
              <w:rPr>
                <w:sz w:val="20"/>
                <w:szCs w:val="20"/>
                <w:color w:val="auto"/>
              </w:rPr>
            </w:pPr>
            <w:r>
              <w:rPr>
                <w:rFonts w:ascii="Arial" w:cs="Arial" w:eastAsia="Arial" w:hAnsi="Arial"/>
                <w:sz w:val="18"/>
                <w:szCs w:val="18"/>
                <w:color w:val="0000EE"/>
              </w:rPr>
              <w:t>Transactions and Balances with Related Parties</w:t>
            </w:r>
          </w:p>
        </w:tc>
        <w:tc>
          <w:tcPr>
            <w:tcW w:w="4500" w:type="dxa"/>
            <w:vAlign w:val="bottom"/>
          </w:tcPr>
          <w:p>
            <w:pPr>
              <w:jc w:val="center"/>
              <w:ind w:left="3510"/>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4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17.</w:t>
            </w:r>
          </w:p>
        </w:tc>
        <w:tc>
          <w:tcPr>
            <w:tcW w:w="628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Net Earnings (Loss) Per Share</w:t>
            </w:r>
          </w:p>
        </w:tc>
        <w:tc>
          <w:tcPr>
            <w:tcW w:w="4500" w:type="dxa"/>
            <w:vAlign w:val="bottom"/>
            <w:shd w:val="clear" w:color="auto" w:fill="CCEEFF"/>
          </w:tcPr>
          <w:p>
            <w:pPr>
              <w:jc w:val="center"/>
              <w:ind w:left="3510"/>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4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18.</w:t>
            </w:r>
          </w:p>
        </w:tc>
        <w:tc>
          <w:tcPr>
            <w:tcW w:w="218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color w:val="0000EE"/>
              </w:rPr>
              <w:t>Share-based Payment</w:t>
            </w:r>
          </w:p>
        </w:tc>
        <w:tc>
          <w:tcPr>
            <w:tcW w:w="4100" w:type="dxa"/>
            <w:vAlign w:val="bottom"/>
            <w:tcBorders>
              <w:top w:val="single" w:sz="8" w:color="CCEEFF"/>
            </w:tcBorders>
            <w:gridSpan w:val="8"/>
          </w:tcPr>
          <w:p>
            <w:pPr>
              <w:spacing w:after="0"/>
              <w:rPr>
                <w:sz w:val="15"/>
                <w:szCs w:val="15"/>
                <w:color w:val="auto"/>
              </w:rPr>
            </w:pPr>
          </w:p>
        </w:tc>
        <w:tc>
          <w:tcPr>
            <w:tcW w:w="4500" w:type="dxa"/>
            <w:vAlign w:val="bottom"/>
            <w:tcBorders>
              <w:top w:val="single" w:sz="8" w:color="CCEEFF"/>
            </w:tcBorders>
          </w:tcPr>
          <w:p>
            <w:pPr>
              <w:jc w:val="center"/>
              <w:ind w:left="351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4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01"/>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19.</w:t>
            </w:r>
          </w:p>
        </w:tc>
        <w:tc>
          <w:tcPr>
            <w:tcW w:w="628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1"/>
              </w:rPr>
              <w:t>Additional Details to the Statement of Profit or Loss and Comprehensive Profit or Loss</w:t>
            </w:r>
          </w:p>
        </w:tc>
        <w:tc>
          <w:tcPr>
            <w:tcW w:w="4500" w:type="dxa"/>
            <w:vAlign w:val="bottom"/>
            <w:tcBorders>
              <w:bottom w:val="single" w:sz="8" w:color="CCEEFF"/>
            </w:tcBorders>
            <w:shd w:val="clear" w:color="auto" w:fill="CCEEFF"/>
          </w:tcPr>
          <w:p>
            <w:pPr>
              <w:jc w:val="center"/>
              <w:ind w:left="3510"/>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4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20.</w:t>
            </w:r>
          </w:p>
        </w:tc>
        <w:tc>
          <w:tcPr>
            <w:tcW w:w="6280" w:type="dxa"/>
            <w:vAlign w:val="bottom"/>
            <w:tcBorders>
              <w:top w:val="single" w:sz="8" w:color="CCEEFF"/>
            </w:tcBorders>
            <w:gridSpan w:val="20"/>
          </w:tcPr>
          <w:p>
            <w:pPr>
              <w:spacing w:after="0" w:line="176" w:lineRule="exact"/>
              <w:rPr>
                <w:sz w:val="20"/>
                <w:szCs w:val="20"/>
                <w:color w:val="auto"/>
              </w:rPr>
            </w:pPr>
            <w:r>
              <w:rPr>
                <w:rFonts w:ascii="Arial" w:cs="Arial" w:eastAsia="Arial" w:hAnsi="Arial"/>
                <w:sz w:val="18"/>
                <w:szCs w:val="18"/>
                <w:color w:val="0000EE"/>
              </w:rPr>
              <w:t>Geographical Information</w:t>
            </w:r>
          </w:p>
        </w:tc>
        <w:tc>
          <w:tcPr>
            <w:tcW w:w="4500" w:type="dxa"/>
            <w:vAlign w:val="bottom"/>
            <w:tcBorders>
              <w:top w:val="single" w:sz="8" w:color="CCEEFF"/>
            </w:tcBorders>
          </w:tcPr>
          <w:p>
            <w:pPr>
              <w:jc w:val="center"/>
              <w:ind w:left="3510"/>
              <w:spacing w:after="0" w:line="176" w:lineRule="exact"/>
              <w:rPr>
                <w:sz w:val="20"/>
                <w:szCs w:val="20"/>
                <w:color w:val="auto"/>
              </w:rPr>
            </w:pPr>
            <w:r>
              <w:rPr>
                <w:rFonts w:ascii="Arial" w:cs="Arial" w:eastAsia="Arial" w:hAnsi="Arial"/>
                <w:sz w:val="18"/>
                <w:szCs w:val="18"/>
                <w:color w:val="auto"/>
                <w:w w:val="89"/>
              </w:rPr>
              <w:t>27</w:t>
            </w:r>
          </w:p>
        </w:tc>
      </w:tr>
      <w:tr>
        <w:trPr>
          <w:trHeight w:val="21"/>
        </w:trPr>
        <w:tc>
          <w:tcPr>
            <w:tcW w:w="4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370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1"/>
              </w:rPr>
              <w:t>Additional Details to the Statements of Cash Flows</w:t>
            </w:r>
          </w:p>
        </w:tc>
        <w:tc>
          <w:tcPr>
            <w:tcW w:w="2580" w:type="dxa"/>
            <w:vAlign w:val="bottom"/>
            <w:tcBorders>
              <w:bottom w:val="single" w:sz="8" w:color="CCEEFF"/>
            </w:tcBorders>
            <w:gridSpan w:val="3"/>
            <w:shd w:val="clear" w:color="auto" w:fill="CCEEFF"/>
          </w:tcPr>
          <w:p>
            <w:pPr>
              <w:spacing w:after="0"/>
              <w:rPr>
                <w:sz w:val="17"/>
                <w:szCs w:val="17"/>
                <w:color w:val="auto"/>
              </w:rPr>
            </w:pPr>
          </w:p>
        </w:tc>
        <w:tc>
          <w:tcPr>
            <w:tcW w:w="4500" w:type="dxa"/>
            <w:vAlign w:val="bottom"/>
            <w:tcBorders>
              <w:bottom w:val="single" w:sz="8" w:color="CCEEFF"/>
            </w:tcBorders>
            <w:shd w:val="clear" w:color="auto" w:fill="CCEEFF"/>
          </w:tcPr>
          <w:p>
            <w:pPr>
              <w:jc w:val="center"/>
              <w:ind w:left="3510"/>
              <w:spacing w:after="0" w:line="176" w:lineRule="exact"/>
              <w:rPr>
                <w:sz w:val="20"/>
                <w:szCs w:val="20"/>
                <w:color w:val="auto"/>
              </w:rPr>
            </w:pPr>
            <w:r>
              <w:rPr>
                <w:rFonts w:ascii="Arial" w:cs="Arial" w:eastAsia="Arial" w:hAnsi="Arial"/>
                <w:sz w:val="18"/>
                <w:szCs w:val="18"/>
                <w:color w:val="auto"/>
                <w:w w:val="89"/>
              </w:rPr>
              <w:t>28</w:t>
            </w: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6280" w:type="dxa"/>
            <w:vAlign w:val="bottom"/>
            <w:gridSpan w:val="20"/>
          </w:tcPr>
          <w:p>
            <w:pPr>
              <w:spacing w:after="0" w:line="176" w:lineRule="exact"/>
              <w:rPr>
                <w:sz w:val="20"/>
                <w:szCs w:val="20"/>
                <w:color w:val="auto"/>
              </w:rPr>
            </w:pPr>
            <w:r>
              <w:rPr>
                <w:rFonts w:ascii="Arial" w:cs="Arial" w:eastAsia="Arial" w:hAnsi="Arial"/>
                <w:sz w:val="18"/>
                <w:szCs w:val="18"/>
                <w:color w:val="0000EE"/>
              </w:rPr>
              <w:t>Subsequent Events</w:t>
            </w:r>
          </w:p>
        </w:tc>
        <w:tc>
          <w:tcPr>
            <w:tcW w:w="4500" w:type="dxa"/>
            <w:vAlign w:val="bottom"/>
          </w:tcPr>
          <w:p>
            <w:pPr>
              <w:jc w:val="center"/>
              <w:ind w:left="3510"/>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right="5420"/>
        <w:spacing w:after="0" w:line="260" w:lineRule="auto"/>
        <w:rPr>
          <w:sz w:val="20"/>
          <w:szCs w:val="20"/>
          <w:color w:val="auto"/>
        </w:rPr>
      </w:pPr>
      <w:r>
        <w:rPr>
          <w:rFonts w:ascii="Arial" w:cs="Arial" w:eastAsia="Arial" w:hAnsi="Arial"/>
          <w:sz w:val="18"/>
          <w:szCs w:val="18"/>
          <w:b w:val="1"/>
          <w:bCs w:val="1"/>
          <w:color w:val="auto"/>
        </w:rPr>
        <w:t xml:space="preserve">INTERIM CONSOLIDATED STATEMENTS OF FINANCIAL POSITION </w:t>
      </w:r>
      <w:r>
        <w:rPr>
          <w:rFonts w:ascii="Arial" w:cs="Arial" w:eastAsia="Arial" w:hAnsi="Arial"/>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8240"/>
        <w:spacing w:after="0"/>
        <w:tabs>
          <w:tab w:leader="none" w:pos="9660" w:val="left"/>
        </w:tabs>
        <w:rPr>
          <w:sz w:val="20"/>
          <w:szCs w:val="20"/>
          <w:color w:val="auto"/>
        </w:rPr>
      </w:pPr>
      <w:r>
        <w:rPr>
          <w:rFonts w:ascii="Arial" w:cs="Arial" w:eastAsia="Arial" w:hAnsi="Arial"/>
          <w:sz w:val="18"/>
          <w:szCs w:val="18"/>
          <w:b w:val="1"/>
          <w:bCs w:val="1"/>
          <w:color w:val="auto"/>
        </w:rPr>
        <w:t>As of March 31,</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0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Notes</w:t>
            </w:r>
          </w:p>
        </w:tc>
        <w:tc>
          <w:tcPr>
            <w:tcW w:w="15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195"/>
        </w:trPr>
        <w:tc>
          <w:tcPr>
            <w:tcW w:w="5900" w:type="dxa"/>
            <w:vAlign w:val="bottom"/>
          </w:tcPr>
          <w:p>
            <w:pPr>
              <w:spacing w:after="0" w:line="195" w:lineRule="exact"/>
              <w:rPr>
                <w:sz w:val="20"/>
                <w:szCs w:val="20"/>
                <w:color w:val="auto"/>
              </w:rPr>
            </w:pPr>
            <w:r>
              <w:rPr>
                <w:rFonts w:ascii="Arial" w:cs="Arial" w:eastAsia="Arial" w:hAnsi="Arial"/>
                <w:sz w:val="18"/>
                <w:szCs w:val="18"/>
                <w:b w:val="1"/>
                <w:bCs w:val="1"/>
                <w:color w:val="auto"/>
              </w:rPr>
              <w:t>Assets</w:t>
            </w:r>
          </w:p>
        </w:tc>
        <w:tc>
          <w:tcPr>
            <w:tcW w:w="2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Current</w:t>
            </w:r>
          </w:p>
        </w:tc>
        <w:tc>
          <w:tcPr>
            <w:tcW w:w="2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29,378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30,887</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2560" w:type="dxa"/>
            <w:vAlign w:val="bottom"/>
          </w:tcPr>
          <w:p>
            <w:pPr>
              <w:spacing w:after="0"/>
              <w:rPr>
                <w:sz w:val="18"/>
                <w:szCs w:val="18"/>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374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701</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4,388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4,512</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Short-term prepaid expenses</w:t>
            </w:r>
          </w:p>
        </w:tc>
        <w:tc>
          <w:tcPr>
            <w:tcW w:w="2560" w:type="dxa"/>
            <w:vAlign w:val="bottom"/>
          </w:tcPr>
          <w:p>
            <w:pPr>
              <w:spacing w:after="0"/>
              <w:rPr>
                <w:sz w:val="18"/>
                <w:szCs w:val="18"/>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13,409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12,921</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receivable</w:t>
            </w: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12,331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12,142</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Digital assets</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6</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10,257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4,635</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 - pledged as collateral</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6, 10</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2,122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2,070</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Assets held for sale</w:t>
            </w:r>
          </w:p>
        </w:tc>
        <w:tc>
          <w:tcPr>
            <w:tcW w:w="25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1,654</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1,220</w:t>
            </w:r>
          </w:p>
        </w:tc>
      </w:tr>
      <w:tr>
        <w:trPr>
          <w:trHeight w:val="210"/>
        </w:trPr>
        <w:tc>
          <w:tcPr>
            <w:tcW w:w="59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73,913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69,088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Non-current</w:t>
            </w:r>
          </w:p>
        </w:tc>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7, 20</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210,990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219,428</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11</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15,419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16,364</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deposits, equipment prepayments and other</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31,634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38,185</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Intangible assets</w:t>
            </w:r>
          </w:p>
        </w:tc>
        <w:tc>
          <w:tcPr>
            <w:tcW w:w="25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26</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331,982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343,098</w:t>
            </w: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Trade payables and accrued liabilities</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9</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19,586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20,541</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21,026</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43,054</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Current portion of lease liabilities</w:t>
            </w:r>
          </w:p>
        </w:tc>
        <w:tc>
          <w:tcPr>
            <w:tcW w:w="2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11</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2,888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3,649</w:t>
            </w:r>
          </w:p>
        </w:tc>
      </w:tr>
      <w:tr>
        <w:trPr>
          <w:trHeight w:val="210"/>
        </w:trPr>
        <w:tc>
          <w:tcPr>
            <w:tcW w:w="59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43,500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67,244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Non-current</w:t>
            </w:r>
          </w:p>
        </w:tc>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67</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4,093</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11</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13,536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14,215</w:t>
            </w:r>
          </w:p>
        </w:tc>
      </w:tr>
      <w:tr>
        <w:trPr>
          <w:trHeight w:val="216"/>
        </w:trPr>
        <w:tc>
          <w:tcPr>
            <w:tcW w:w="5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Asset retirement provision</w:t>
            </w:r>
          </w:p>
        </w:tc>
        <w:tc>
          <w:tcPr>
            <w:tcW w:w="2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w:t>
            </w: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2,219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r>
      <w:tr>
        <w:trPr>
          <w:trHeight w:val="217"/>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25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59,322</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87,531</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Share capital</w:t>
            </w:r>
          </w:p>
        </w:tc>
        <w:tc>
          <w:tcPr>
            <w:tcW w:w="2560" w:type="dxa"/>
            <w:vAlign w:val="bottom"/>
          </w:tcPr>
          <w:p>
            <w:pPr>
              <w:spacing w:after="0"/>
              <w:rPr>
                <w:sz w:val="18"/>
                <w:szCs w:val="18"/>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444,960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429,120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Contributed surplus</w:t>
            </w: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68,019</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65,512</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Revaluation surplus</w:t>
            </w:r>
          </w:p>
        </w:tc>
        <w:tc>
          <w:tcPr>
            <w:tcW w:w="2560" w:type="dxa"/>
            <w:vAlign w:val="bottom"/>
          </w:tcPr>
          <w:p>
            <w:pPr>
              <w:spacing w:after="0"/>
              <w:rPr>
                <w:sz w:val="18"/>
                <w:szCs w:val="18"/>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1,225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5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(241,544)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(239,065)</w:t>
            </w:r>
          </w:p>
        </w:tc>
      </w:tr>
      <w:tr>
        <w:trPr>
          <w:trHeight w:val="209"/>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w:t>
            </w:r>
          </w:p>
        </w:tc>
        <w:tc>
          <w:tcPr>
            <w:tcW w:w="25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272,660</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255,567</w:t>
            </w:r>
          </w:p>
        </w:tc>
      </w:tr>
      <w:tr>
        <w:trPr>
          <w:trHeight w:val="217"/>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5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331,982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343,098</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5"/>
          </w:tcPr>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59"/>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May 12, 2023</w:t>
            </w:r>
          </w:p>
        </w:tc>
        <w:tc>
          <w:tcPr>
            <w:tcW w:w="10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/s/ Nicolas Bonta</w:t>
            </w:r>
          </w:p>
        </w:tc>
        <w:tc>
          <w:tcPr>
            <w:tcW w:w="12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/s/ Geoffrey Morphy</w:t>
            </w:r>
          </w:p>
        </w:tc>
        <w:tc>
          <w:tcPr>
            <w:tcW w:w="10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6"/>
              </w:rPr>
              <w:t>/s/ Jeffrey Lucas</w:t>
            </w:r>
          </w:p>
        </w:tc>
      </w:tr>
      <w:tr>
        <w:trPr>
          <w:trHeight w:val="191"/>
        </w:trPr>
        <w:tc>
          <w:tcPr>
            <w:tcW w:w="28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Date of approval of the financial</w:t>
            </w:r>
          </w:p>
        </w:tc>
        <w:tc>
          <w:tcPr>
            <w:tcW w:w="100" w:type="dxa"/>
            <w:vAlign w:val="bottom"/>
          </w:tcPr>
          <w:p>
            <w:pPr>
              <w:spacing w:after="0"/>
              <w:rPr>
                <w:sz w:val="16"/>
                <w:szCs w:val="16"/>
                <w:color w:val="auto"/>
              </w:rPr>
            </w:pPr>
          </w:p>
        </w:tc>
        <w:tc>
          <w:tcPr>
            <w:tcW w:w="2700" w:type="dxa"/>
            <w:vAlign w:val="bottom"/>
          </w:tcPr>
          <w:p>
            <w:pPr>
              <w:ind w:left="380"/>
              <w:spacing w:after="0" w:line="191" w:lineRule="exact"/>
              <w:rPr>
                <w:sz w:val="20"/>
                <w:szCs w:val="20"/>
                <w:color w:val="auto"/>
              </w:rPr>
            </w:pPr>
            <w:r>
              <w:rPr>
                <w:rFonts w:ascii="Arial" w:cs="Arial" w:eastAsia="Arial" w:hAnsi="Arial"/>
                <w:sz w:val="18"/>
                <w:szCs w:val="18"/>
                <w:b w:val="1"/>
                <w:bCs w:val="1"/>
                <w:color w:val="auto"/>
              </w:rPr>
              <w:t>Chairman of the Board of</w:t>
            </w:r>
          </w:p>
        </w:tc>
        <w:tc>
          <w:tcPr>
            <w:tcW w:w="120" w:type="dxa"/>
            <w:vAlign w:val="bottom"/>
          </w:tcPr>
          <w:p>
            <w:pPr>
              <w:spacing w:after="0"/>
              <w:rPr>
                <w:sz w:val="16"/>
                <w:szCs w:val="16"/>
                <w:color w:val="auto"/>
              </w:rPr>
            </w:pPr>
          </w:p>
        </w:tc>
        <w:tc>
          <w:tcPr>
            <w:tcW w:w="2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President &amp; Chief Executive</w:t>
            </w:r>
          </w:p>
        </w:tc>
        <w:tc>
          <w:tcPr>
            <w:tcW w:w="100" w:type="dxa"/>
            <w:vAlign w:val="bottom"/>
          </w:tcPr>
          <w:p>
            <w:pPr>
              <w:spacing w:after="0"/>
              <w:rPr>
                <w:sz w:val="16"/>
                <w:szCs w:val="16"/>
                <w:color w:val="auto"/>
              </w:rPr>
            </w:pPr>
          </w:p>
        </w:tc>
        <w:tc>
          <w:tcPr>
            <w:tcW w:w="2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6"/>
              </w:rPr>
              <w:t>statements</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1"/>
              </w:rPr>
              <w:t>Directors</w:t>
            </w: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6"/>
              </w:rPr>
              <w:t>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right="2240"/>
        <w:spacing w:after="0" w:line="260" w:lineRule="auto"/>
        <w:rPr>
          <w:sz w:val="20"/>
          <w:szCs w:val="20"/>
          <w:color w:val="auto"/>
        </w:rPr>
      </w:pPr>
      <w:r>
        <w:rPr>
          <w:rFonts w:ascii="Arial" w:cs="Arial" w:eastAsia="Arial" w:hAnsi="Arial"/>
          <w:sz w:val="18"/>
          <w:szCs w:val="18"/>
          <w:b w:val="1"/>
          <w:bCs w:val="1"/>
          <w:color w:val="auto"/>
        </w:rPr>
        <w:t xml:space="preserve">INTERIM CONSOLIDATED STATEMENTS OF PROFIT OR LOSS AND COMPREHENSIVE PROFIT OR LOSS </w:t>
      </w:r>
      <w:r>
        <w:rPr>
          <w:rFonts w:ascii="Arial" w:cs="Arial" w:eastAsia="Arial" w:hAnsi="Arial"/>
          <w:sz w:val="18"/>
          <w:szCs w:val="18"/>
          <w:color w:val="auto"/>
        </w:rPr>
        <w:t>(Expressed in thousands of U.S. dollars, except per share amounts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8720"/>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6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Notes</w:t>
            </w: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10"/>
        </w:trPr>
        <w:tc>
          <w:tcPr>
            <w:tcW w:w="6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6, 20</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30,050</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40,329</w:t>
            </w:r>
          </w:p>
        </w:tc>
      </w:tr>
      <w:tr>
        <w:trPr>
          <w:trHeight w:val="216"/>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revenues</w:t>
            </w:r>
          </w:p>
        </w:tc>
        <w:tc>
          <w:tcPr>
            <w:tcW w:w="2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19</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38,403</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23,292</w:t>
            </w:r>
          </w:p>
        </w:tc>
      </w:tr>
      <w:tr>
        <w:trPr>
          <w:trHeight w:val="209"/>
        </w:trPr>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2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(8,353)</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17,037</w:t>
            </w:r>
          </w:p>
        </w:tc>
      </w:tr>
      <w:tr>
        <w:trPr>
          <w:trHeight w:val="210"/>
        </w:trPr>
        <w:tc>
          <w:tcPr>
            <w:tcW w:w="6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8,360</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13,843</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Realized (gain) loss on disposition of digital assets</w:t>
            </w:r>
          </w:p>
        </w:tc>
        <w:tc>
          <w:tcPr>
            <w:tcW w:w="242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(587)</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Reversal of revaluation loss on digital assets</w:t>
            </w:r>
          </w:p>
        </w:tc>
        <w:tc>
          <w:tcPr>
            <w:tcW w:w="2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(2,695)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r>
      <w:tr>
        <w:trPr>
          <w:trHeight w:val="216"/>
        </w:trPr>
        <w:tc>
          <w:tcPr>
            <w:tcW w:w="6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Loss (gain) on disposition of property, plant and equipment</w:t>
            </w:r>
          </w:p>
        </w:tc>
        <w:tc>
          <w:tcPr>
            <w:tcW w:w="2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1,566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2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(14,997)</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6,874</w:t>
            </w:r>
          </w:p>
        </w:tc>
      </w:tr>
      <w:tr>
        <w:trPr>
          <w:trHeight w:val="209"/>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financial income</w:t>
            </w:r>
          </w:p>
        </w:tc>
        <w:tc>
          <w:tcPr>
            <w:tcW w:w="2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19</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(12,188)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w:t>
            </w:r>
          </w:p>
        </w:tc>
      </w:tr>
      <w:tr>
        <w:trPr>
          <w:trHeight w:val="210"/>
        </w:trPr>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before income taxes</w:t>
            </w:r>
          </w:p>
        </w:tc>
        <w:tc>
          <w:tcPr>
            <w:tcW w:w="2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(2,809)</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10,957</w:t>
            </w:r>
          </w:p>
        </w:tc>
      </w:tr>
      <w:tr>
        <w:trPr>
          <w:trHeight w:val="209"/>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(recovery) expense</w:t>
            </w:r>
          </w:p>
        </w:tc>
        <w:tc>
          <w:tcPr>
            <w:tcW w:w="2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(330)</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6,438</w:t>
            </w:r>
          </w:p>
        </w:tc>
      </w:tr>
      <w:tr>
        <w:trPr>
          <w:trHeight w:val="217"/>
        </w:trPr>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(2,479)</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4,519</w:t>
            </w:r>
          </w:p>
        </w:tc>
      </w:tr>
      <w:tr>
        <w:trPr>
          <w:trHeight w:val="216"/>
        </w:trPr>
        <w:tc>
          <w:tcPr>
            <w:tcW w:w="6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2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Item that will not be reclassified to profit or loss:</w:t>
            </w:r>
          </w:p>
        </w:tc>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Change in revaluation surplus - digital assets, net of tax</w:t>
            </w:r>
          </w:p>
        </w:tc>
        <w:tc>
          <w:tcPr>
            <w:tcW w:w="2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1,225</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comprehensive (loss) income, net of tax</w:t>
            </w:r>
          </w:p>
        </w:tc>
        <w:tc>
          <w:tcPr>
            <w:tcW w:w="2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(1,254)</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4,519</w:t>
            </w:r>
          </w:p>
        </w:tc>
      </w:tr>
      <w:tr>
        <w:trPr>
          <w:trHeight w:val="216"/>
        </w:trPr>
        <w:tc>
          <w:tcPr>
            <w:tcW w:w="6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2420" w:type="dxa"/>
            <w:vAlign w:val="bottom"/>
          </w:tcPr>
          <w:p>
            <w:pPr>
              <w:jc w:val="right"/>
              <w:ind w:right="90"/>
              <w:spacing w:after="0"/>
              <w:rPr>
                <w:sz w:val="20"/>
                <w:szCs w:val="20"/>
                <w:color w:val="auto"/>
              </w:rPr>
            </w:pPr>
            <w:r>
              <w:rPr>
                <w:rFonts w:ascii="Arial" w:cs="Arial" w:eastAsia="Arial" w:hAnsi="Arial"/>
                <w:sz w:val="18"/>
                <w:szCs w:val="18"/>
                <w:b w:val="1"/>
                <w:bCs w:val="1"/>
                <w:color w:val="auto"/>
              </w:rPr>
              <w:t>17</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(0.01)</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r>
      <w:tr>
        <w:trPr>
          <w:trHeight w:val="216"/>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2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(0.01)</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w:t>
            </w: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Basic</w:t>
            </w:r>
          </w:p>
        </w:tc>
        <w:tc>
          <w:tcPr>
            <w:tcW w:w="242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232,541,000</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197,505,000</w:t>
            </w:r>
          </w:p>
        </w:tc>
      </w:tr>
      <w:tr>
        <w:trPr>
          <w:trHeight w:val="223"/>
        </w:trPr>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232,541,000</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201,269,000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right="5460"/>
        <w:spacing w:after="0" w:line="323" w:lineRule="auto"/>
        <w:rPr>
          <w:sz w:val="20"/>
          <w:szCs w:val="20"/>
          <w:color w:val="auto"/>
        </w:rPr>
      </w:pPr>
      <w:r>
        <w:rPr>
          <w:rFonts w:ascii="Arial" w:cs="Arial" w:eastAsia="Arial" w:hAnsi="Arial"/>
          <w:sz w:val="16"/>
          <w:szCs w:val="16"/>
          <w:b w:val="1"/>
          <w:bCs w:val="1"/>
          <w:color w:val="auto"/>
        </w:rPr>
        <w:t xml:space="preserve">INTERIM CONSOLIDATED STATEMENTS OF CHANGES IN EQUITY </w:t>
      </w:r>
      <w:r>
        <w:rPr>
          <w:rFonts w:ascii="Arial" w:cs="Arial" w:eastAsia="Arial" w:hAnsi="Arial"/>
          <w:sz w:val="16"/>
          <w:szCs w:val="16"/>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earnings</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Share</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6"/>
              </w:rPr>
              <w:t>Contributed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1"/>
              </w:rPr>
              <w:t>(accumulated</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2"/>
              </w:rPr>
              <w:t>Revaluation</w:t>
            </w:r>
          </w:p>
        </w:tc>
        <w:tc>
          <w:tcPr>
            <w:tcW w:w="1040" w:type="dxa"/>
            <w:vAlign w:val="bottom"/>
          </w:tcPr>
          <w:p>
            <w:pPr>
              <w:spacing w:after="0"/>
              <w:rPr>
                <w:sz w:val="18"/>
                <w:szCs w:val="18"/>
                <w:color w:val="auto"/>
              </w:rPr>
            </w:pPr>
          </w:p>
        </w:tc>
      </w:tr>
      <w:tr>
        <w:trPr>
          <w:trHeight w:val="234"/>
        </w:trPr>
        <w:tc>
          <w:tcPr>
            <w:tcW w:w="4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Notes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capital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surplus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deficit)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surplus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Total equity</w:t>
            </w:r>
          </w:p>
        </w:tc>
      </w:tr>
      <w:tr>
        <w:trPr>
          <w:trHeight w:val="210"/>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2023</w:t>
            </w:r>
          </w:p>
        </w:tc>
        <w:tc>
          <w:tcPr>
            <w:tcW w:w="8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224,200,000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429,120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65,512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(239,065)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255,567</w:t>
            </w: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(2,479)</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(2,479)</w:t>
            </w:r>
          </w:p>
        </w:tc>
      </w:tr>
      <w:tr>
        <w:trPr>
          <w:trHeight w:val="216"/>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Change in revaluation surplus - digital assets, net of tax</w:t>
            </w:r>
          </w:p>
        </w:tc>
        <w:tc>
          <w:tcPr>
            <w:tcW w:w="8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1,225</w:t>
            </w:r>
          </w:p>
        </w:tc>
      </w:tr>
      <w:tr>
        <w:trPr>
          <w:trHeight w:val="210"/>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(loss) income, net of tax</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w:t>
            </w: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15,940,000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15,764</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15,764</w:t>
            </w:r>
          </w:p>
        </w:tc>
      </w:tr>
      <w:tr>
        <w:trPr>
          <w:trHeight w:val="216"/>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r>
      <w:tr>
        <w:trPr>
          <w:trHeight w:val="217"/>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as of March 31, 2023</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240,262,000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444,960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(241,544)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272,660</w:t>
            </w:r>
          </w:p>
        </w:tc>
      </w:tr>
      <w:tr>
        <w:trPr>
          <w:trHeight w:val="216"/>
        </w:trPr>
        <w:tc>
          <w:tcPr>
            <w:tcW w:w="4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as of January 1, 2022</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194,806,000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378,893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422,582</w:t>
            </w: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Share-based payment</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6,105</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6,105</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and warrants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26,324</w:t>
            </w:r>
          </w:p>
        </w:tc>
      </w:tr>
      <w:tr>
        <w:trPr>
          <w:trHeight w:val="216"/>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recovery related to equity issuance costs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17"/>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2022</w:t>
            </w:r>
          </w:p>
        </w:tc>
        <w:tc>
          <w:tcPr>
            <w:tcW w:w="8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201,627,000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405,409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459,757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8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Notes</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(used in) operating activities</w:t>
            </w:r>
          </w:p>
        </w:tc>
        <w:tc>
          <w:tcPr>
            <w:tcW w:w="2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w w:val="97"/>
              </w:rPr>
              <w:t>(Revised - Note 3d)</w:t>
            </w:r>
          </w:p>
        </w:tc>
        <w:tc>
          <w:tcPr>
            <w:tcW w:w="0" w:type="dxa"/>
            <w:vAlign w:val="bottom"/>
          </w:tcPr>
          <w:p>
            <w:pPr>
              <w:spacing w:after="0"/>
              <w:rPr>
                <w:sz w:val="1"/>
                <w:szCs w:val="1"/>
                <w:color w:val="auto"/>
              </w:rPr>
            </w:pPr>
          </w:p>
        </w:tc>
      </w:tr>
      <w:tr>
        <w:trPr>
          <w:trHeight w:val="202"/>
        </w:trPr>
        <w:tc>
          <w:tcPr>
            <w:tcW w:w="608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(2,479)</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Adjustments for:</w:t>
            </w:r>
          </w:p>
        </w:tc>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19</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20,700</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13,066</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Net financial income</w:t>
            </w:r>
          </w:p>
        </w:tc>
        <w:tc>
          <w:tcPr>
            <w:tcW w:w="2420" w:type="dxa"/>
            <w:vAlign w:val="bottom"/>
          </w:tcPr>
          <w:p>
            <w:pPr>
              <w:jc w:val="right"/>
              <w:ind w:right="230"/>
              <w:spacing w:after="0"/>
              <w:rPr>
                <w:sz w:val="20"/>
                <w:szCs w:val="20"/>
                <w:color w:val="auto"/>
              </w:rPr>
            </w:pPr>
            <w:r>
              <w:rPr>
                <w:rFonts w:ascii="Arial" w:cs="Arial" w:eastAsia="Arial" w:hAnsi="Arial"/>
                <w:sz w:val="18"/>
                <w:szCs w:val="18"/>
                <w:b w:val="1"/>
                <w:bCs w:val="1"/>
                <w:color w:val="auto"/>
              </w:rPr>
              <w:t>19</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(12,188)</w:t>
            </w:r>
          </w:p>
        </w:tc>
        <w:tc>
          <w:tcPr>
            <w:tcW w:w="1660" w:type="dxa"/>
            <w:vAlign w:val="bottom"/>
          </w:tcPr>
          <w:p>
            <w:pPr>
              <w:jc w:val="right"/>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 mined</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(29,208)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(39,725)</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Proceeds from sale of digital assets mined</w:t>
            </w:r>
          </w:p>
        </w:tc>
        <w:tc>
          <w:tcPr>
            <w:tcW w:w="2420" w:type="dxa"/>
            <w:vAlign w:val="bottom"/>
          </w:tcPr>
          <w:p>
            <w:pPr>
              <w:jc w:val="right"/>
              <w:ind w:right="230"/>
              <w:spacing w:after="0"/>
              <w:rPr>
                <w:sz w:val="20"/>
                <w:szCs w:val="20"/>
                <w:color w:val="auto"/>
              </w:rPr>
            </w:pPr>
            <w:r>
              <w:rPr>
                <w:rFonts w:ascii="Arial" w:cs="Arial" w:eastAsia="Arial" w:hAnsi="Arial"/>
                <w:sz w:val="18"/>
                <w:szCs w:val="18"/>
                <w:b w:val="1"/>
                <w:bCs w:val="1"/>
                <w:color w:val="auto"/>
              </w:rPr>
              <w:t>6</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28,483</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(gain) loss on disposition of digital assets</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(587)</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Reversal of revaluation loss on digital assets</w:t>
            </w:r>
          </w:p>
        </w:tc>
        <w:tc>
          <w:tcPr>
            <w:tcW w:w="2420" w:type="dxa"/>
            <w:vAlign w:val="bottom"/>
          </w:tcPr>
          <w:p>
            <w:pPr>
              <w:jc w:val="right"/>
              <w:ind w:right="230"/>
              <w:spacing w:after="0"/>
              <w:rPr>
                <w:sz w:val="20"/>
                <w:szCs w:val="20"/>
                <w:color w:val="auto"/>
              </w:rPr>
            </w:pPr>
            <w:r>
              <w:rPr>
                <w:rFonts w:ascii="Arial" w:cs="Arial" w:eastAsia="Arial" w:hAnsi="Arial"/>
                <w:sz w:val="18"/>
                <w:szCs w:val="18"/>
                <w:b w:val="1"/>
                <w:bCs w:val="1"/>
                <w:color w:val="auto"/>
              </w:rPr>
              <w:t>6</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(2,695)</w:t>
            </w:r>
          </w:p>
        </w:tc>
        <w:tc>
          <w:tcPr>
            <w:tcW w:w="1660" w:type="dxa"/>
            <w:vAlign w:val="bottom"/>
          </w:tcPr>
          <w:p>
            <w:pPr>
              <w:jc w:val="right"/>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payment</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18</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2,536</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Income tax expense (recovery)</w:t>
            </w:r>
          </w:p>
        </w:tc>
        <w:tc>
          <w:tcPr>
            <w:tcW w:w="2420" w:type="dxa"/>
            <w:vAlign w:val="bottom"/>
          </w:tcPr>
          <w:p>
            <w:pPr>
              <w:jc w:val="right"/>
              <w:ind w:right="230"/>
              <w:spacing w:after="0"/>
              <w:rPr>
                <w:sz w:val="20"/>
                <w:szCs w:val="20"/>
                <w:color w:val="auto"/>
              </w:rPr>
            </w:pPr>
            <w:r>
              <w:rPr>
                <w:rFonts w:ascii="Arial" w:cs="Arial" w:eastAsia="Arial" w:hAnsi="Arial"/>
                <w:sz w:val="18"/>
                <w:szCs w:val="18"/>
                <w:b w:val="1"/>
                <w:bCs w:val="1"/>
                <w:color w:val="auto"/>
              </w:rPr>
              <w:t>12</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(330)</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disposition of property, plant and equipment</w:t>
            </w:r>
          </w:p>
        </w:tc>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1,566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and financial expenses paid</w:t>
            </w:r>
          </w:p>
        </w:tc>
        <w:tc>
          <w:tcPr>
            <w:tcW w:w="24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(2,099)</w:t>
            </w:r>
          </w:p>
        </w:tc>
        <w:tc>
          <w:tcPr>
            <w:tcW w:w="1660" w:type="dxa"/>
            <w:vAlign w:val="bottom"/>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non-cash working capital components</w:t>
            </w:r>
          </w:p>
        </w:tc>
        <w:tc>
          <w:tcPr>
            <w:tcW w:w="2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21</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(2,670)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 related to operating activities</w:t>
            </w:r>
          </w:p>
        </w:tc>
        <w:tc>
          <w:tcPr>
            <w:tcW w:w="2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1,029</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(40,169)</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24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(8,104)</w:t>
            </w:r>
          </w:p>
        </w:tc>
        <w:tc>
          <w:tcPr>
            <w:tcW w:w="1660" w:type="dxa"/>
            <w:vAlign w:val="bottom"/>
          </w:tcPr>
          <w:p>
            <w:pPr>
              <w:jc w:val="right"/>
              <w:spacing w:after="0"/>
              <w:rPr>
                <w:sz w:val="20"/>
                <w:szCs w:val="20"/>
                <w:color w:val="auto"/>
              </w:rPr>
            </w:pPr>
            <w:r>
              <w:rPr>
                <w:rFonts w:ascii="Arial" w:cs="Arial" w:eastAsia="Arial" w:hAnsi="Arial"/>
                <w:sz w:val="18"/>
                <w:szCs w:val="18"/>
                <w:color w:val="auto"/>
              </w:rPr>
              <w:t>(22,671)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2,405</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2420" w:type="dxa"/>
            <w:vAlign w:val="bottom"/>
          </w:tcPr>
          <w:p>
            <w:pPr>
              <w:jc w:val="right"/>
              <w:ind w:right="230"/>
              <w:spacing w:after="0"/>
              <w:rPr>
                <w:sz w:val="20"/>
                <w:szCs w:val="20"/>
                <w:color w:val="auto"/>
              </w:rPr>
            </w:pPr>
            <w:r>
              <w:rPr>
                <w:rFonts w:ascii="Arial" w:cs="Arial" w:eastAsia="Arial" w:hAnsi="Arial"/>
                <w:sz w:val="18"/>
                <w:szCs w:val="18"/>
                <w:b w:val="1"/>
                <w:bCs w:val="1"/>
                <w:color w:val="auto"/>
              </w:rPr>
              <w:t>19</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(7,163)</w:t>
            </w:r>
          </w:p>
        </w:tc>
        <w:tc>
          <w:tcPr>
            <w:tcW w:w="1660" w:type="dxa"/>
            <w:vAlign w:val="bottom"/>
          </w:tcPr>
          <w:p>
            <w:pPr>
              <w:jc w:val="right"/>
              <w:spacing w:after="0"/>
              <w:rPr>
                <w:sz w:val="20"/>
                <w:szCs w:val="20"/>
                <w:color w:val="auto"/>
              </w:rPr>
            </w:pPr>
            <w:r>
              <w:rPr>
                <w:rFonts w:ascii="Arial" w:cs="Arial" w:eastAsia="Arial" w:hAnsi="Arial"/>
                <w:sz w:val="18"/>
                <w:szCs w:val="18"/>
                <w:color w:val="auto"/>
              </w:rPr>
              <w:t>(11,974)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 of marketable securities</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19</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9,334</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22,911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 of digital assets</w:t>
            </w:r>
          </w:p>
        </w:tc>
        <w:tc>
          <w:tcPr>
            <w:tcW w:w="2420" w:type="dxa"/>
            <w:vAlign w:val="bottom"/>
          </w:tcPr>
          <w:p>
            <w:pPr>
              <w:jc w:val="right"/>
              <w:ind w:right="230"/>
              <w:spacing w:after="0"/>
              <w:rPr>
                <w:sz w:val="20"/>
                <w:szCs w:val="20"/>
                <w:color w:val="auto"/>
              </w:rPr>
            </w:pPr>
            <w:r>
              <w:rPr>
                <w:rFonts w:ascii="Arial" w:cs="Arial" w:eastAsia="Arial" w:hAnsi="Arial"/>
                <w:sz w:val="18"/>
                <w:szCs w:val="18"/>
                <w:b w:val="1"/>
                <w:bCs w:val="1"/>
                <w:color w:val="auto"/>
              </w:rPr>
              <w:t>6</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(43,237)</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Equipment and construction prepayments and other</w:t>
            </w:r>
          </w:p>
        </w:tc>
        <w:tc>
          <w:tcPr>
            <w:tcW w:w="2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(45,137)</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change in cash related to investing activities</w:t>
            </w:r>
          </w:p>
        </w:tc>
        <w:tc>
          <w:tcPr>
            <w:tcW w:w="2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(3,528)</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(100,073)</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and warrants</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14</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15,764</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26,289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2420" w:type="dxa"/>
            <w:vAlign w:val="bottom"/>
          </w:tcPr>
          <w:p>
            <w:pPr>
              <w:jc w:val="right"/>
              <w:ind w:right="230"/>
              <w:spacing w:after="0"/>
              <w:rPr>
                <w:sz w:val="20"/>
                <w:szCs w:val="20"/>
                <w:color w:val="auto"/>
              </w:rPr>
            </w:pPr>
            <w:r>
              <w:rPr>
                <w:rFonts w:ascii="Arial" w:cs="Arial" w:eastAsia="Arial" w:hAnsi="Arial"/>
                <w:sz w:val="18"/>
                <w:szCs w:val="18"/>
                <w:b w:val="1"/>
                <w:bCs w:val="1"/>
                <w:color w:val="auto"/>
              </w:rPr>
              <w:t>14, 18</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47</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Repayment of lease liabilities</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11</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2420" w:type="dxa"/>
            <w:vAlign w:val="bottom"/>
          </w:tcPr>
          <w:p>
            <w:pPr>
              <w:jc w:val="right"/>
              <w:ind w:right="230"/>
              <w:spacing w:after="0"/>
              <w:rPr>
                <w:sz w:val="20"/>
                <w:szCs w:val="20"/>
                <w:color w:val="auto"/>
              </w:rPr>
            </w:pPr>
            <w:r>
              <w:rPr>
                <w:rFonts w:ascii="Arial" w:cs="Arial" w:eastAsia="Arial" w:hAnsi="Arial"/>
                <w:sz w:val="18"/>
                <w:szCs w:val="18"/>
                <w:b w:val="1"/>
                <w:bCs w:val="1"/>
                <w:color w:val="auto"/>
              </w:rPr>
              <w:t>10</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(13,474)</w:t>
            </w:r>
          </w:p>
        </w:tc>
        <w:tc>
          <w:tcPr>
            <w:tcW w:w="1660" w:type="dxa"/>
            <w:vAlign w:val="bottom"/>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Proceeds from credit facility</w:t>
            </w:r>
          </w:p>
        </w:tc>
        <w:tc>
          <w:tcPr>
            <w:tcW w:w="2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 related to financing activities</w:t>
            </w:r>
          </w:p>
        </w:tc>
        <w:tc>
          <w:tcPr>
            <w:tcW w:w="2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943</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91,940</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w:t>
            </w:r>
          </w:p>
        </w:tc>
        <w:tc>
          <w:tcPr>
            <w:tcW w:w="2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(1,556)</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(48,302)</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Cash, beginning of the period</w:t>
            </w:r>
          </w:p>
        </w:tc>
        <w:tc>
          <w:tcPr>
            <w:tcW w:w="24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30,887</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125,595</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Exchange rate differences on currency translation</w:t>
            </w:r>
          </w:p>
        </w:tc>
        <w:tc>
          <w:tcPr>
            <w:tcW w:w="2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47</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end of the period</w:t>
            </w:r>
          </w:p>
        </w:tc>
        <w:tc>
          <w:tcPr>
            <w:tcW w:w="2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29,378</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77,294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ind w:hanging="4"/>
        <w:spacing w:after="0" w:line="286" w:lineRule="auto"/>
        <w:rPr>
          <w:sz w:val="20"/>
          <w:szCs w:val="20"/>
          <w:color w:val="auto"/>
        </w:rPr>
      </w:pPr>
      <w:r>
        <w:rPr>
          <w:rFonts w:ascii="Arial" w:cs="Arial" w:eastAsia="Arial" w:hAnsi="Arial"/>
          <w:sz w:val="16"/>
          <w:szCs w:val="16"/>
          <w:color w:val="auto"/>
        </w:rPr>
        <w:t>Bitfarms Ltd. was incorporated under the Canada Business Corporations Act on October 11, 2018 and continued under the Business Corporations Act (Ontario) on August 27, 2021. The interim condensed consolidated financial statements of the corporation comprise the accounts of Bitfarms Ltd. and its wholly owned subsidiaries (together referred to as the “Company” or “Bitfarms”). The activities of the Company mainly consist of cryptocurrency mining in multiple jurisdictions, as described in Note 20 “Geographical Information”. The Company’s operations are currently located in Canada, the United States, Paraguay and Argentina. 9159-9290 Quebec Inc. (“Volta”), a wholly owned subsidiary, assists the Company in building and maintaining its server farms and provides electrician services to both commercial and residential customers in Quebec. Bitfarms owns and operates server farms comprised of computers (referred to as “Miners”) designed for the purpose of validating transactions on the BTC Blockchain (referred to as “Mining”). Bitfarms generally operates Miners 24 hours a day producing computational power (measured by hashrate) which it sells to Mining Pools under a formula driven rate commonly known in the industry as Full Pay Per Share (“FPPS”). Under FPPS, pools compensate Mining companies for their hashrate based on what the pool would expect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Mining Pools generate revenue by Mining with purchased hashrate through the accumulation of Block Rewards and transaction fees issued by the BTC network. Mining pools purchase hashrate and accept the risk with the aim to mine more blocks than they should in a given time period in seek of profit. The common shares of the Company are listed under the trading symbol BITF on the Nasdaq and Toronto Stock Exchange exchanges.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these financial statements, the following terms shall have the following definitions: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Term</w:t>
            </w:r>
          </w:p>
        </w:tc>
        <w:tc>
          <w:tcPr>
            <w:tcW w:w="774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b w:val="1"/>
                <w:bCs w:val="1"/>
                <w:color w:val="auto"/>
              </w:rPr>
              <w:t>Definition</w:t>
            </w:r>
          </w:p>
        </w:tc>
      </w:tr>
      <w:tr>
        <w:trPr>
          <w:trHeight w:val="210"/>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Backbone</w:t>
            </w:r>
          </w:p>
        </w:tc>
        <w:tc>
          <w:tcPr>
            <w:tcW w:w="7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Backbone Hosting Solutions Inc.</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2960" w:type="dxa"/>
            <w:vAlign w:val="bottom"/>
          </w:tcPr>
          <w:p>
            <w:pPr>
              <w:ind w:left="360"/>
              <w:spacing w:after="0"/>
              <w:rPr>
                <w:sz w:val="20"/>
                <w:szCs w:val="20"/>
                <w:color w:val="auto"/>
              </w:rPr>
            </w:pPr>
            <w:r>
              <w:rPr>
                <w:rFonts w:ascii="Arial" w:cs="Arial" w:eastAsia="Arial" w:hAnsi="Arial"/>
                <w:sz w:val="18"/>
                <w:szCs w:val="18"/>
                <w:color w:val="auto"/>
              </w:rPr>
              <w:t>Volta</w:t>
            </w:r>
          </w:p>
        </w:tc>
        <w:tc>
          <w:tcPr>
            <w:tcW w:w="7740" w:type="dxa"/>
            <w:vAlign w:val="bottom"/>
          </w:tcPr>
          <w:p>
            <w:pPr>
              <w:ind w:left="1120"/>
              <w:spacing w:after="0"/>
              <w:rPr>
                <w:sz w:val="20"/>
                <w:szCs w:val="20"/>
                <w:color w:val="auto"/>
              </w:rPr>
            </w:pPr>
            <w:r>
              <w:rPr>
                <w:rFonts w:ascii="Arial" w:cs="Arial" w:eastAsia="Arial" w:hAnsi="Arial"/>
                <w:sz w:val="18"/>
                <w:szCs w:val="18"/>
                <w:color w:val="auto"/>
              </w:rPr>
              <w:t>9159-9290 Quebec Inc.</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Backbone Argentina</w:t>
            </w:r>
          </w:p>
        </w:tc>
        <w:tc>
          <w:tcPr>
            <w:tcW w:w="7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Backbone Hosting Solutions SAU</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w:t>
            </w:r>
          </w:p>
        </w:tc>
        <w:tc>
          <w:tcPr>
            <w:tcW w:w="2960" w:type="dxa"/>
            <w:vAlign w:val="bottom"/>
          </w:tcPr>
          <w:p>
            <w:pPr>
              <w:ind w:left="360"/>
              <w:spacing w:after="0"/>
              <w:rPr>
                <w:sz w:val="20"/>
                <w:szCs w:val="20"/>
                <w:color w:val="auto"/>
              </w:rPr>
            </w:pPr>
            <w:r>
              <w:rPr>
                <w:rFonts w:ascii="Arial" w:cs="Arial" w:eastAsia="Arial" w:hAnsi="Arial"/>
                <w:sz w:val="18"/>
                <w:szCs w:val="18"/>
                <w:color w:val="auto"/>
              </w:rPr>
              <w:t>Backbone Paraguay</w:t>
            </w:r>
          </w:p>
        </w:tc>
        <w:tc>
          <w:tcPr>
            <w:tcW w:w="7740" w:type="dxa"/>
            <w:vAlign w:val="bottom"/>
          </w:tcPr>
          <w:p>
            <w:pPr>
              <w:ind w:left="1120"/>
              <w:spacing w:after="0"/>
              <w:rPr>
                <w:sz w:val="20"/>
                <w:szCs w:val="20"/>
                <w:color w:val="auto"/>
              </w:rPr>
            </w:pPr>
            <w:r>
              <w:rPr>
                <w:rFonts w:ascii="Arial" w:cs="Arial" w:eastAsia="Arial" w:hAnsi="Arial"/>
                <w:sz w:val="18"/>
                <w:szCs w:val="18"/>
                <w:color w:val="auto"/>
              </w:rPr>
              <w:t>Backbone Hosting Solutions Paraguay SA</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Backbone Mining</w:t>
            </w:r>
          </w:p>
        </w:tc>
        <w:tc>
          <w:tcPr>
            <w:tcW w:w="7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Backbone Mining Solutions LLC</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2960" w:type="dxa"/>
            <w:vAlign w:val="bottom"/>
          </w:tcPr>
          <w:p>
            <w:pPr>
              <w:ind w:left="360"/>
              <w:spacing w:after="0"/>
              <w:rPr>
                <w:sz w:val="20"/>
                <w:szCs w:val="20"/>
                <w:color w:val="auto"/>
              </w:rPr>
            </w:pPr>
            <w:r>
              <w:rPr>
                <w:rFonts w:ascii="Arial" w:cs="Arial" w:eastAsia="Arial" w:hAnsi="Arial"/>
                <w:sz w:val="18"/>
                <w:szCs w:val="18"/>
                <w:color w:val="auto"/>
              </w:rPr>
              <w:t>BTC</w:t>
            </w:r>
          </w:p>
        </w:tc>
        <w:tc>
          <w:tcPr>
            <w:tcW w:w="7740" w:type="dxa"/>
            <w:vAlign w:val="bottom"/>
          </w:tcPr>
          <w:p>
            <w:pPr>
              <w:ind w:left="1120"/>
              <w:spacing w:after="0"/>
              <w:rPr>
                <w:sz w:val="20"/>
                <w:szCs w:val="20"/>
                <w:color w:val="auto"/>
              </w:rPr>
            </w:pPr>
            <w:r>
              <w:rPr>
                <w:rFonts w:ascii="Arial" w:cs="Arial" w:eastAsia="Arial" w:hAnsi="Arial"/>
                <w:sz w:val="18"/>
                <w:szCs w:val="18"/>
                <w:color w:val="auto"/>
              </w:rPr>
              <w:t>Bitcoin</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BVVE</w:t>
            </w:r>
          </w:p>
        </w:tc>
        <w:tc>
          <w:tcPr>
            <w:tcW w:w="7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Blockchain Verification and Validation Equipment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w:t>
            </w:r>
          </w:p>
        </w:tc>
        <w:tc>
          <w:tcPr>
            <w:tcW w:w="2960" w:type="dxa"/>
            <w:vAlign w:val="bottom"/>
          </w:tcPr>
          <w:p>
            <w:pPr>
              <w:ind w:left="360"/>
              <w:spacing w:after="0"/>
              <w:rPr>
                <w:sz w:val="20"/>
                <w:szCs w:val="20"/>
                <w:color w:val="auto"/>
              </w:rPr>
            </w:pPr>
            <w:r>
              <w:rPr>
                <w:rFonts w:ascii="Arial" w:cs="Arial" w:eastAsia="Arial" w:hAnsi="Arial"/>
                <w:sz w:val="18"/>
                <w:szCs w:val="18"/>
                <w:color w:val="auto"/>
              </w:rPr>
              <w:t>CAD</w:t>
            </w:r>
          </w:p>
        </w:tc>
        <w:tc>
          <w:tcPr>
            <w:tcW w:w="7740" w:type="dxa"/>
            <w:vAlign w:val="bottom"/>
          </w:tcPr>
          <w:p>
            <w:pPr>
              <w:ind w:left="1120"/>
              <w:spacing w:after="0"/>
              <w:rPr>
                <w:sz w:val="20"/>
                <w:szCs w:val="20"/>
                <w:color w:val="auto"/>
              </w:rPr>
            </w:pPr>
            <w:r>
              <w:rPr>
                <w:rFonts w:ascii="Arial" w:cs="Arial" w:eastAsia="Arial" w:hAnsi="Arial"/>
                <w:sz w:val="18"/>
                <w:szCs w:val="18"/>
                <w:color w:val="auto"/>
              </w:rPr>
              <w:t>Canadian Dollars</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USD</w:t>
            </w:r>
          </w:p>
        </w:tc>
        <w:tc>
          <w:tcPr>
            <w:tcW w:w="7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 Dollars</w:t>
            </w:r>
          </w:p>
        </w:tc>
      </w:tr>
      <w:tr>
        <w:trPr>
          <w:trHeight w:val="223"/>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29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ARS</w:t>
            </w:r>
          </w:p>
        </w:tc>
        <w:tc>
          <w:tcPr>
            <w:tcW w:w="77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Argentine Pesos</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LIQUIDITY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Bitfarms is primarily engaged in the cryptocurrency mining industry, a highly volatile market with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have impacted the recoverability of the Company’s digital assets and property, plant and equipment, resulting in impairment losses being recorded.</w:t>
      </w:r>
    </w:p>
    <w:p>
      <w:pPr>
        <w:spacing w:after="0" w:line="176" w:lineRule="exact"/>
        <w:rPr>
          <w:sz w:val="20"/>
          <w:szCs w:val="20"/>
          <w:color w:val="auto"/>
        </w:rPr>
      </w:pPr>
    </w:p>
    <w:p>
      <w:pPr>
        <w:jc w:val="both"/>
        <w:ind w:left="20" w:hanging="4"/>
        <w:spacing w:after="0" w:line="311" w:lineRule="auto"/>
        <w:rPr>
          <w:sz w:val="20"/>
          <w:szCs w:val="20"/>
          <w:color w:val="auto"/>
        </w:rPr>
      </w:pPr>
      <w:r>
        <w:rPr>
          <w:rFonts w:ascii="Arial" w:cs="Arial" w:eastAsia="Arial" w:hAnsi="Arial"/>
          <w:sz w:val="16"/>
          <w:szCs w:val="16"/>
          <w:color w:val="auto"/>
        </w:rPr>
        <w:t>The Company’s current operating budget and future estimated cash flows based on BTC market factors including price, difficulty and network hashrate, for the twelve-month period following the date of these interim condensed consolidated financial statements were authorized for issuance, indicate that it will generate positive cash flow in excess of required interest and principal payments on its long-term debt due within the twelve-month period.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current BTC prices, the Company’s existing cash resources and the proceeds from any sale of its treasury and mined BTC may not be sufficient to fund its capital investments to support its growth objectives. If the BTC proceeds are not sufficient, the Company would be required to raise additional funds from external sources to meet these requirements. There is no assurance that the Company will be able to raise such additional funds on acceptable terms, if at all.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raises additional funds by issuing securities, existing shareholders may be diluted. If the Company was unable to obtain such financing, or if funds from operations and proceeds from any sale of the Company’s BTC holdings were negatively impacted by the BTC price, the Company may have difficulty meeting its payment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BASIS OF PRESENTATION AND SIGNIFICANT ACCOUNTING POLICIES</w:t>
      </w:r>
    </w:p>
    <w:p>
      <w:pPr>
        <w:spacing w:after="0" w:line="22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measurement</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 xml:space="preserve">These interim condensed consolidated financial statements (“Financial Statements”) have been prepared in accordance with International Financial Reporting Standards (“IFRS”) as issued by the International Accounting Standards Board applicable to the preparation of interim financial statements, including International Accounting Standard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These Financial Statements were approved by the Board of Directors on May 12, 2023.</w:t>
      </w:r>
    </w:p>
    <w:p>
      <w:pPr>
        <w:spacing w:after="0" w:line="193"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These Financial Statements do not include all the information required for full annual financial statements and should be read in conjunction with the audited annual consolidated financial statements of the Company and the notes thereto for the year ended December 31, 2022.</w:t>
      </w:r>
    </w:p>
    <w:p>
      <w:pPr>
        <w:spacing w:after="0" w:line="170" w:lineRule="exact"/>
        <w:rPr>
          <w:sz w:val="20"/>
          <w:szCs w:val="20"/>
          <w:color w:val="auto"/>
        </w:rPr>
      </w:pPr>
    </w:p>
    <w:p>
      <w:pPr>
        <w:jc w:val="both"/>
        <w:ind w:hanging="4"/>
        <w:spacing w:after="0" w:line="311" w:lineRule="auto"/>
        <w:rPr>
          <w:sz w:val="20"/>
          <w:szCs w:val="20"/>
          <w:color w:val="auto"/>
        </w:rPr>
      </w:pPr>
      <w:r>
        <w:rPr>
          <w:rFonts w:ascii="Arial" w:cs="Arial" w:eastAsia="Arial" w:hAnsi="Arial"/>
          <w:sz w:val="16"/>
          <w:szCs w:val="16"/>
          <w:color w:val="auto"/>
        </w:rPr>
        <w:t>The Financial Statements have been prepared following the same accounting policies used in the audited annual consolidated financial statements for year ended December 31, 2022, except for new accounting standards issued and adopted by the Company which are described below. The accounting policies have been applied consistently by the Company’s entities and to all periods presented in these Financial Statements, unless otherwise indicated.</w:t>
      </w:r>
    </w:p>
    <w:p>
      <w:pPr>
        <w:spacing w:after="0" w:line="149" w:lineRule="exact"/>
        <w:rPr>
          <w:sz w:val="20"/>
          <w:szCs w:val="20"/>
          <w:color w:val="auto"/>
        </w:rPr>
      </w:pPr>
    </w:p>
    <w:p>
      <w:pPr>
        <w:ind w:left="20" w:hanging="4"/>
        <w:spacing w:after="0" w:line="277" w:lineRule="auto"/>
        <w:rPr>
          <w:sz w:val="20"/>
          <w:szCs w:val="20"/>
          <w:color w:val="auto"/>
        </w:rPr>
      </w:pPr>
      <w:r>
        <w:rPr>
          <w:rFonts w:ascii="Arial" w:cs="Arial" w:eastAsia="Arial" w:hAnsi="Arial"/>
          <w:sz w:val="18"/>
          <w:szCs w:val="18"/>
          <w:color w:val="auto"/>
        </w:rPr>
        <w:t>The Financial Statements have been prepared on the historical cost basis, except for the revaluation of certain financial instruments and digital assets recorded at fair value.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BASIS OF PRESENTATION AND SIGNIFICANT ACCOUNTING POLICIES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amendments issued and adopted by the Company</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amendments to existing standards were adopted by the Company as of January 1, 2023:</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Amendments to IAS 1, Presentation of Financial Statements (“IAS 1”)</w:t>
      </w:r>
    </w:p>
    <w:p>
      <w:pPr>
        <w:spacing w:after="0" w:line="27" w:lineRule="exact"/>
        <w:rPr>
          <w:sz w:val="20"/>
          <w:szCs w:val="20"/>
          <w:color w:val="auto"/>
        </w:rPr>
      </w:pPr>
    </w:p>
    <w:p>
      <w:pPr>
        <w:jc w:val="both"/>
        <w:ind w:left="20" w:hanging="4"/>
        <w:spacing w:after="0" w:line="255" w:lineRule="auto"/>
        <w:rPr>
          <w:sz w:val="20"/>
          <w:szCs w:val="20"/>
          <w:color w:val="auto"/>
        </w:rPr>
      </w:pPr>
      <w:r>
        <w:rPr>
          <w:rFonts w:ascii="Arial" w:cs="Arial" w:eastAsia="Arial" w:hAnsi="Arial"/>
          <w:sz w:val="18"/>
          <w:szCs w:val="18"/>
          <w:color w:val="auto"/>
        </w:rPr>
        <w:t>Amendments to IAS 1 change the requirements in IAS 1 with regard to disclosure of accounting policies. Applying the amendments, an entity discloses its material accounting policies instead of its significant accounting policies. Further amendments to IAS 1 explain how an entity can identify a material accounting policy.</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Amendments to IAS 8, </w:t>
      </w:r>
      <w:r>
        <w:rPr>
          <w:rFonts w:ascii="Arial" w:cs="Arial" w:eastAsia="Arial" w:hAnsi="Arial"/>
          <w:sz w:val="18"/>
          <w:szCs w:val="18"/>
          <w:b w:val="1"/>
          <w:bCs w:val="1"/>
          <w:i w:val="1"/>
          <w:iCs w:val="1"/>
          <w:color w:val="auto"/>
        </w:rPr>
        <w:t>Accounting Policies, Changes in Accounting Estimates and Errors</w:t>
      </w:r>
      <w:r>
        <w:rPr>
          <w:rFonts w:ascii="Arial" w:cs="Arial" w:eastAsia="Arial" w:hAnsi="Arial"/>
          <w:sz w:val="18"/>
          <w:szCs w:val="18"/>
          <w:b w:val="1"/>
          <w:bCs w:val="1"/>
          <w:color w:val="auto"/>
        </w:rPr>
        <w:t xml:space="preserve"> (“IAS 8”)</w:t>
      </w:r>
    </w:p>
    <w:p>
      <w:pPr>
        <w:spacing w:after="0" w:line="27" w:lineRule="exact"/>
        <w:rPr>
          <w:sz w:val="20"/>
          <w:szCs w:val="20"/>
          <w:color w:val="auto"/>
        </w:rPr>
      </w:pPr>
    </w:p>
    <w:p>
      <w:pPr>
        <w:ind w:hanging="4"/>
        <w:spacing w:after="0" w:line="260" w:lineRule="auto"/>
        <w:rPr>
          <w:sz w:val="20"/>
          <w:szCs w:val="20"/>
          <w:color w:val="auto"/>
        </w:rPr>
      </w:pPr>
      <w:r>
        <w:rPr>
          <w:rFonts w:ascii="Arial" w:cs="Arial" w:eastAsia="Arial" w:hAnsi="Arial"/>
          <w:sz w:val="18"/>
          <w:szCs w:val="18"/>
          <w:color w:val="auto"/>
        </w:rPr>
        <w:t>Amendments to IAS 8 replace the definition of a change in accounting estimates. Under the new definition, accounting estimates are “monetary amounts in financial statements that are subject to measurement uncertainty.”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adoption of the amendments listed above did not have a significant impact on the Company’s Financial Statements.</w:t>
      </w:r>
    </w:p>
    <w:p>
      <w:pPr>
        <w:spacing w:after="0" w:line="22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amendments issued to be adopted at a later date</w:t>
      </w:r>
    </w:p>
    <w:p>
      <w:pPr>
        <w:spacing w:after="0" w:line="229"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The following amendments to existing standards have been issued and are applicable to the Company for its annual period beginning on January 1, 2024 and thereafter, with an earlier application permitted:</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Amendments to IAS 1</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Amendments to IAS 1 clarify how to classify debt and other liabilities as current or non-current. The amendments help to determine whether, in the interim consolidated statements of financial position, debt and other liabilities with an uncertain settlement date should be classified as current (due or potentially due to be settled within one year) or non-current. The amendments also include clarifying the classification requirements for debt an entity might settle by converting it into equity.</w:t>
      </w:r>
    </w:p>
    <w:p>
      <w:pPr>
        <w:spacing w:after="0" w:line="193" w:lineRule="exact"/>
        <w:rPr>
          <w:sz w:val="20"/>
          <w:szCs w:val="20"/>
          <w:color w:val="auto"/>
        </w:rPr>
      </w:pPr>
    </w:p>
    <w:p>
      <w:pPr>
        <w:jc w:val="both"/>
        <w:ind w:left="20" w:hanging="4"/>
        <w:spacing w:after="0" w:line="342" w:lineRule="auto"/>
        <w:rPr>
          <w:sz w:val="20"/>
          <w:szCs w:val="20"/>
          <w:color w:val="auto"/>
        </w:rPr>
      </w:pPr>
      <w:r>
        <w:rPr>
          <w:rFonts w:ascii="Arial" w:cs="Arial" w:eastAsia="Arial" w:hAnsi="Arial"/>
          <w:sz w:val="16"/>
          <w:szCs w:val="16"/>
          <w:color w:val="auto"/>
        </w:rPr>
        <w:t>Amendments to IAS 1 specify that covenants to be complied with after the reporting date do not affect the classification of debt as current or non-current at the reporting date. Instead, the amendments require information about these covenants to be disclosed in the notes to the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evaluating the impact of adopting the amendments on the Company’s Financial Statements.</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BASIS OF PRESENTATION AND SIGNIFICANT ACCOUNTING POLICIES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Comparative figures revised</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figures in the comparative period of the Financial Statements have been revised to conform to the current presentation. Specifically, within the interim consolidated statements of cash flow, cash flows related to the purchase and disposal of marketable securities were amended to be presented on a gross basis within investing activities, and as such, the financial statement line items “Purchase of marketable securities” and “Proceeds from disposition of marketable securities” were added in the current and comparative period, all within investing activities. Previously, such amounts were classified as a net cash flow within “Net financial income” under operating activities. The revision between operating and investing activities was $10,937.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JUDGMENTS AND ESTIMATES</w:t>
      </w:r>
    </w:p>
    <w:p>
      <w:pPr>
        <w:spacing w:after="0" w:line="229" w:lineRule="exact"/>
        <w:rPr>
          <w:sz w:val="20"/>
          <w:szCs w:val="20"/>
          <w:color w:val="auto"/>
        </w:rPr>
      </w:pPr>
    </w:p>
    <w:p>
      <w:pPr>
        <w:jc w:val="both"/>
        <w:ind w:left="20" w:hanging="4"/>
        <w:spacing w:after="0" w:line="286" w:lineRule="auto"/>
        <w:rPr>
          <w:sz w:val="20"/>
          <w:szCs w:val="20"/>
          <w:color w:val="auto"/>
        </w:rPr>
      </w:pPr>
      <w:r>
        <w:rPr>
          <w:rFonts w:ascii="Arial" w:cs="Arial" w:eastAsia="Arial" w:hAnsi="Arial"/>
          <w:sz w:val="17"/>
          <w:szCs w:val="17"/>
          <w:color w:val="auto"/>
        </w:rPr>
        <w:t>The preparation of the Financial Statements requires management to undertake several judgments, estimates and assumptions about recognition and measurement of assets, liabilities, income and expenses. These estimates and judgments are based on management’s best knowledge of the events or circumstances and actions the Company may take in the future. The actual results may differ from these assumptions and estimates.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184"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The significant judgements made by management in applying the Company’s accounting policies and the key sources of estimation uncertainty were the same as those described in the audited annual consolidated financial statements for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ASSETS</w:t>
      </w:r>
    </w:p>
    <w:p>
      <w:pPr>
        <w:spacing w:after="0" w:line="225" w:lineRule="exact"/>
        <w:rPr>
          <w:sz w:val="20"/>
          <w:szCs w:val="20"/>
          <w:color w:val="auto"/>
        </w:rPr>
      </w:pPr>
    </w:p>
    <w:p>
      <w:pPr>
        <w:ind w:left="8240"/>
        <w:spacing w:after="0"/>
        <w:tabs>
          <w:tab w:leader="none" w:pos="9660" w:val="left"/>
        </w:tabs>
        <w:rPr>
          <w:sz w:val="20"/>
          <w:szCs w:val="20"/>
          <w:color w:val="auto"/>
        </w:rPr>
      </w:pPr>
      <w:r>
        <w:rPr>
          <w:rFonts w:ascii="Arial" w:cs="Arial" w:eastAsia="Arial" w:hAnsi="Arial"/>
          <w:sz w:val="18"/>
          <w:szCs w:val="18"/>
          <w:b w:val="1"/>
          <w:bCs w:val="1"/>
          <w:color w:val="auto"/>
        </w:rPr>
        <w:t>As of March 31,</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Borders>
              <w:top w:val="single" w:sz="8" w:color="auto"/>
              <w:bottom w:val="single" w:sz="8" w:color="auto"/>
            </w:tcBorders>
          </w:tcPr>
          <w:p>
            <w:pPr>
              <w:spacing w:after="0"/>
              <w:rPr>
                <w:sz w:val="18"/>
                <w:szCs w:val="18"/>
                <w:color w:val="auto"/>
              </w:rPr>
            </w:pPr>
          </w:p>
        </w:tc>
        <w:tc>
          <w:tcPr>
            <w:tcW w:w="4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Electrical component inventory</w:t>
            </w:r>
          </w:p>
        </w:tc>
        <w:tc>
          <w:tcPr>
            <w:tcW w:w="44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593</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Sales taxes receivable*</w:t>
            </w:r>
          </w:p>
        </w:tc>
        <w:tc>
          <w:tcPr>
            <w:tcW w:w="4440" w:type="dxa"/>
            <w:vAlign w:val="bottom"/>
          </w:tcPr>
          <w:p>
            <w:pPr>
              <w:jc w:val="right"/>
              <w:ind w:right="550"/>
              <w:spacing w:after="0"/>
              <w:rPr>
                <w:sz w:val="20"/>
                <w:szCs w:val="20"/>
                <w:color w:val="auto"/>
              </w:rPr>
            </w:pPr>
            <w:r>
              <w:rPr>
                <w:rFonts w:ascii="Arial" w:cs="Arial" w:eastAsia="Arial" w:hAnsi="Arial"/>
                <w:sz w:val="18"/>
                <w:szCs w:val="18"/>
                <w:b w:val="1"/>
                <w:bCs w:val="1"/>
                <w:color w:val="auto"/>
              </w:rPr>
              <w:t>3,218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44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346</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 assets**</w:t>
            </w:r>
          </w:p>
        </w:tc>
        <w:tc>
          <w:tcPr>
            <w:tcW w:w="4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231</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Borders>
              <w:bottom w:val="single" w:sz="8" w:color="auto"/>
            </w:tcBorders>
            <w:shd w:val="clear" w:color="auto" w:fill="CCEEFF"/>
          </w:tcPr>
          <w:p>
            <w:pPr>
              <w:spacing w:after="0"/>
              <w:rPr>
                <w:sz w:val="18"/>
                <w:szCs w:val="18"/>
                <w:color w:val="auto"/>
              </w:rPr>
            </w:pPr>
          </w:p>
        </w:tc>
        <w:tc>
          <w:tcPr>
            <w:tcW w:w="44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4,388</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4,512</w:t>
            </w:r>
          </w:p>
        </w:tc>
      </w:tr>
    </w:tbl>
    <w:p>
      <w:pPr>
        <w:spacing w:after="0" w:line="202" w:lineRule="exact"/>
        <w:rPr>
          <w:sz w:val="20"/>
          <w:szCs w:val="20"/>
          <w:color w:val="auto"/>
        </w:rPr>
      </w:pPr>
    </w:p>
    <w:p>
      <w:pPr>
        <w:ind w:right="280" w:firstLine="8"/>
        <w:spacing w:after="0" w:line="52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 to Note 19c for more details about the provision applied to the Argentine value-added tax (VAT) receivable included in sales taxes receivable. ** Refer to Notes 15 and 19 for more details about the derivative assets and the related realized and unrealized gain.</w:t>
      </w:r>
    </w:p>
    <w:p>
      <w:pPr>
        <w:spacing w:after="0" w:line="167"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 xml:space="preserve">10 </w:t>
      </w:r>
      <w:r>
        <w:rPr>
          <w:rFonts w:ascii="Arial" w:cs="Arial" w:eastAsia="Arial" w:hAnsi="Arial"/>
          <w:sz w:val="15"/>
          <w:szCs w:val="15"/>
          <w:b w:val="1"/>
          <w:bCs w:val="1"/>
          <w:color w:val="auto"/>
        </w:rPr>
        <w:t>|</w:t>
      </w:r>
      <w:r>
        <w:rPr>
          <w:rFonts w:ascii="Arial" w:cs="Arial" w:eastAsia="Arial" w:hAnsi="Arial"/>
          <w:sz w:val="15"/>
          <w:szCs w:val="15"/>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DIGITAL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BTC transactions and the corresponding values for the three months ended March 31, 2023 and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w w:val="93"/>
              </w:rPr>
              <w:t>Three months ended March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Quantity</w:t>
            </w: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Quantity</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95"/>
        </w:trPr>
        <w:tc>
          <w:tcPr>
            <w:tcW w:w="6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of digital assets including digital assets pledged as collateral as of</w:t>
            </w:r>
          </w:p>
        </w:tc>
        <w:tc>
          <w:tcPr>
            <w:tcW w:w="12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405</w:t>
            </w:r>
          </w:p>
        </w:tc>
        <w:tc>
          <w:tcPr>
            <w:tcW w:w="15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6,705</w:t>
            </w:r>
          </w:p>
        </w:tc>
        <w:tc>
          <w:tcPr>
            <w:tcW w:w="1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January 1,</w:t>
            </w: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3,301</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152,856</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20"/>
                <w:szCs w:val="20"/>
                <w:color w:val="auto"/>
              </w:rPr>
            </w:pPr>
            <w:r>
              <w:rPr>
                <w:rFonts w:ascii="Arial" w:cs="Arial" w:eastAsia="Arial" w:hAnsi="Arial"/>
                <w:sz w:val="18"/>
                <w:szCs w:val="18"/>
                <w:color w:val="auto"/>
              </w:rPr>
              <w:t>BTC mined*</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1,297</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29,208</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961</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39,725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BTC purchased</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1,000</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43,237</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BTC exchanged for cash and services</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(1,267)</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(28,483)</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108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disposition of digital assets</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587</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unrealized gain on revaluation of digital assets**</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4,362</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of digital assets as of March 31,</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435</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12,379</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5,244</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238,792</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digital assets pledged as collateral as of March 31,***</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(2,122)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(3,064)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(139,534)</w:t>
            </w:r>
          </w:p>
        </w:tc>
        <w:tc>
          <w:tcPr>
            <w:tcW w:w="0" w:type="dxa"/>
            <w:vAlign w:val="bottom"/>
          </w:tcPr>
          <w:p>
            <w:pPr>
              <w:spacing w:after="0"/>
              <w:rPr>
                <w:sz w:val="1"/>
                <w:szCs w:val="1"/>
                <w:color w:val="auto"/>
              </w:rPr>
            </w:pPr>
          </w:p>
        </w:tc>
      </w:tr>
      <w:tr>
        <w:trPr>
          <w:trHeight w:val="191"/>
        </w:trPr>
        <w:tc>
          <w:tcPr>
            <w:tcW w:w="60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2"/>
              </w:rPr>
              <w:t>Balance of digital assets excluding digital assets pledged as collateral as of</w:t>
            </w:r>
          </w:p>
        </w:tc>
        <w:tc>
          <w:tcPr>
            <w:tcW w:w="1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March 31,</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361</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10,257</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2,180</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99,258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Management estimates the fair value of BTC mined on a daily basis as the quantity of cryptocurrency received multiplied by the price quoted on Coinmarketcap on the day it was received. Management considers the prices quoted on Coinmarketcap to be a level 2 input under IFRS 13,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w:t>
      </w:r>
    </w:p>
    <w:p>
      <w:pPr>
        <w:spacing w:after="0" w:line="184" w:lineRule="exact"/>
        <w:rPr>
          <w:sz w:val="20"/>
          <w:szCs w:val="20"/>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portion of the change in unrealized gain on revaluation of digital assets for the three months ended March 31, 2023, is presented in other comprehensive income after reversing previously recorded revaluation loss on digital assets in the statement of profit or loss, totaling $1,225, net of $442 of deferred income tax (three months ended March 31, 2022: nil).</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 to Note 10 for details of the Company’s long-term debt and BTC pledged as collateral.</w:t>
      </w:r>
    </w:p>
    <w:p>
      <w:pPr>
        <w:spacing w:after="0" w:line="200" w:lineRule="exact"/>
        <w:rPr>
          <w:sz w:val="20"/>
          <w:szCs w:val="20"/>
          <w:color w:val="auto"/>
        </w:rPr>
      </w:pPr>
    </w:p>
    <w:p>
      <w:pPr>
        <w:spacing w:after="0" w:line="237"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b w:val="1"/>
          <w:bCs w:val="1"/>
          <w:color w:val="auto"/>
        </w:rPr>
        <w:t>|</w:t>
      </w:r>
      <w:r>
        <w:rPr>
          <w:rFonts w:ascii="Arial" w:cs="Arial" w:eastAsia="Arial" w:hAnsi="Arial"/>
          <w:sz w:val="15"/>
          <w:szCs w:val="15"/>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and December 31, 2022, property, plant and equipment (“PPE”)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BVVE and</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electrical</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Mineral</w:t>
            </w: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Land and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Leasehold</w:t>
            </w: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6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components</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buildings</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improvements</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Vehicles</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0"/>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308,205</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9,000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4,392</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45,278</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1,082</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367,957</w:t>
            </w: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Additions</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18,626</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162</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1,796</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4</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20,588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(5,875)</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(5,937)</w:t>
            </w: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Transfer to assets held for sale</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(5,695)</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(5,695)</w:t>
            </w:r>
          </w:p>
        </w:tc>
      </w:tr>
      <w:tr>
        <w:trPr>
          <w:trHeight w:val="210"/>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2023</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315,261</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9,000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4,554</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47,069</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1,029</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376,913</w:t>
            </w:r>
          </w:p>
        </w:tc>
      </w:tr>
      <w:tr>
        <w:trPr>
          <w:trHeight w:val="209"/>
        </w:trPr>
        <w:tc>
          <w:tcPr>
            <w:tcW w:w="4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r>
      <w:tr>
        <w:trPr>
          <w:trHeight w:val="210"/>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January 1, 2023</w:t>
            </w: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120,097</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6,000</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270</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21,636</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526</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148,529</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19,288</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36</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551</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42</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19,917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Dispositions</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(4,854)</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(42)</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(4,901)</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Transfer to assets held for sale</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(4,933)</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(4,933)</w:t>
            </w: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Impairment on deposits transferred to PPE</w:t>
            </w: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7,311</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7,311</w:t>
            </w:r>
          </w:p>
        </w:tc>
      </w:tr>
      <w:tr>
        <w:trPr>
          <w:trHeight w:val="209"/>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2023</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136,909</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6,000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306</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22,182</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526</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165,923</w:t>
            </w:r>
          </w:p>
        </w:tc>
      </w:tr>
      <w:tr>
        <w:trPr>
          <w:trHeight w:val="210"/>
        </w:trPr>
        <w:tc>
          <w:tcPr>
            <w:tcW w:w="4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6"/>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book value as of March 31, 2023</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178,352</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4,248</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24,887</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503</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210,990</w:t>
            </w:r>
          </w:p>
        </w:tc>
      </w:tr>
      <w:tr>
        <w:trPr>
          <w:trHeight w:val="414"/>
        </w:trPr>
        <w:tc>
          <w:tcPr>
            <w:tcW w:w="4600" w:type="dxa"/>
            <w:vAlign w:val="bottom"/>
          </w:tcPr>
          <w:p>
            <w:pPr>
              <w:spacing w:after="0"/>
              <w:rPr>
                <w:sz w:val="24"/>
                <w:szCs w:val="24"/>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BVVE and</w:t>
            </w:r>
          </w:p>
        </w:tc>
        <w:tc>
          <w:tcPr>
            <w:tcW w:w="88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Land</w:t>
            </w: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600" w:type="dxa"/>
            <w:vAlign w:val="bottom"/>
          </w:tcPr>
          <w:p>
            <w:pPr>
              <w:spacing w:after="0"/>
              <w:rPr>
                <w:sz w:val="18"/>
                <w:szCs w:val="18"/>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electrical</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Mineral</w:t>
            </w: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and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Leasehold</w:t>
            </w: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6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components</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buildings</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improvements</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Vehicles</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0"/>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156,647</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4,549</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5,783</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547</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176,526</w:t>
            </w: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Measurement period adjustment to business combination</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(1,127)</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164,437</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3,239</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39,495</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552</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207,723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Dispositions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(3,609)</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(3,378)</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800" w:type="dxa"/>
            <w:vAlign w:val="bottom"/>
          </w:tcPr>
          <w:p>
            <w:pPr>
              <w:jc w:val="right"/>
              <w:spacing w:after="0"/>
              <w:rPr>
                <w:sz w:val="20"/>
                <w:szCs w:val="20"/>
                <w:color w:val="auto"/>
              </w:rPr>
            </w:pPr>
            <w:r>
              <w:rPr>
                <w:rFonts w:ascii="Arial" w:cs="Arial" w:eastAsia="Arial" w:hAnsi="Arial"/>
                <w:sz w:val="18"/>
                <w:szCs w:val="18"/>
                <w:color w:val="auto"/>
              </w:rPr>
              <w:t>(7,004)</w:t>
            </w:r>
          </w:p>
        </w:tc>
      </w:tr>
      <w:tr>
        <w:trPr>
          <w:trHeight w:val="216"/>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Transfer to assets held for sale</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(8,143)</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r>
      <w:tr>
        <w:trPr>
          <w:trHeight w:val="209"/>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December 31, 2022</w:t>
            </w: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308,205</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9,000</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4,392</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45,278</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1,082</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367,957</w:t>
            </w:r>
          </w:p>
        </w:tc>
      </w:tr>
      <w:tr>
        <w:trPr>
          <w:trHeight w:val="210"/>
        </w:trPr>
        <w:tc>
          <w:tcPr>
            <w:tcW w:w="46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Depreciation</w:t>
            </w: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0"/>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35,766</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286</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1,560</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264</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39,676</w:t>
            </w: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Depreciation</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66,319</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193</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1,703</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68,339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(2,562)</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Transfer to assets held for sale</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(6,040)</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24,820</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4,200</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157</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13,107</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42,435</w:t>
            </w: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Impairment on deposits transferred to PPE</w:t>
            </w: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1,794</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5,266</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7,060</w:t>
            </w:r>
          </w:p>
        </w:tc>
      </w:tr>
      <w:tr>
        <w:trPr>
          <w:trHeight w:val="209"/>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120,097</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21,636</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526</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148,529</w:t>
            </w:r>
          </w:p>
        </w:tc>
      </w:tr>
      <w:tr>
        <w:trPr>
          <w:trHeight w:val="210"/>
        </w:trPr>
        <w:tc>
          <w:tcPr>
            <w:tcW w:w="4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7"/>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book value as of December 31, 2022</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188,108</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4,122</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23,642</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556</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219,428</w:t>
            </w:r>
          </w:p>
        </w:tc>
      </w:tr>
    </w:tbl>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7: PROPERTY, PLANT AND EQUIPMENT </w:t>
      </w:r>
      <w:r>
        <w:rPr>
          <w:rFonts w:ascii="Arial" w:cs="Arial" w:eastAsia="Arial" w:hAnsi="Arial"/>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BVVE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of the quantity and models of BTC BVVE held by the Company are as follows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Innosilicon</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560" w:type="dxa"/>
            <w:vAlign w:val="bottom"/>
          </w:tcPr>
          <w:p>
            <w:pPr>
              <w:jc w:val="right"/>
              <w:ind w:right="150"/>
              <w:spacing w:after="0"/>
              <w:rPr>
                <w:sz w:val="20"/>
                <w:szCs w:val="20"/>
                <w:color w:val="auto"/>
              </w:rPr>
            </w:pPr>
            <w:r>
              <w:rPr>
                <w:rFonts w:ascii="Arial" w:cs="Arial" w:eastAsia="Arial" w:hAnsi="Arial"/>
                <w:sz w:val="18"/>
                <w:szCs w:val="18"/>
                <w:b w:val="1"/>
                <w:bCs w:val="1"/>
                <w:color w:val="auto"/>
              </w:rPr>
              <w:t>MicroBT</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Bitmain</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T3 &amp;</w:t>
            </w: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Bitmain</w:t>
            </w:r>
          </w:p>
        </w:tc>
        <w:tc>
          <w:tcPr>
            <w:tcW w:w="880" w:type="dxa"/>
            <w:vAlign w:val="bottom"/>
          </w:tcPr>
          <w:p>
            <w:pPr>
              <w:spacing w:after="0"/>
              <w:rPr>
                <w:sz w:val="18"/>
                <w:szCs w:val="18"/>
                <w:color w:val="auto"/>
              </w:rPr>
            </w:pPr>
          </w:p>
        </w:tc>
      </w:tr>
      <w:tr>
        <w:trPr>
          <w:trHeight w:val="234"/>
        </w:trPr>
        <w:tc>
          <w:tcPr>
            <w:tcW w:w="43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Whatsminer*</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S19j Pro</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T2T**</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S19XP</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09"/>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Quantity as of January 1, 2023</w:t>
            </w:r>
          </w:p>
        </w:tc>
        <w:tc>
          <w:tcPr>
            <w:tcW w:w="2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45,375</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7,172</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5,711</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58,258</w:t>
            </w: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Additions</w:t>
            </w:r>
          </w:p>
        </w:tc>
        <w:tc>
          <w:tcPr>
            <w:tcW w:w="2560" w:type="dxa"/>
            <w:vAlign w:val="bottom"/>
          </w:tcPr>
          <w:p>
            <w:pPr>
              <w:jc w:val="right"/>
              <w:ind w:right="150"/>
              <w:spacing w:after="0"/>
              <w:rPr>
                <w:sz w:val="20"/>
                <w:szCs w:val="20"/>
                <w:color w:val="auto"/>
              </w:rPr>
            </w:pPr>
            <w:r>
              <w:rPr>
                <w:rFonts w:ascii="Arial" w:cs="Arial" w:eastAsia="Arial" w:hAnsi="Arial"/>
                <w:sz w:val="18"/>
                <w:szCs w:val="18"/>
                <w:b w:val="1"/>
                <w:bCs w:val="1"/>
                <w:color w:val="auto"/>
              </w:rPr>
              <w:t>2,826</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409</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3,235</w:t>
            </w:r>
          </w:p>
        </w:tc>
      </w:tr>
      <w:tr>
        <w:trPr>
          <w:trHeight w:val="216"/>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Dispositions</w:t>
            </w: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(300)</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(2,591)</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(3,300)</w:t>
            </w:r>
          </w:p>
        </w:tc>
      </w:tr>
      <w:tr>
        <w:trPr>
          <w:trHeight w:val="217"/>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Quantity as of March 31, 2023</w:t>
            </w:r>
          </w:p>
        </w:tc>
        <w:tc>
          <w:tcPr>
            <w:tcW w:w="2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47,901</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7,172</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3,120</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58,193</w:t>
            </w:r>
          </w:p>
        </w:tc>
      </w:tr>
      <w:tr>
        <w:trPr>
          <w:trHeight w:val="216"/>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Classified as assets held for sale</w:t>
            </w: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(2,212)</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(3,120)</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(5,332)</w:t>
            </w:r>
          </w:p>
        </w:tc>
      </w:tr>
      <w:tr>
        <w:trPr>
          <w:trHeight w:val="217"/>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Presented as property, plant and equipment</w:t>
            </w:r>
          </w:p>
        </w:tc>
        <w:tc>
          <w:tcPr>
            <w:tcW w:w="2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45,689</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7,172</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52,861</w:t>
            </w:r>
          </w:p>
        </w:tc>
      </w:tr>
    </w:tbl>
    <w:p>
      <w:pPr>
        <w:spacing w:after="0" w:line="202" w:lineRule="exact"/>
        <w:rPr>
          <w:sz w:val="20"/>
          <w:szCs w:val="20"/>
          <w:color w:val="auto"/>
        </w:rPr>
      </w:pPr>
    </w:p>
    <w:p>
      <w:pPr>
        <w:ind w:right="4040" w:firstLine="8"/>
        <w:spacing w:after="0" w:line="573" w:lineRule="auto"/>
        <w:tabs>
          <w:tab w:leader="none" w:pos="32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2,212 M20S classified as assets held for sale, 33,036 M30S and 12,653 M31S Miners. ** Includes 1,848 T3 and 1,272 T2T Miners classified as assets held for sale.</w:t>
      </w:r>
    </w:p>
    <w:p>
      <w:pPr>
        <w:spacing w:after="0" w:line="170"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b w:val="1"/>
          <w:bCs w:val="1"/>
          <w:color w:val="auto"/>
        </w:rPr>
        <w:t>|</w:t>
      </w:r>
      <w:r>
        <w:rPr>
          <w:rFonts w:ascii="Arial" w:cs="Arial" w:eastAsia="Arial" w:hAnsi="Arial"/>
          <w:sz w:val="15"/>
          <w:szCs w:val="15"/>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DEPOSITS, EQUIPMENT PREPAYMENTS, OTHER AND COMMITMENTS</w:t>
      </w:r>
    </w:p>
    <w:p>
      <w:pPr>
        <w:spacing w:after="0" w:line="225" w:lineRule="exact"/>
        <w:rPr>
          <w:sz w:val="20"/>
          <w:szCs w:val="20"/>
          <w:color w:val="auto"/>
        </w:rPr>
      </w:pPr>
    </w:p>
    <w:p>
      <w:pPr>
        <w:ind w:left="8240"/>
        <w:spacing w:after="0"/>
        <w:tabs>
          <w:tab w:leader="none" w:pos="9660" w:val="left"/>
        </w:tabs>
        <w:rPr>
          <w:sz w:val="20"/>
          <w:szCs w:val="20"/>
          <w:color w:val="auto"/>
        </w:rPr>
      </w:pPr>
      <w:r>
        <w:rPr>
          <w:rFonts w:ascii="Arial" w:cs="Arial" w:eastAsia="Arial" w:hAnsi="Arial"/>
          <w:sz w:val="18"/>
          <w:szCs w:val="18"/>
          <w:b w:val="1"/>
          <w:bCs w:val="1"/>
          <w:color w:val="auto"/>
        </w:rPr>
        <w:t>As of March 31,</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 w:type="dxa"/>
            <w:vAlign w:val="bottom"/>
            <w:tcBorders>
              <w:top w:val="single" w:sz="8" w:color="auto"/>
              <w:bottom w:val="single" w:sz="8" w:color="auto"/>
            </w:tcBorders>
          </w:tcPr>
          <w:p>
            <w:pPr>
              <w:spacing w:after="0"/>
              <w:rPr>
                <w:sz w:val="18"/>
                <w:szCs w:val="18"/>
                <w:color w:val="auto"/>
              </w:rPr>
            </w:pPr>
          </w:p>
        </w:tc>
        <w:tc>
          <w:tcPr>
            <w:tcW w:w="68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receivable</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1,811</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2,083</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Security deposits for energy, insurance and rent</w:t>
            </w:r>
          </w:p>
        </w:tc>
        <w:tc>
          <w:tcPr>
            <w:tcW w:w="1060" w:type="dxa"/>
            <w:vAlign w:val="bottom"/>
          </w:tcPr>
          <w:p>
            <w:pPr>
              <w:spacing w:after="0"/>
              <w:rPr>
                <w:sz w:val="18"/>
                <w:szCs w:val="18"/>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4,211</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3,872</w:t>
            </w:r>
          </w:p>
        </w:tc>
      </w:tr>
      <w:tr>
        <w:trPr>
          <w:trHeight w:val="216"/>
        </w:trPr>
        <w:tc>
          <w:tcPr>
            <w:tcW w:w="7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Equipment and construction prepayments</w:t>
            </w:r>
          </w:p>
        </w:tc>
        <w:tc>
          <w:tcPr>
            <w:tcW w:w="10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b</w:t>
            </w:r>
          </w:p>
        </w:tc>
        <w:tc>
          <w:tcPr>
            <w:tcW w:w="17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25,612</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32,230</w:t>
            </w:r>
          </w:p>
        </w:tc>
      </w:tr>
      <w:tr>
        <w:trPr>
          <w:trHeight w:val="217"/>
        </w:trPr>
        <w:tc>
          <w:tcPr>
            <w:tcW w:w="40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31,634</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38,185</w:t>
            </w:r>
          </w:p>
        </w:tc>
      </w:tr>
      <w:tr>
        <w:trPr>
          <w:trHeight w:val="418"/>
        </w:trPr>
        <w:tc>
          <w:tcPr>
            <w:tcW w:w="400" w:type="dxa"/>
            <w:vAlign w:val="bottom"/>
          </w:tcPr>
          <w:p>
            <w:pPr>
              <w:spacing w:after="0"/>
              <w:rPr>
                <w:sz w:val="20"/>
                <w:szCs w:val="20"/>
                <w:color w:val="auto"/>
              </w:rPr>
            </w:pPr>
            <w:r>
              <w:rPr>
                <w:rFonts w:ascii="Arial" w:cs="Arial" w:eastAsia="Arial" w:hAnsi="Arial"/>
                <w:sz w:val="18"/>
                <w:szCs w:val="18"/>
                <w:b w:val="1"/>
                <w:bCs w:val="1"/>
                <w:color w:val="auto"/>
              </w:rPr>
              <w:t>a.</w:t>
            </w:r>
          </w:p>
        </w:tc>
        <w:tc>
          <w:tcPr>
            <w:tcW w:w="6820" w:type="dxa"/>
            <w:vAlign w:val="bottom"/>
          </w:tcPr>
          <w:p>
            <w:pPr>
              <w:ind w:left="260"/>
              <w:spacing w:after="0"/>
              <w:rPr>
                <w:sz w:val="20"/>
                <w:szCs w:val="20"/>
                <w:color w:val="auto"/>
              </w:rPr>
            </w:pPr>
            <w:r>
              <w:rPr>
                <w:rFonts w:ascii="Arial" w:cs="Arial" w:eastAsia="Arial" w:hAnsi="Arial"/>
                <w:sz w:val="18"/>
                <w:szCs w:val="18"/>
                <w:b w:val="1"/>
                <w:bCs w:val="1"/>
                <w:color w:val="auto"/>
              </w:rPr>
              <w:t>Refundable Argentine value-added tax (“VAT”)</w:t>
            </w: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w w:val="93"/>
              </w:rPr>
              <w:t>Refer to Note 19 for details about the discount expense applied to the Argentine VAT receivable.</w:t>
            </w:r>
          </w:p>
        </w:tc>
        <w:tc>
          <w:tcPr>
            <w:tcW w:w="1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9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Equipment and construction prepayments</w:t>
      </w:r>
    </w:p>
    <w:p>
      <w:pPr>
        <w:spacing w:after="0" w:line="27" w:lineRule="exact"/>
        <w:rPr>
          <w:sz w:val="20"/>
          <w:szCs w:val="20"/>
          <w:color w:val="auto"/>
        </w:rPr>
      </w:pPr>
    </w:p>
    <w:p>
      <w:pPr>
        <w:jc w:val="both"/>
        <w:ind w:left="20" w:hanging="4"/>
        <w:spacing w:after="0" w:line="255" w:lineRule="auto"/>
        <w:rPr>
          <w:sz w:val="20"/>
          <w:szCs w:val="20"/>
          <w:color w:val="auto"/>
        </w:rPr>
      </w:pPr>
      <w:r>
        <w:rPr>
          <w:rFonts w:ascii="Arial" w:cs="Arial" w:eastAsia="Arial" w:hAnsi="Arial"/>
          <w:sz w:val="18"/>
          <w:szCs w:val="18"/>
          <w:color w:val="auto"/>
        </w:rPr>
        <w:t>As of March 31, 2023, the Company has deposits on BVVE and electrical components in the amount of $20,745, which includes the $22,376 credit for future purchase agreements, as described below, with a book value of $14,464, net of previously recorded impairment. In addition, the Company has deposits for construction work and materials in the amount of $4,867, mainly for the Argentina expansion.</w:t>
      </w:r>
    </w:p>
    <w:p>
      <w:pPr>
        <w:spacing w:after="0" w:line="190" w:lineRule="exact"/>
        <w:rPr>
          <w:sz w:val="20"/>
          <w:szCs w:val="20"/>
          <w:color w:val="auto"/>
        </w:rPr>
      </w:pPr>
    </w:p>
    <w:p>
      <w:pPr>
        <w:jc w:val="both"/>
        <w:ind w:left="20" w:hanging="4"/>
        <w:spacing w:after="0" w:line="342" w:lineRule="auto"/>
        <w:rPr>
          <w:sz w:val="20"/>
          <w:szCs w:val="20"/>
          <w:color w:val="auto"/>
        </w:rPr>
      </w:pPr>
      <w:r>
        <w:rPr>
          <w:rFonts w:ascii="Arial" w:cs="Arial" w:eastAsia="Arial" w:hAnsi="Arial"/>
          <w:sz w:val="16"/>
          <w:szCs w:val="16"/>
          <w:color w:val="auto"/>
        </w:rPr>
        <w:t>In December 2022, the Company renegotiated its 48,000 unit purchase agreements by extinguishing the outstanding commitments of $45,350 without penalty and establishing a $22,376 credit for deposits previously made which will be applied against future purchase agreements before October 1, 2023.</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Commitments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March 31, 2023, the Company had no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TRADE PAYABLES AND ACCRUED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As of March 31,</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As of December 31,</w:t>
            </w:r>
          </w:p>
        </w:tc>
      </w:tr>
      <w:tr>
        <w:trPr>
          <w:trHeight w:val="210"/>
        </w:trPr>
        <w:tc>
          <w:tcPr>
            <w:tcW w:w="57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 and accrued liabilities</w:t>
            </w:r>
          </w:p>
        </w:tc>
        <w:tc>
          <w:tcPr>
            <w:tcW w:w="3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11,921</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12,897</w:t>
            </w:r>
          </w:p>
        </w:tc>
      </w:tr>
      <w:tr>
        <w:trPr>
          <w:trHeight w:val="216"/>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Government remittances</w:t>
            </w:r>
          </w:p>
        </w:tc>
        <w:tc>
          <w:tcPr>
            <w:tcW w:w="3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7,665</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7,644</w:t>
            </w:r>
          </w:p>
        </w:tc>
      </w:tr>
      <w:tr>
        <w:trPr>
          <w:trHeight w:val="216"/>
        </w:trPr>
        <w:tc>
          <w:tcPr>
            <w:tcW w:w="5740" w:type="dxa"/>
            <w:vAlign w:val="bottom"/>
            <w:tcBorders>
              <w:bottom w:val="single" w:sz="8" w:color="auto"/>
            </w:tcBorders>
            <w:shd w:val="clear" w:color="auto" w:fill="CCEEFF"/>
          </w:tcPr>
          <w:p>
            <w:pPr>
              <w:spacing w:after="0"/>
              <w:rPr>
                <w:sz w:val="18"/>
                <w:szCs w:val="18"/>
                <w:color w:val="auto"/>
              </w:rPr>
            </w:pPr>
          </w:p>
        </w:tc>
        <w:tc>
          <w:tcPr>
            <w:tcW w:w="3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19,586</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20,541</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w:t>
      </w:r>
    </w:p>
    <w:p>
      <w:pPr>
        <w:spacing w:after="0" w:line="225" w:lineRule="exact"/>
        <w:rPr>
          <w:sz w:val="20"/>
          <w:szCs w:val="20"/>
          <w:color w:val="auto"/>
        </w:rPr>
      </w:pPr>
    </w:p>
    <w:p>
      <w:pPr>
        <w:ind w:left="8240"/>
        <w:spacing w:after="0"/>
        <w:tabs>
          <w:tab w:leader="none" w:pos="9660" w:val="left"/>
        </w:tabs>
        <w:rPr>
          <w:sz w:val="20"/>
          <w:szCs w:val="20"/>
          <w:color w:val="auto"/>
        </w:rPr>
      </w:pPr>
      <w:r>
        <w:rPr>
          <w:rFonts w:ascii="Arial" w:cs="Arial" w:eastAsia="Arial" w:hAnsi="Arial"/>
          <w:sz w:val="18"/>
          <w:szCs w:val="18"/>
          <w:b w:val="1"/>
          <w:bCs w:val="1"/>
          <w:color w:val="auto"/>
        </w:rPr>
        <w:t>As of March 31,</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00" w:type="dxa"/>
            <w:vAlign w:val="bottom"/>
            <w:tcBorders>
              <w:top w:val="single" w:sz="8" w:color="auto"/>
              <w:bottom w:val="single" w:sz="8" w:color="auto"/>
            </w:tcBorders>
          </w:tcPr>
          <w:p>
            <w:pPr>
              <w:spacing w:after="0"/>
              <w:rPr>
                <w:sz w:val="18"/>
                <w:szCs w:val="18"/>
                <w:color w:val="auto"/>
              </w:rPr>
            </w:pPr>
          </w:p>
        </w:tc>
        <w:tc>
          <w:tcPr>
            <w:tcW w:w="4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10"/>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Equipment financing</w:t>
            </w:r>
          </w:p>
        </w:tc>
        <w:tc>
          <w:tcPr>
            <w:tcW w:w="4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20,979</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47,020</w:t>
            </w:r>
          </w:p>
        </w:tc>
      </w:tr>
      <w:tr>
        <w:trPr>
          <w:trHeight w:val="216"/>
        </w:trPr>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Volta note payable</w:t>
            </w:r>
          </w:p>
        </w:tc>
        <w:tc>
          <w:tcPr>
            <w:tcW w:w="4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r>
      <w:tr>
        <w:trPr>
          <w:trHeight w:val="209"/>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long-term debt</w:t>
            </w:r>
          </w:p>
        </w:tc>
        <w:tc>
          <w:tcPr>
            <w:tcW w:w="4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21,093</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47,147</w:t>
            </w:r>
          </w:p>
        </w:tc>
      </w:tr>
      <w:tr>
        <w:trPr>
          <w:trHeight w:val="216"/>
        </w:trPr>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Less current portion of long-term debt</w:t>
            </w:r>
          </w:p>
        </w:tc>
        <w:tc>
          <w:tcPr>
            <w:tcW w:w="4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(21,026)</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(43,054)</w:t>
            </w:r>
          </w:p>
        </w:tc>
      </w:tr>
      <w:tr>
        <w:trPr>
          <w:trHeight w:val="216"/>
        </w:trPr>
        <w:tc>
          <w:tcPr>
            <w:tcW w:w="5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Non-current portion of long-term debt</w:t>
            </w:r>
          </w:p>
        </w:tc>
        <w:tc>
          <w:tcPr>
            <w:tcW w:w="4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4,093</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Movement in long-term debt is as follows:</w:t>
            </w:r>
          </w:p>
        </w:tc>
        <w:tc>
          <w:tcPr>
            <w:tcW w:w="40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55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As of March 31,</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As of December 31</w:t>
            </w:r>
          </w:p>
        </w:tc>
      </w:tr>
      <w:tr>
        <w:trPr>
          <w:trHeight w:val="210"/>
        </w:trPr>
        <w:tc>
          <w:tcPr>
            <w:tcW w:w="55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500" w:type="dxa"/>
            <w:vAlign w:val="bottom"/>
          </w:tcPr>
          <w:p>
            <w:pPr>
              <w:spacing w:after="0"/>
              <w:rPr>
                <w:sz w:val="18"/>
                <w:szCs w:val="18"/>
                <w:color w:val="auto"/>
              </w:rPr>
            </w:pPr>
          </w:p>
        </w:tc>
        <w:tc>
          <w:tcPr>
            <w:tcW w:w="4080" w:type="dxa"/>
            <w:vAlign w:val="bottom"/>
          </w:tcPr>
          <w:p>
            <w:pPr>
              <w:jc w:val="right"/>
              <w:ind w:right="170"/>
              <w:spacing w:after="0"/>
              <w:rPr>
                <w:sz w:val="20"/>
                <w:szCs w:val="20"/>
                <w:color w:val="auto"/>
              </w:rPr>
            </w:pPr>
            <w:r>
              <w:rPr>
                <w:rFonts w:ascii="Arial" w:cs="Arial" w:eastAsia="Arial" w:hAnsi="Arial"/>
                <w:sz w:val="18"/>
                <w:szCs w:val="18"/>
                <w:color w:val="auto"/>
              </w:rPr>
              <w:t>three-month period</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w w:val="94"/>
              </w:rPr>
              <w:t>twelve-month period</w:t>
            </w:r>
          </w:p>
        </w:tc>
      </w:tr>
      <w:tr>
        <w:trPr>
          <w:trHeight w:val="216"/>
        </w:trPr>
        <w:tc>
          <w:tcPr>
            <w:tcW w:w="5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Balance as of January 1,</w:t>
            </w:r>
          </w:p>
        </w:tc>
        <w:tc>
          <w:tcPr>
            <w:tcW w:w="40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47,147</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11,167</w:t>
            </w:r>
          </w:p>
        </w:tc>
      </w:tr>
      <w:tr>
        <w:trPr>
          <w:trHeight w:val="209"/>
        </w:trPr>
        <w:tc>
          <w:tcPr>
            <w:tcW w:w="5500" w:type="dxa"/>
            <w:vAlign w:val="bottom"/>
          </w:tcPr>
          <w:p>
            <w:pPr>
              <w:ind w:left="60"/>
              <w:spacing w:after="0"/>
              <w:rPr>
                <w:sz w:val="20"/>
                <w:szCs w:val="20"/>
                <w:color w:val="auto"/>
              </w:rPr>
            </w:pPr>
            <w:r>
              <w:rPr>
                <w:rFonts w:ascii="Arial" w:cs="Arial" w:eastAsia="Arial" w:hAnsi="Arial"/>
                <w:sz w:val="18"/>
                <w:szCs w:val="18"/>
                <w:color w:val="auto"/>
              </w:rPr>
              <w:t>Issuance of long-term debt</w:t>
            </w:r>
          </w:p>
        </w:tc>
        <w:tc>
          <w:tcPr>
            <w:tcW w:w="40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67,201</w:t>
            </w: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Payments</w:t>
            </w:r>
          </w:p>
        </w:tc>
        <w:tc>
          <w:tcPr>
            <w:tcW w:w="40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(14,725)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(38,532)</w:t>
            </w:r>
          </w:p>
        </w:tc>
      </w:tr>
      <w:tr>
        <w:trPr>
          <w:trHeight w:val="216"/>
        </w:trPr>
        <w:tc>
          <w:tcPr>
            <w:tcW w:w="5500" w:type="dxa"/>
            <w:vAlign w:val="bottom"/>
          </w:tcPr>
          <w:p>
            <w:pPr>
              <w:ind w:left="60"/>
              <w:spacing w:after="0"/>
              <w:rPr>
                <w:sz w:val="20"/>
                <w:szCs w:val="20"/>
                <w:color w:val="auto"/>
              </w:rPr>
            </w:pPr>
            <w:r>
              <w:rPr>
                <w:rFonts w:ascii="Arial" w:cs="Arial" w:eastAsia="Arial" w:hAnsi="Arial"/>
                <w:sz w:val="18"/>
                <w:szCs w:val="18"/>
                <w:color w:val="auto"/>
              </w:rPr>
              <w:t>Gain on extinguishment of long-term debt</w:t>
            </w:r>
          </w:p>
        </w:tc>
        <w:tc>
          <w:tcPr>
            <w:tcW w:w="4080" w:type="dxa"/>
            <w:vAlign w:val="bottom"/>
          </w:tcPr>
          <w:p>
            <w:pPr>
              <w:jc w:val="right"/>
              <w:ind w:right="110"/>
              <w:spacing w:after="0"/>
              <w:rPr>
                <w:sz w:val="20"/>
                <w:szCs w:val="20"/>
                <w:color w:val="auto"/>
              </w:rPr>
            </w:pPr>
            <w:r>
              <w:rPr>
                <w:rFonts w:ascii="Arial" w:cs="Arial" w:eastAsia="Arial" w:hAnsi="Arial"/>
                <w:sz w:val="18"/>
                <w:szCs w:val="18"/>
                <w:b w:val="1"/>
                <w:bCs w:val="1"/>
                <w:color w:val="auto"/>
              </w:rPr>
              <w:t>(12,580)</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Interest on long-term debt</w:t>
            </w:r>
          </w:p>
        </w:tc>
        <w:tc>
          <w:tcPr>
            <w:tcW w:w="40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1,251</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7,311</w:t>
            </w:r>
          </w:p>
        </w:tc>
      </w:tr>
      <w:tr>
        <w:trPr>
          <w:trHeight w:val="217"/>
        </w:trPr>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Balance as of period end</w:t>
            </w:r>
          </w:p>
        </w:tc>
        <w:tc>
          <w:tcPr>
            <w:tcW w:w="4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21,093</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47,147</w:t>
            </w:r>
          </w:p>
        </w:tc>
      </w:tr>
    </w:tbl>
    <w:p>
      <w:pPr>
        <w:spacing w:after="0" w:line="198" w:lineRule="exact"/>
        <w:rPr>
          <w:sz w:val="20"/>
          <w:szCs w:val="20"/>
          <w:color w:val="auto"/>
        </w:rPr>
      </w:pPr>
    </w:p>
    <w:p>
      <w:pPr>
        <w:ind w:left="20" w:right="7940" w:hanging="12"/>
        <w:spacing w:after="0" w:line="313" w:lineRule="auto"/>
        <w:tabs>
          <w:tab w:leader="none" w:pos="653"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Equipment financing activity </w:t>
      </w:r>
      <w:r>
        <w:rPr>
          <w:rFonts w:ascii="Arial" w:cs="Arial" w:eastAsia="Arial" w:hAnsi="Arial"/>
          <w:sz w:val="15"/>
          <w:szCs w:val="15"/>
          <w:b w:val="1"/>
          <w:bCs w:val="1"/>
          <w:i w:val="1"/>
          <w:iCs w:val="1"/>
          <w:color w:val="auto"/>
        </w:rPr>
        <w:t>Repayment of Foundry Loans #2, #3 and #4</w:t>
      </w:r>
    </w:p>
    <w:p>
      <w:pPr>
        <w:jc w:val="both"/>
        <w:ind w:left="20" w:hanging="5"/>
        <w:spacing w:after="0" w:line="277" w:lineRule="auto"/>
        <w:rPr>
          <w:rFonts w:ascii="Arial" w:cs="Arial" w:eastAsia="Arial" w:hAnsi="Arial"/>
          <w:sz w:val="15"/>
          <w:szCs w:val="15"/>
          <w:b w:val="1"/>
          <w:bCs w:val="1"/>
          <w:color w:val="auto"/>
        </w:rPr>
      </w:pPr>
      <w:r>
        <w:rPr>
          <w:rFonts w:ascii="Arial" w:cs="Arial" w:eastAsia="Arial" w:hAnsi="Arial"/>
          <w:sz w:val="17"/>
          <w:szCs w:val="17"/>
          <w:color w:val="auto"/>
        </w:rPr>
        <w:t>In April and May 2021, the Company entered into four loan agreements for the acquisition of 2,465 Whatsminer Miners referred to as “Foundry Loans #1, #2, #3 and #4.” During 2022, Foundry Loan #1 matured and was fully repaid. In January 2023, the principal amounts of the remaining Foundry Loans #2, #3 and #4 were fully repaid before their maturity date with forgiveness of prepayment penalties totaling $829.</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Settlement of the BlockFi Loan</w:t>
      </w:r>
    </w:p>
    <w:p>
      <w:pPr>
        <w:spacing w:after="0" w:line="23" w:lineRule="exact"/>
        <w:rPr>
          <w:sz w:val="20"/>
          <w:szCs w:val="20"/>
          <w:color w:val="auto"/>
        </w:rPr>
      </w:pPr>
    </w:p>
    <w:p>
      <w:pPr>
        <w:jc w:val="both"/>
        <w:ind w:left="20" w:hanging="4"/>
        <w:spacing w:after="0" w:line="255" w:lineRule="auto"/>
        <w:rPr>
          <w:sz w:val="20"/>
          <w:szCs w:val="20"/>
          <w:color w:val="auto"/>
        </w:rPr>
      </w:pPr>
      <w:r>
        <w:rPr>
          <w:rFonts w:ascii="Arial" w:cs="Arial" w:eastAsia="Arial" w:hAnsi="Arial"/>
          <w:sz w:val="18"/>
          <w:szCs w:val="18"/>
          <w:color w:val="auto"/>
        </w:rPr>
        <w:t>In February 2022, the Company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90"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In December 2022, the Company ceased making installment payments, which constituted a default under the loan agreement and the loan was classified as current.</w:t>
      </w:r>
    </w:p>
    <w:p>
      <w:pPr>
        <w:spacing w:after="0" w:line="170" w:lineRule="exact"/>
        <w:rPr>
          <w:sz w:val="20"/>
          <w:szCs w:val="20"/>
          <w:color w:val="auto"/>
        </w:rPr>
      </w:pPr>
    </w:p>
    <w:p>
      <w:pPr>
        <w:jc w:val="both"/>
        <w:ind w:left="20" w:hanging="4"/>
        <w:spacing w:after="0" w:line="279" w:lineRule="auto"/>
        <w:rPr>
          <w:sz w:val="20"/>
          <w:szCs w:val="20"/>
          <w:color w:val="auto"/>
        </w:rPr>
      </w:pPr>
      <w:r>
        <w:rPr>
          <w:rFonts w:ascii="Arial" w:cs="Arial" w:eastAsia="Arial" w:hAnsi="Arial"/>
          <w:sz w:val="17"/>
          <w:szCs w:val="17"/>
          <w:color w:val="auto"/>
        </w:rPr>
        <w:t>On February 8, 2023, BlockFi and the Company negotiated a settlement of the loan in its entirety with a then outstanding debt balance of $20,330 for cash consideration of $7,750, discharging Backbone Mining of all further obligations and resulting in a gain on extinguishment of long-term debt of $12,580 recognized in net financial income in the consolidated statements of profit or loss and comprehensive profit and loss during the three months ended March 31, 2023. Upon settlement, all of Backbone Mining’s assets, including the 6,100 Miners collateralizing the loan, were unencumbered.</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LONG-TERM DEBT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financing activity </w:t>
      </w:r>
      <w:r>
        <w:rPr>
          <w:rFonts w:ascii="Arial" w:cs="Arial" w:eastAsia="Arial" w:hAnsi="Arial"/>
          <w:sz w:val="18"/>
          <w:szCs w:val="18"/>
          <w:color w:val="auto"/>
        </w:rPr>
        <w:t>(continued)</w:t>
      </w:r>
    </w:p>
    <w:p>
      <w:pPr>
        <w:spacing w:after="0" w:line="27" w:lineRule="exact"/>
        <w:rPr>
          <w:rFonts w:ascii="Arial" w:cs="Arial" w:eastAsia="Arial" w:hAnsi="Arial"/>
          <w:sz w:val="18"/>
          <w:szCs w:val="18"/>
          <w:b w:val="1"/>
          <w:bCs w:val="1"/>
          <w:color w:val="auto"/>
        </w:rPr>
      </w:pPr>
    </w:p>
    <w:p>
      <w:pPr>
        <w:ind w:left="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NYDIG Loan</w:t>
      </w:r>
    </w:p>
    <w:p>
      <w:pPr>
        <w:spacing w:after="0" w:line="9" w:lineRule="exact"/>
        <w:rPr>
          <w:rFonts w:ascii="Arial" w:cs="Arial" w:eastAsia="Arial" w:hAnsi="Arial"/>
          <w:sz w:val="18"/>
          <w:szCs w:val="18"/>
          <w:b w:val="1"/>
          <w:bCs w:val="1"/>
          <w:color w:val="auto"/>
        </w:rPr>
      </w:pPr>
    </w:p>
    <w:p>
      <w:pPr>
        <w:jc w:val="both"/>
        <w:ind w:left="20" w:hanging="5"/>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In June 2022, the Company entered into an equipment financing agreement, referred to as the “NYDIG Loan”, for gross proceeds of $36,860 collateralized by 10,395 Whatsminer M30S Miners. The net proceeds received by the Company were $36,123 net of origination and closing fees of $737. As part of the agreement, the Company must maintain in an identified wallet an approximate quantity of BTC whose value equates to one month of interest and principal payments on the outstanding loan. The Company pledged 74 BTC as collateral with a fair market value of $2,122 as of March 31, 2023. The pledged BTC is held in a segregated Coinbase Custody account, which BTC is owned by the Company unless there is an event of default under the NYDIG Loan.</w:t>
      </w:r>
    </w:p>
    <w:p>
      <w:pPr>
        <w:spacing w:after="0" w:line="158" w:lineRule="exact"/>
        <w:rPr>
          <w:rFonts w:ascii="Arial" w:cs="Arial" w:eastAsia="Arial" w:hAnsi="Arial"/>
          <w:sz w:val="18"/>
          <w:szCs w:val="18"/>
          <w:b w:val="1"/>
          <w:bCs w:val="1"/>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equipment financing</w:t>
      </w:r>
    </w:p>
    <w:p>
      <w:pPr>
        <w:spacing w:after="0" w:line="27" w:lineRule="exact"/>
        <w:rPr>
          <w:sz w:val="20"/>
          <w:szCs w:val="20"/>
          <w:color w:val="auto"/>
        </w:rPr>
      </w:pPr>
    </w:p>
    <w:p>
      <w:pPr>
        <w:ind w:left="20" w:hanging="4"/>
        <w:spacing w:after="0" w:line="260" w:lineRule="auto"/>
        <w:rPr>
          <w:sz w:val="20"/>
          <w:szCs w:val="20"/>
          <w:color w:val="auto"/>
        </w:rPr>
      </w:pPr>
      <w:r>
        <w:rPr>
          <w:rFonts w:ascii="Arial" w:cs="Arial" w:eastAsia="Arial" w:hAnsi="Arial"/>
          <w:sz w:val="18"/>
          <w:szCs w:val="18"/>
          <w:color w:val="auto"/>
        </w:rPr>
        <w:t>As of March 31, 2023, the Company’s equipment financing consisted only of the NYDIG Loan. The NYDIG Loan balance and the net book value (“NBV”) of its related collateral, as of March 31, 2023,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Long-</w:t>
            </w: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Monthly</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term debt</w:t>
            </w:r>
          </w:p>
        </w:tc>
        <w:tc>
          <w:tcPr>
            <w:tcW w:w="140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NBV of</w:t>
            </w:r>
          </w:p>
        </w:tc>
        <w:tc>
          <w:tcPr>
            <w:tcW w:w="1260" w:type="dxa"/>
            <w:vAlign w:val="bottom"/>
          </w:tcPr>
          <w:p>
            <w:pPr>
              <w:spacing w:after="0"/>
              <w:rPr>
                <w:sz w:val="18"/>
                <w:szCs w:val="18"/>
                <w:color w:val="auto"/>
              </w:rPr>
            </w:pPr>
          </w:p>
        </w:tc>
      </w:tr>
      <w:tr>
        <w:trPr>
          <w:trHeight w:val="234"/>
        </w:trPr>
        <w:tc>
          <w:tcPr>
            <w:tcW w:w="1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Maturity date</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Stated rate</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Effective rate*</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repayment ($)</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balance ($)</w:t>
            </w: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Collateral ($)</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Collateral**</w:t>
            </w:r>
          </w:p>
        </w:tc>
      </w:tr>
      <w:tr>
        <w:trPr>
          <w:trHeight w:val="216"/>
        </w:trPr>
        <w:tc>
          <w:tcPr>
            <w:tcW w:w="1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NYDIG Loan</w:t>
            </w:r>
          </w:p>
        </w:tc>
        <w:tc>
          <w:tcPr>
            <w:tcW w:w="1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February 2024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2,043</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20,979</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31,134</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10,395</w:t>
            </w:r>
          </w:p>
        </w:tc>
      </w:tr>
    </w:tbl>
    <w:p>
      <w:pPr>
        <w:spacing w:after="0" w:line="20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implied interest rate after capitalizing financing and origination fees.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Represents the quantity of Whatsminers received in connection with the equipment financing and pledged as collateral for the related loan.</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 out below are the carrying amounts of the Company’s right-of-use (“ROU”) assets and lease liabilities and their activity during the three months ended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 2023 and the year ended 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40" w:type="dxa"/>
            <w:vAlign w:val="bottom"/>
          </w:tcPr>
          <w:p>
            <w:pPr>
              <w:jc w:val="right"/>
              <w:ind w:right="290"/>
              <w:spacing w:after="0"/>
              <w:rPr>
                <w:sz w:val="20"/>
                <w:szCs w:val="20"/>
                <w:color w:val="auto"/>
              </w:rPr>
            </w:pPr>
            <w:r>
              <w:rPr>
                <w:rFonts w:ascii="Arial" w:cs="Arial" w:eastAsia="Arial" w:hAnsi="Arial"/>
                <w:sz w:val="18"/>
                <w:szCs w:val="18"/>
                <w:b w:val="1"/>
                <w:bCs w:val="1"/>
                <w:color w:val="auto"/>
              </w:rPr>
              <w:t>Leased</w:t>
            </w:r>
          </w:p>
        </w:tc>
        <w:tc>
          <w:tcPr>
            <w:tcW w:w="126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 ROU</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Lease</w:t>
            </w:r>
          </w:p>
        </w:tc>
      </w:tr>
      <w:tr>
        <w:trPr>
          <w:trHeight w:val="234"/>
        </w:trPr>
        <w:tc>
          <w:tcPr>
            <w:tcW w:w="40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premises</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Vehicles</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equipment</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liabilities</w:t>
            </w:r>
          </w:p>
        </w:tc>
      </w:tr>
      <w:tr>
        <w:trPr>
          <w:trHeight w:val="209"/>
        </w:trPr>
        <w:tc>
          <w:tcPr>
            <w:tcW w:w="40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As of January 1, 2023</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15,694</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265</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405</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16,364</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17,864</w:t>
            </w:r>
          </w:p>
        </w:tc>
      </w:tr>
      <w:tr>
        <w:trPr>
          <w:trHeight w:val="210"/>
        </w:trPr>
        <w:tc>
          <w:tcPr>
            <w:tcW w:w="4080" w:type="dxa"/>
            <w:vAlign w:val="bottom"/>
          </w:tcPr>
          <w:p>
            <w:pPr>
              <w:ind w:left="60"/>
              <w:spacing w:after="0"/>
              <w:rPr>
                <w:sz w:val="20"/>
                <w:szCs w:val="20"/>
                <w:color w:val="auto"/>
              </w:rPr>
            </w:pPr>
            <w:r>
              <w:rPr>
                <w:rFonts w:ascii="Arial" w:cs="Arial" w:eastAsia="Arial" w:hAnsi="Arial"/>
                <w:sz w:val="18"/>
                <w:szCs w:val="18"/>
                <w:color w:val="auto"/>
              </w:rPr>
              <w:t>Additions and extensions to ROU assets</w:t>
            </w:r>
          </w:p>
        </w:tc>
        <w:tc>
          <w:tcPr>
            <w:tcW w:w="20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215</w:t>
            </w: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215</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215</w:t>
            </w:r>
          </w:p>
        </w:tc>
      </w:tr>
      <w:tr>
        <w:trPr>
          <w:trHeight w:val="216"/>
        </w:trPr>
        <w:tc>
          <w:tcPr>
            <w:tcW w:w="4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Reclass to property, plant and equipment</w:t>
            </w:r>
          </w:p>
        </w:tc>
        <w:tc>
          <w:tcPr>
            <w:tcW w:w="204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(364)</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(364)</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r>
      <w:tr>
        <w:trPr>
          <w:trHeight w:val="216"/>
        </w:trPr>
        <w:tc>
          <w:tcPr>
            <w:tcW w:w="4080" w:type="dxa"/>
            <w:vAlign w:val="bottom"/>
          </w:tcPr>
          <w:p>
            <w:pPr>
              <w:ind w:left="60"/>
              <w:spacing w:after="0"/>
              <w:rPr>
                <w:sz w:val="20"/>
                <w:szCs w:val="20"/>
                <w:color w:val="auto"/>
              </w:rPr>
            </w:pPr>
            <w:r>
              <w:rPr>
                <w:rFonts w:ascii="Arial" w:cs="Arial" w:eastAsia="Arial" w:hAnsi="Arial"/>
                <w:sz w:val="18"/>
                <w:szCs w:val="18"/>
                <w:color w:val="auto"/>
              </w:rPr>
              <w:t>Depreciation</w:t>
            </w:r>
          </w:p>
        </w:tc>
        <w:tc>
          <w:tcPr>
            <w:tcW w:w="2040" w:type="dxa"/>
            <w:vAlign w:val="bottom"/>
          </w:tcPr>
          <w:p>
            <w:pPr>
              <w:jc w:val="right"/>
              <w:ind w:right="230"/>
              <w:spacing w:after="0"/>
              <w:rPr>
                <w:sz w:val="20"/>
                <w:szCs w:val="20"/>
                <w:color w:val="auto"/>
              </w:rPr>
            </w:pPr>
            <w:r>
              <w:rPr>
                <w:rFonts w:ascii="Arial" w:cs="Arial" w:eastAsia="Arial" w:hAnsi="Arial"/>
                <w:sz w:val="18"/>
                <w:szCs w:val="18"/>
                <w:b w:val="1"/>
                <w:bCs w:val="1"/>
                <w:color w:val="auto"/>
              </w:rPr>
              <w:t>(718)</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(42)</w:t>
            </w: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(9)</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(769)</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r>
      <w:tr>
        <w:trPr>
          <w:trHeight w:val="216"/>
        </w:trPr>
        <w:tc>
          <w:tcPr>
            <w:tcW w:w="4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Lease termination</w:t>
            </w:r>
          </w:p>
        </w:tc>
        <w:tc>
          <w:tcPr>
            <w:tcW w:w="204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4080" w:type="dxa"/>
            <w:vAlign w:val="bottom"/>
          </w:tcPr>
          <w:p>
            <w:pPr>
              <w:ind w:left="60"/>
              <w:spacing w:after="0"/>
              <w:rPr>
                <w:sz w:val="20"/>
                <w:szCs w:val="20"/>
                <w:color w:val="auto"/>
              </w:rPr>
            </w:pPr>
            <w:r>
              <w:rPr>
                <w:rFonts w:ascii="Arial" w:cs="Arial" w:eastAsia="Arial" w:hAnsi="Arial"/>
                <w:sz w:val="18"/>
                <w:szCs w:val="18"/>
                <w:color w:val="auto"/>
              </w:rPr>
              <w:t>Payments</w:t>
            </w:r>
          </w:p>
        </w:tc>
        <w:tc>
          <w:tcPr>
            <w:tcW w:w="20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(1,763)</w:t>
            </w:r>
          </w:p>
        </w:tc>
      </w:tr>
      <w:tr>
        <w:trPr>
          <w:trHeight w:val="216"/>
        </w:trPr>
        <w:tc>
          <w:tcPr>
            <w:tcW w:w="4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Gain on extinguishment of lease liabilities</w:t>
            </w:r>
          </w:p>
        </w:tc>
        <w:tc>
          <w:tcPr>
            <w:tcW w:w="204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r>
      <w:tr>
        <w:trPr>
          <w:trHeight w:val="216"/>
        </w:trPr>
        <w:tc>
          <w:tcPr>
            <w:tcW w:w="4080" w:type="dxa"/>
            <w:vAlign w:val="bottom"/>
          </w:tcPr>
          <w:p>
            <w:pPr>
              <w:ind w:left="60"/>
              <w:spacing w:after="0"/>
              <w:rPr>
                <w:sz w:val="20"/>
                <w:szCs w:val="20"/>
                <w:color w:val="auto"/>
              </w:rPr>
            </w:pPr>
            <w:r>
              <w:rPr>
                <w:rFonts w:ascii="Arial" w:cs="Arial" w:eastAsia="Arial" w:hAnsi="Arial"/>
                <w:sz w:val="18"/>
                <w:szCs w:val="18"/>
                <w:color w:val="auto"/>
              </w:rPr>
              <w:t>Interest</w:t>
            </w:r>
          </w:p>
        </w:tc>
        <w:tc>
          <w:tcPr>
            <w:tcW w:w="20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369</w:t>
            </w:r>
          </w:p>
        </w:tc>
      </w:tr>
      <w:tr>
        <w:trPr>
          <w:trHeight w:val="216"/>
        </w:trPr>
        <w:tc>
          <w:tcPr>
            <w:tcW w:w="40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Foreign exchange</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r>
      <w:tr>
        <w:trPr>
          <w:trHeight w:val="210"/>
        </w:trPr>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As of March 31, 2023</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14,976</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411</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32</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15,419</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16,424</w:t>
            </w:r>
          </w:p>
        </w:tc>
      </w:tr>
      <w:tr>
        <w:trPr>
          <w:trHeight w:val="209"/>
        </w:trPr>
        <w:tc>
          <w:tcPr>
            <w:tcW w:w="40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Less current portion of lease liabilities</w:t>
            </w:r>
          </w:p>
        </w:tc>
        <w:tc>
          <w:tcPr>
            <w:tcW w:w="20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(2,888)</w:t>
            </w:r>
          </w:p>
        </w:tc>
      </w:tr>
      <w:tr>
        <w:trPr>
          <w:trHeight w:val="217"/>
        </w:trPr>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Non-current portion of lease liabilities</w:t>
            </w:r>
          </w:p>
        </w:tc>
        <w:tc>
          <w:tcPr>
            <w:tcW w:w="2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13,536</w:t>
            </w:r>
          </w:p>
        </w:tc>
      </w:tr>
      <w:tr>
        <w:trPr>
          <w:trHeight w:val="414"/>
        </w:trPr>
        <w:tc>
          <w:tcPr>
            <w:tcW w:w="4080" w:type="dxa"/>
            <w:vAlign w:val="bottom"/>
          </w:tcPr>
          <w:p>
            <w:pPr>
              <w:spacing w:after="0"/>
              <w:rPr>
                <w:sz w:val="24"/>
                <w:szCs w:val="24"/>
                <w:color w:val="auto"/>
              </w:rPr>
            </w:pPr>
          </w:p>
        </w:tc>
        <w:tc>
          <w:tcPr>
            <w:tcW w:w="2040" w:type="dxa"/>
            <w:vAlign w:val="bottom"/>
          </w:tcPr>
          <w:p>
            <w:pPr>
              <w:jc w:val="right"/>
              <w:ind w:right="290"/>
              <w:spacing w:after="0"/>
              <w:rPr>
                <w:sz w:val="20"/>
                <w:szCs w:val="20"/>
                <w:color w:val="auto"/>
              </w:rPr>
            </w:pPr>
            <w:r>
              <w:rPr>
                <w:rFonts w:ascii="Arial" w:cs="Arial" w:eastAsia="Arial" w:hAnsi="Arial"/>
                <w:sz w:val="18"/>
                <w:szCs w:val="18"/>
                <w:b w:val="1"/>
                <w:bCs w:val="1"/>
                <w:color w:val="auto"/>
              </w:rPr>
              <w:t>Leased</w:t>
            </w:r>
          </w:p>
        </w:tc>
        <w:tc>
          <w:tcPr>
            <w:tcW w:w="1260" w:type="dxa"/>
            <w:vAlign w:val="bottom"/>
          </w:tcPr>
          <w:p>
            <w:pPr>
              <w:spacing w:after="0"/>
              <w:rPr>
                <w:sz w:val="24"/>
                <w:szCs w:val="24"/>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 ROU</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Lease</w:t>
            </w:r>
          </w:p>
        </w:tc>
      </w:tr>
      <w:tr>
        <w:trPr>
          <w:trHeight w:val="234"/>
        </w:trPr>
        <w:tc>
          <w:tcPr>
            <w:tcW w:w="40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premises</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Vehicles</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equipment</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liabilities</w:t>
            </w:r>
          </w:p>
        </w:tc>
      </w:tr>
      <w:tr>
        <w:trPr>
          <w:trHeight w:val="209"/>
        </w:trPr>
        <w:tc>
          <w:tcPr>
            <w:tcW w:w="40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As of January 1, 2022</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9,038</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283</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76</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9,397</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13,573</w:t>
            </w:r>
          </w:p>
        </w:tc>
      </w:tr>
      <w:tr>
        <w:trPr>
          <w:trHeight w:val="210"/>
        </w:trPr>
        <w:tc>
          <w:tcPr>
            <w:tcW w:w="4080" w:type="dxa"/>
            <w:vAlign w:val="bottom"/>
          </w:tcPr>
          <w:p>
            <w:pPr>
              <w:ind w:left="60"/>
              <w:spacing w:after="0"/>
              <w:rPr>
                <w:sz w:val="20"/>
                <w:szCs w:val="20"/>
                <w:color w:val="auto"/>
              </w:rPr>
            </w:pPr>
            <w:r>
              <w:rPr>
                <w:rFonts w:ascii="Arial" w:cs="Arial" w:eastAsia="Arial" w:hAnsi="Arial"/>
                <w:sz w:val="18"/>
                <w:szCs w:val="18"/>
                <w:color w:val="auto"/>
              </w:rPr>
              <w:t>Additions and extensions to ROU assets</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9,526</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118</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1,693</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11,337</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11,354</w:t>
            </w:r>
          </w:p>
        </w:tc>
      </w:tr>
      <w:tr>
        <w:trPr>
          <w:trHeight w:val="216"/>
        </w:trPr>
        <w:tc>
          <w:tcPr>
            <w:tcW w:w="4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Depreciation</w:t>
            </w:r>
          </w:p>
        </w:tc>
        <w:tc>
          <w:tcPr>
            <w:tcW w:w="2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(1,975)</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(129)</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(2,225)</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ind w:left="60"/>
              <w:spacing w:after="0"/>
              <w:rPr>
                <w:sz w:val="20"/>
                <w:szCs w:val="20"/>
                <w:color w:val="auto"/>
              </w:rPr>
            </w:pPr>
            <w:r>
              <w:rPr>
                <w:rFonts w:ascii="Arial" w:cs="Arial" w:eastAsia="Arial" w:hAnsi="Arial"/>
                <w:sz w:val="18"/>
                <w:szCs w:val="18"/>
                <w:color w:val="auto"/>
              </w:rPr>
              <w:t>Lease termination</w:t>
            </w: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(111)</w:t>
            </w: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Impairment</w:t>
            </w:r>
          </w:p>
        </w:tc>
        <w:tc>
          <w:tcPr>
            <w:tcW w:w="2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(791)</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(1,243)</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(2,034)</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ind w:left="60"/>
              <w:spacing w:after="0"/>
              <w:rPr>
                <w:sz w:val="20"/>
                <w:szCs w:val="20"/>
                <w:color w:val="auto"/>
              </w:rPr>
            </w:pPr>
            <w:r>
              <w:rPr>
                <w:rFonts w:ascii="Arial" w:cs="Arial" w:eastAsia="Arial" w:hAnsi="Arial"/>
                <w:sz w:val="18"/>
                <w:szCs w:val="18"/>
                <w:color w:val="auto"/>
              </w:rPr>
              <w:t>Payments</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(7,528)</w:t>
            </w:r>
          </w:p>
        </w:tc>
      </w:tr>
      <w:tr>
        <w:trPr>
          <w:trHeight w:val="216"/>
        </w:trPr>
        <w:tc>
          <w:tcPr>
            <w:tcW w:w="4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w:t>
            </w:r>
          </w:p>
        </w:tc>
        <w:tc>
          <w:tcPr>
            <w:tcW w:w="2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1,451</w:t>
            </w:r>
          </w:p>
        </w:tc>
      </w:tr>
      <w:tr>
        <w:trPr>
          <w:trHeight w:val="216"/>
        </w:trPr>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Foreign exchange</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r>
      <w:tr>
        <w:trPr>
          <w:trHeight w:val="209"/>
        </w:trPr>
        <w:tc>
          <w:tcPr>
            <w:tcW w:w="40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As of December 31, 2022</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15,694</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265</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405</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16,364</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17,864</w:t>
            </w:r>
          </w:p>
        </w:tc>
      </w:tr>
      <w:tr>
        <w:trPr>
          <w:trHeight w:val="210"/>
        </w:trPr>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Less current portion of lease liabilities</w:t>
            </w:r>
          </w:p>
        </w:tc>
        <w:tc>
          <w:tcPr>
            <w:tcW w:w="2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r>
      <w:tr>
        <w:trPr>
          <w:trHeight w:val="217"/>
        </w:trPr>
        <w:tc>
          <w:tcPr>
            <w:tcW w:w="40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Non-current portion of lease liabilities</w:t>
            </w:r>
          </w:p>
        </w:tc>
        <w:tc>
          <w:tcPr>
            <w:tcW w:w="20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14,215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Reliz Lease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February 2023, the Company negotiated a modification to its lease agreement with Reliz Ltd. (where BlockFi was the lender to Reliz Ltd.) in order to settle its outstanding lease liability of $373 for a payment of $118. Refer to Note 19 for more details.</w:t>
      </w:r>
    </w:p>
    <w:p>
      <w:pPr>
        <w:spacing w:after="0" w:line="397"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 xml:space="preserve">17 </w:t>
      </w:r>
      <w:r>
        <w:rPr>
          <w:rFonts w:ascii="Arial" w:cs="Arial" w:eastAsia="Arial" w:hAnsi="Arial"/>
          <w:sz w:val="15"/>
          <w:szCs w:val="15"/>
          <w:b w:val="1"/>
          <w:bCs w:val="1"/>
          <w:color w:val="auto"/>
        </w:rPr>
        <w:t>|</w:t>
      </w:r>
      <w:r>
        <w:rPr>
          <w:rFonts w:ascii="Arial" w:cs="Arial" w:eastAsia="Arial" w:hAnsi="Arial"/>
          <w:sz w:val="15"/>
          <w:szCs w:val="15"/>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spacing w:after="0" w:line="190" w:lineRule="exact"/>
        <w:rPr>
          <w:sz w:val="20"/>
          <w:szCs w:val="20"/>
          <w:color w:val="auto"/>
        </w:rPr>
      </w:pPr>
    </w:p>
    <w:p>
      <w:pPr>
        <w:jc w:val="both"/>
        <w:ind w:left="20" w:hanging="4"/>
        <w:spacing w:after="0" w:line="263" w:lineRule="auto"/>
        <w:rPr>
          <w:sz w:val="20"/>
          <w:szCs w:val="20"/>
          <w:color w:val="auto"/>
        </w:rPr>
      </w:pPr>
      <w:r>
        <w:rPr>
          <w:rFonts w:ascii="Arial" w:cs="Arial" w:eastAsia="Arial" w:hAnsi="Arial"/>
          <w:sz w:val="18"/>
          <w:szCs w:val="18"/>
          <w:color w:val="auto"/>
        </w:rPr>
        <w:t>As at March 31, 2023, the recoverability of the net deferred tax asset, due to the impact of the decrease in BTC prices as described in Note 2, was uncertain and as a result, the net deferred tax asset of $49,592 was not recognized. The Company will evaluate the likelihood of recoverability at each balance sheet date, and will recognize net deferred tax asset when and if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deferred income tax expense (recovery)</w:t>
      </w:r>
    </w:p>
    <w:p>
      <w:pPr>
        <w:spacing w:after="0" w:line="27"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tcBorders>
              <w:top w:val="single" w:sz="8" w:color="auto"/>
              <w:bottom w:val="single" w:sz="8" w:color="auto"/>
            </w:tcBorders>
          </w:tcPr>
          <w:p>
            <w:pPr>
              <w:spacing w:after="0"/>
              <w:rPr>
                <w:sz w:val="18"/>
                <w:szCs w:val="18"/>
                <w:color w:val="auto"/>
              </w:rPr>
            </w:pPr>
          </w:p>
        </w:tc>
        <w:tc>
          <w:tcPr>
            <w:tcW w:w="4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5980" w:type="dxa"/>
            <w:vAlign w:val="bottom"/>
          </w:tcPr>
          <w:p>
            <w:pPr>
              <w:ind w:left="60"/>
              <w:spacing w:after="0"/>
              <w:rPr>
                <w:sz w:val="20"/>
                <w:szCs w:val="20"/>
                <w:color w:val="auto"/>
              </w:rPr>
            </w:pPr>
            <w:r>
              <w:rPr>
                <w:rFonts w:ascii="Arial" w:cs="Arial" w:eastAsia="Arial" w:hAnsi="Arial"/>
                <w:sz w:val="18"/>
                <w:szCs w:val="18"/>
                <w:b w:val="1"/>
                <w:bCs w:val="1"/>
                <w:color w:val="auto"/>
              </w:rPr>
              <w:t>Current tax (recovery) expense:</w:t>
            </w:r>
          </w:p>
        </w:tc>
        <w:tc>
          <w:tcPr>
            <w:tcW w:w="4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year</w:t>
            </w:r>
          </w:p>
        </w:tc>
        <w:tc>
          <w:tcPr>
            <w:tcW w:w="42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112</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4,065</w:t>
            </w:r>
          </w:p>
        </w:tc>
      </w:tr>
      <w:tr>
        <w:trPr>
          <w:trHeight w:val="216"/>
        </w:trPr>
        <w:tc>
          <w:tcPr>
            <w:tcW w:w="5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Prior year</w:t>
            </w:r>
          </w:p>
        </w:tc>
        <w:tc>
          <w:tcPr>
            <w:tcW w:w="4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10"/>
        </w:trPr>
        <w:tc>
          <w:tcPr>
            <w:tcW w:w="598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112</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3,919</w:t>
            </w:r>
          </w:p>
        </w:tc>
      </w:tr>
      <w:tr>
        <w:trPr>
          <w:trHeight w:val="209"/>
        </w:trPr>
        <w:tc>
          <w:tcPr>
            <w:tcW w:w="59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Deferred tax (recovery) expense:</w:t>
            </w:r>
          </w:p>
        </w:tc>
        <w:tc>
          <w:tcPr>
            <w:tcW w:w="4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60"/>
              <w:spacing w:after="0"/>
              <w:rPr>
                <w:sz w:val="20"/>
                <w:szCs w:val="20"/>
                <w:color w:val="auto"/>
              </w:rPr>
            </w:pPr>
            <w:r>
              <w:rPr>
                <w:rFonts w:ascii="Arial" w:cs="Arial" w:eastAsia="Arial" w:hAnsi="Arial"/>
                <w:sz w:val="18"/>
                <w:szCs w:val="18"/>
                <w:color w:val="auto"/>
              </w:rPr>
              <w:t>Current year</w:t>
            </w:r>
          </w:p>
        </w:tc>
        <w:tc>
          <w:tcPr>
            <w:tcW w:w="4280" w:type="dxa"/>
            <w:vAlign w:val="bottom"/>
          </w:tcPr>
          <w:p>
            <w:pPr>
              <w:jc w:val="right"/>
              <w:ind w:right="350"/>
              <w:spacing w:after="0"/>
              <w:rPr>
                <w:sz w:val="20"/>
                <w:szCs w:val="20"/>
                <w:color w:val="auto"/>
              </w:rPr>
            </w:pPr>
            <w:r>
              <w:rPr>
                <w:rFonts w:ascii="Arial" w:cs="Arial" w:eastAsia="Arial" w:hAnsi="Arial"/>
                <w:sz w:val="18"/>
                <w:szCs w:val="18"/>
                <w:b w:val="1"/>
                <w:bCs w:val="1"/>
                <w:color w:val="auto"/>
              </w:rPr>
              <w:t>(442)</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2,519</w:t>
            </w:r>
          </w:p>
        </w:tc>
      </w:tr>
      <w:tr>
        <w:trPr>
          <w:trHeight w:val="216"/>
        </w:trPr>
        <w:tc>
          <w:tcPr>
            <w:tcW w:w="59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Prior year</w:t>
            </w:r>
          </w:p>
        </w:tc>
        <w:tc>
          <w:tcPr>
            <w:tcW w:w="42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(442)</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2,519</w:t>
            </w:r>
          </w:p>
        </w:tc>
      </w:tr>
      <w:tr>
        <w:trPr>
          <w:trHeight w:val="217"/>
        </w:trPr>
        <w:tc>
          <w:tcPr>
            <w:tcW w:w="598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(330)</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6,438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w w:val="95"/>
              </w:rPr>
              <w:t>Three months ended March 31,</w:t>
            </w:r>
          </w:p>
        </w:tc>
        <w:tc>
          <w:tcPr>
            <w:tcW w:w="1020" w:type="dxa"/>
            <w:vAlign w:val="bottom"/>
            <w:tcBorders>
              <w:bottom w:val="single" w:sz="8" w:color="auto"/>
            </w:tcBorders>
          </w:tcPr>
          <w:p>
            <w:pPr>
              <w:spacing w:after="0"/>
              <w:rPr>
                <w:sz w:val="18"/>
                <w:szCs w:val="18"/>
                <w:color w:val="auto"/>
              </w:rPr>
            </w:pPr>
          </w:p>
        </w:tc>
      </w:tr>
      <w:tr>
        <w:trPr>
          <w:trHeight w:val="210"/>
        </w:trPr>
        <w:tc>
          <w:tcPr>
            <w:tcW w:w="50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r>
      <w:tr>
        <w:trPr>
          <w:trHeight w:val="210"/>
        </w:trPr>
        <w:tc>
          <w:tcPr>
            <w:tcW w:w="5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Income tax recovery at statutory rate of 26.5%</w:t>
            </w:r>
          </w:p>
        </w:tc>
        <w:tc>
          <w:tcPr>
            <w:tcW w:w="2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(744)</w:t>
            </w:r>
          </w:p>
        </w:tc>
        <w:tc>
          <w:tcPr>
            <w:tcW w:w="18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26.5%</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2,904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Increase (decrease) in taxes resulting from:</w:t>
            </w:r>
          </w:p>
        </w:tc>
        <w:tc>
          <w:tcPr>
            <w:tcW w:w="2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tax rate differential</w:t>
            </w:r>
          </w:p>
        </w:tc>
        <w:tc>
          <w:tcPr>
            <w:tcW w:w="21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245</w:t>
            </w:r>
          </w:p>
        </w:tc>
        <w:tc>
          <w:tcPr>
            <w:tcW w:w="18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(8.7)%</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2,101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Prior year</w:t>
            </w:r>
          </w:p>
        </w:tc>
        <w:tc>
          <w:tcPr>
            <w:tcW w:w="21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(146)</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Non-deductible expenses and other</w:t>
            </w:r>
          </w:p>
        </w:tc>
        <w:tc>
          <w:tcPr>
            <w:tcW w:w="21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85</w:t>
            </w:r>
          </w:p>
        </w:tc>
        <w:tc>
          <w:tcPr>
            <w:tcW w:w="18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(3.0)%</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50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Deferred tax asset not recognized</w:t>
            </w:r>
          </w:p>
        </w:tc>
        <w:tc>
          <w:tcPr>
            <w:tcW w:w="2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84</w:t>
            </w: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(3.0)%</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1,493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17"/>
        </w:trPr>
        <w:tc>
          <w:tcPr>
            <w:tcW w:w="500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(330)</w:t>
            </w:r>
          </w:p>
        </w:tc>
        <w:tc>
          <w:tcPr>
            <w:tcW w:w="18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11.8%</w:t>
            </w: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6,438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NOTE 13: ASSET RETIREMENT PROVISION</w:t>
            </w:r>
          </w:p>
        </w:tc>
        <w:tc>
          <w:tcPr>
            <w:tcW w:w="36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58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As of March 31,</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 of December 31,</w:t>
            </w:r>
          </w:p>
        </w:tc>
      </w:tr>
      <w:tr>
        <w:trPr>
          <w:trHeight w:val="210"/>
        </w:trPr>
        <w:tc>
          <w:tcPr>
            <w:tcW w:w="58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840" w:type="dxa"/>
            <w:vAlign w:val="bottom"/>
          </w:tcPr>
          <w:p>
            <w:pPr>
              <w:spacing w:after="0"/>
              <w:rPr>
                <w:sz w:val="18"/>
                <w:szCs w:val="18"/>
                <w:color w:val="auto"/>
              </w:rPr>
            </w:pPr>
          </w:p>
        </w:tc>
        <w:tc>
          <w:tcPr>
            <w:tcW w:w="3640" w:type="dxa"/>
            <w:vAlign w:val="bottom"/>
          </w:tcPr>
          <w:p>
            <w:pPr>
              <w:jc w:val="right"/>
              <w:ind w:right="70"/>
              <w:spacing w:after="0"/>
              <w:rPr>
                <w:sz w:val="20"/>
                <w:szCs w:val="20"/>
                <w:color w:val="auto"/>
              </w:rPr>
            </w:pPr>
            <w:r>
              <w:rPr>
                <w:rFonts w:ascii="Arial" w:cs="Arial" w:eastAsia="Arial" w:hAnsi="Arial"/>
                <w:sz w:val="18"/>
                <w:szCs w:val="18"/>
                <w:color w:val="auto"/>
              </w:rPr>
              <w:t>three-month period</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twelve-month period</w:t>
            </w:r>
          </w:p>
        </w:tc>
      </w:tr>
      <w:tr>
        <w:trPr>
          <w:trHeight w:val="216"/>
        </w:trPr>
        <w:tc>
          <w:tcPr>
            <w:tcW w:w="58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Balance as of January 1,</w:t>
            </w:r>
          </w:p>
        </w:tc>
        <w:tc>
          <w:tcPr>
            <w:tcW w:w="3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1,979</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10"/>
        </w:trPr>
        <w:tc>
          <w:tcPr>
            <w:tcW w:w="5840" w:type="dxa"/>
            <w:vAlign w:val="bottom"/>
          </w:tcPr>
          <w:p>
            <w:pPr>
              <w:ind w:left="60"/>
              <w:spacing w:after="0"/>
              <w:rPr>
                <w:sz w:val="20"/>
                <w:szCs w:val="20"/>
                <w:color w:val="auto"/>
              </w:rPr>
            </w:pPr>
            <w:r>
              <w:rPr>
                <w:rFonts w:ascii="Arial" w:cs="Arial" w:eastAsia="Arial" w:hAnsi="Arial"/>
                <w:sz w:val="18"/>
                <w:szCs w:val="18"/>
                <w:color w:val="auto"/>
              </w:rPr>
              <w:t>Additions during the period</w:t>
            </w:r>
          </w:p>
        </w:tc>
        <w:tc>
          <w:tcPr>
            <w:tcW w:w="36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1,701</w:t>
            </w:r>
          </w:p>
        </w:tc>
      </w:tr>
      <w:tr>
        <w:trPr>
          <w:trHeight w:val="216"/>
        </w:trPr>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Accretion expense</w:t>
            </w:r>
          </w:p>
        </w:tc>
        <w:tc>
          <w:tcPr>
            <w:tcW w:w="3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48</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16"/>
        </w:trPr>
        <w:tc>
          <w:tcPr>
            <w:tcW w:w="5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Effect of change in the foreign exchange rate</w:t>
            </w:r>
          </w:p>
        </w:tc>
        <w:tc>
          <w:tcPr>
            <w:tcW w:w="3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192</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9"/>
        </w:trPr>
        <w:tc>
          <w:tcPr>
            <w:tcW w:w="58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Balance as of period end</w:t>
            </w:r>
          </w:p>
        </w:tc>
        <w:tc>
          <w:tcPr>
            <w:tcW w:w="3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2,219</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r>
    </w:tbl>
    <w:p>
      <w:pPr>
        <w:spacing w:after="0" w:line="202" w:lineRule="exact"/>
        <w:rPr>
          <w:sz w:val="20"/>
          <w:szCs w:val="20"/>
          <w:color w:val="auto"/>
        </w:rPr>
      </w:pPr>
    </w:p>
    <w:p>
      <w:pPr>
        <w:jc w:val="both"/>
        <w:ind w:left="20" w:hanging="4"/>
        <w:spacing w:after="0" w:line="311" w:lineRule="auto"/>
        <w:rPr>
          <w:sz w:val="20"/>
          <w:szCs w:val="20"/>
          <w:color w:val="auto"/>
        </w:rPr>
      </w:pPr>
      <w:r>
        <w:rPr>
          <w:rFonts w:ascii="Arial" w:cs="Arial" w:eastAsia="Arial" w:hAnsi="Arial"/>
          <w:sz w:val="16"/>
          <w:szCs w:val="16"/>
          <w:color w:val="auto"/>
        </w:rPr>
        <w:t>As of March 31, 2023, the Company estimated the costs of restoring its leased premises to their original state at the end of their respective lease terms to be $3,950 (December 31, 2022: $3,950), discounted to present value of $2,219 (December 31, 2022: $1,979) using discount rates between 7% and 10% (December 31, 2022: between 7% and 10%) over the lease periods, which were estimated to range from seven to ten years depending on the location.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 CAPITAL</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shares</w:t>
      </w:r>
    </w:p>
    <w:p>
      <w:pPr>
        <w:spacing w:after="0" w:line="27" w:lineRule="exact"/>
        <w:rPr>
          <w:sz w:val="20"/>
          <w:szCs w:val="20"/>
          <w:color w:val="auto"/>
        </w:rPr>
      </w:pPr>
    </w:p>
    <w:p>
      <w:pPr>
        <w:jc w:val="both"/>
        <w:ind w:left="20" w:hanging="4"/>
        <w:spacing w:after="0" w:line="260" w:lineRule="auto"/>
        <w:rPr>
          <w:sz w:val="20"/>
          <w:szCs w:val="20"/>
          <w:color w:val="auto"/>
        </w:rPr>
      </w:pPr>
      <w:r>
        <w:rPr>
          <w:rFonts w:ascii="Arial" w:cs="Arial" w:eastAsia="Arial" w:hAnsi="Arial"/>
          <w:sz w:val="18"/>
          <w:szCs w:val="18"/>
          <w:color w:val="auto"/>
        </w:rPr>
        <w:t>The Company’s authorized share capital consists of an unlimited number of common shares without par value. As of March 31, 2023, the Company had 240,262,000 issued and outstanding common shares (December 31, 2022: 224,200,000).</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Warrants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Details of the outstanding warrants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8"/>
              </w:rPr>
              <w:t>Three months ended March 31,</w:t>
            </w:r>
          </w:p>
        </w:tc>
        <w:tc>
          <w:tcPr>
            <w:tcW w:w="1420" w:type="dxa"/>
            <w:vAlign w:val="bottom"/>
            <w:tcBorders>
              <w:bottom w:val="single" w:sz="8" w:color="auto"/>
            </w:tcBorders>
          </w:tcPr>
          <w:p>
            <w:pPr>
              <w:spacing w:after="0"/>
              <w:rPr>
                <w:sz w:val="20"/>
                <w:szCs w:val="20"/>
                <w:color w:val="auto"/>
              </w:rPr>
            </w:pPr>
          </w:p>
        </w:tc>
      </w:tr>
      <w:tr>
        <w:trPr>
          <w:trHeight w:val="210"/>
        </w:trPr>
        <w:tc>
          <w:tcPr>
            <w:tcW w:w="39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191"/>
        </w:trPr>
        <w:tc>
          <w:tcPr>
            <w:tcW w:w="39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2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Weighted</w:t>
            </w:r>
          </w:p>
        </w:tc>
        <w:tc>
          <w:tcPr>
            <w:tcW w:w="1180" w:type="dxa"/>
            <w:vAlign w:val="bottom"/>
          </w:tcPr>
          <w:p>
            <w:pPr>
              <w:spacing w:after="0"/>
              <w:rPr>
                <w:sz w:val="16"/>
                <w:szCs w:val="16"/>
                <w:color w:val="auto"/>
              </w:rPr>
            </w:pPr>
          </w:p>
        </w:tc>
        <w:tc>
          <w:tcPr>
            <w:tcW w:w="1420" w:type="dxa"/>
            <w:vAlign w:val="bottom"/>
          </w:tcPr>
          <w:p>
            <w:pPr>
              <w:jc w:val="right"/>
              <w:ind w:right="30"/>
              <w:spacing w:after="0" w:line="191" w:lineRule="exact"/>
              <w:rPr>
                <w:sz w:val="20"/>
                <w:szCs w:val="20"/>
                <w:color w:val="auto"/>
              </w:rPr>
            </w:pPr>
            <w:r>
              <w:rPr>
                <w:rFonts w:ascii="Arial" w:cs="Arial" w:eastAsia="Arial" w:hAnsi="Arial"/>
                <w:sz w:val="18"/>
                <w:szCs w:val="18"/>
                <w:color w:val="auto"/>
              </w:rPr>
              <w:t>Weighted</w:t>
            </w:r>
          </w:p>
        </w:tc>
      </w:tr>
      <w:tr>
        <w:trPr>
          <w:trHeight w:val="216"/>
        </w:trPr>
        <w:tc>
          <w:tcPr>
            <w:tcW w:w="3920" w:type="dxa"/>
            <w:vAlign w:val="bottom"/>
          </w:tcPr>
          <w:p>
            <w:pPr>
              <w:spacing w:after="0"/>
              <w:rPr>
                <w:sz w:val="18"/>
                <w:szCs w:val="18"/>
                <w:color w:val="auto"/>
              </w:rPr>
            </w:pPr>
          </w:p>
        </w:tc>
        <w:tc>
          <w:tcPr>
            <w:tcW w:w="310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average exercise</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Number of</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w w:val="93"/>
              </w:rPr>
              <w:t>average exercise</w:t>
            </w:r>
          </w:p>
        </w:tc>
      </w:tr>
      <w:tr>
        <w:trPr>
          <w:trHeight w:val="234"/>
        </w:trPr>
        <w:tc>
          <w:tcPr>
            <w:tcW w:w="39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warrants</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price (USD)</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warrants</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price (USD)</w:t>
            </w:r>
          </w:p>
        </w:tc>
      </w:tr>
      <w:tr>
        <w:trPr>
          <w:trHeight w:val="210"/>
        </w:trPr>
        <w:tc>
          <w:tcPr>
            <w:tcW w:w="3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Outstanding, January 1,</w:t>
            </w:r>
          </w:p>
        </w:tc>
        <w:tc>
          <w:tcPr>
            <w:tcW w:w="3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19,153,000</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4.21</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19,428,000</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r>
      <w:tr>
        <w:trPr>
          <w:trHeight w:val="216"/>
        </w:trPr>
        <w:tc>
          <w:tcPr>
            <w:tcW w:w="3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Granted</w:t>
            </w:r>
          </w:p>
        </w:tc>
        <w:tc>
          <w:tcPr>
            <w:tcW w:w="3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w:t>
            </w:r>
          </w:p>
        </w:tc>
      </w:tr>
      <w:tr>
        <w:trPr>
          <w:trHeight w:val="216"/>
        </w:trPr>
        <w:tc>
          <w:tcPr>
            <w:tcW w:w="39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Outstanding, March 31,</w:t>
            </w:r>
          </w:p>
        </w:tc>
        <w:tc>
          <w:tcPr>
            <w:tcW w:w="3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19,153,000</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4.21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19,453,000</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contractual life of the warrants as of March 31, 2023 was 1.2 years (March 31, 2022: 2.2 years).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SHARE CAPITAL </w:t>
      </w:r>
      <w:r>
        <w:rPr>
          <w:rFonts w:ascii="Arial" w:cs="Arial" w:eastAsia="Arial" w:hAnsi="Arial"/>
          <w:sz w:val="18"/>
          <w:szCs w:val="18"/>
          <w:color w:val="auto"/>
        </w:rPr>
        <w:t>(Continued)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Significant transactions</w:t>
      </w:r>
    </w:p>
    <w:p>
      <w:pPr>
        <w:spacing w:after="0" w:line="2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Garlock Acquisition</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During the three months ended March 31, 2022, the Company acquired a building in Quebec referred to as “Garlock” in exchange for cash consideration of $1,783 and the issuance of 25,000 warrants granted with a strike price of $3.47 that have a contractual life of 2 years.</w:t>
      </w:r>
    </w:p>
    <w:p>
      <w:pPr>
        <w:spacing w:after="0" w:line="13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At-The-Market Equity Offering Program</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Bitfarms commenced an at-the-market equity offering program on August 16, 2021, pursuant to which the Company may, at its discretion and from time-to-time, sell common shares of the Company, resulting in the Company receiving aggregate proceeds of up to $500,000.</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2023, the Company issued 15,940,000 common shares in exchange for gross proceeds of $16,360 at an average share price of approximately $1.03. The Company received net proceeds of $15,764 after paying commissions of $548 to the Company’s agent and $47 in other transaction costs.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the Company issued 6,821,000 common shares in exchange for gross proceeds of $27,183 at an average share price of approximately $3.99. The Company received net proceeds of $26,289 after paying commissions of $815 to the Company’s agent and $78 in other transaction costs.</w:t>
      </w:r>
    </w:p>
    <w:p>
      <w:pPr>
        <w:spacing w:after="0" w:line="13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During the three months ended March 31, 2023, option holders exercised stock options to acquire 122,000 common shares (three months ended March 31, 2022: 55,000) resulting in proceeds of approximately $47 (three months ended March 31, 2022: $18) being paid to the Company.</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Measurement categories and fair value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81" w:lineRule="exact"/>
        <w:rPr>
          <w:sz w:val="20"/>
          <w:szCs w:val="20"/>
          <w:color w:val="auto"/>
        </w:rPr>
      </w:pPr>
    </w:p>
    <w:p>
      <w:pPr>
        <w:ind w:left="8240"/>
        <w:spacing w:after="0"/>
        <w:tabs>
          <w:tab w:leader="none" w:pos="9660" w:val="left"/>
        </w:tabs>
        <w:rPr>
          <w:sz w:val="20"/>
          <w:szCs w:val="20"/>
          <w:color w:val="auto"/>
        </w:rPr>
      </w:pPr>
      <w:r>
        <w:rPr>
          <w:rFonts w:ascii="Arial" w:cs="Arial" w:eastAsia="Arial" w:hAnsi="Arial"/>
          <w:sz w:val="18"/>
          <w:szCs w:val="18"/>
          <w:b w:val="1"/>
          <w:bCs w:val="1"/>
          <w:color w:val="auto"/>
        </w:rPr>
        <w:t>As of March 31,</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6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10"/>
        </w:trPr>
        <w:tc>
          <w:tcPr>
            <w:tcW w:w="5760" w:type="dxa"/>
            <w:vAlign w:val="bottom"/>
          </w:tcPr>
          <w:p>
            <w:pPr>
              <w:ind w:left="60"/>
              <w:spacing w:after="0"/>
              <w:rPr>
                <w:sz w:val="20"/>
                <w:szCs w:val="20"/>
                <w:color w:val="auto"/>
              </w:rPr>
            </w:pPr>
            <w:r>
              <w:rPr>
                <w:rFonts w:ascii="Arial" w:cs="Arial" w:eastAsia="Arial" w:hAnsi="Arial"/>
                <w:sz w:val="18"/>
                <w:szCs w:val="18"/>
                <w:b w:val="1"/>
                <w:bCs w:val="1"/>
                <w:color w:val="auto"/>
              </w:rPr>
              <w:t>Financial assets at amortized cost</w:t>
            </w:r>
          </w:p>
        </w:tc>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w:t>
            </w:r>
          </w:p>
        </w:tc>
        <w:tc>
          <w:tcPr>
            <w:tcW w:w="27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Level 1</w:t>
            </w:r>
          </w:p>
        </w:tc>
        <w:tc>
          <w:tcPr>
            <w:tcW w:w="154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29,378</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30,887</w:t>
            </w:r>
          </w:p>
        </w:tc>
      </w:tr>
      <w:tr>
        <w:trPr>
          <w:trHeight w:val="216"/>
        </w:trPr>
        <w:tc>
          <w:tcPr>
            <w:tcW w:w="5760" w:type="dxa"/>
            <w:vAlign w:val="bottom"/>
          </w:tcPr>
          <w:p>
            <w:pPr>
              <w:ind w:left="60"/>
              <w:spacing w:after="0"/>
              <w:rPr>
                <w:sz w:val="20"/>
                <w:szCs w:val="20"/>
                <w:color w:val="auto"/>
              </w:rPr>
            </w:pPr>
            <w:r>
              <w:rPr>
                <w:rFonts w:ascii="Arial" w:cs="Arial" w:eastAsia="Arial" w:hAnsi="Arial"/>
                <w:sz w:val="18"/>
                <w:szCs w:val="18"/>
                <w:color w:val="auto"/>
              </w:rPr>
              <w:t>Trade receivables</w:t>
            </w:r>
          </w:p>
        </w:tc>
        <w:tc>
          <w:tcPr>
            <w:tcW w:w="2740" w:type="dxa"/>
            <w:vAlign w:val="bottom"/>
          </w:tcPr>
          <w:p>
            <w:pPr>
              <w:ind w:left="1720"/>
              <w:spacing w:after="0"/>
              <w:rPr>
                <w:sz w:val="20"/>
                <w:szCs w:val="20"/>
                <w:color w:val="auto"/>
              </w:rPr>
            </w:pPr>
            <w:r>
              <w:rPr>
                <w:rFonts w:ascii="Arial" w:cs="Arial" w:eastAsia="Arial" w:hAnsi="Arial"/>
                <w:sz w:val="18"/>
                <w:szCs w:val="18"/>
                <w:color w:val="auto"/>
              </w:rPr>
              <w:t>Level 2</w:t>
            </w: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374</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701</w:t>
            </w:r>
          </w:p>
        </w:tc>
      </w:tr>
      <w:tr>
        <w:trPr>
          <w:trHeight w:val="216"/>
        </w:trPr>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receivables</w:t>
            </w:r>
          </w:p>
        </w:tc>
        <w:tc>
          <w:tcPr>
            <w:tcW w:w="27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Level 2</w:t>
            </w:r>
          </w:p>
        </w:tc>
        <w:tc>
          <w:tcPr>
            <w:tcW w:w="154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346</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r>
      <w:tr>
        <w:trPr>
          <w:trHeight w:val="216"/>
        </w:trPr>
        <w:tc>
          <w:tcPr>
            <w:tcW w:w="5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7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Financial assets at fair value through profit and loss</w:t>
            </w:r>
          </w:p>
        </w:tc>
        <w:tc>
          <w:tcPr>
            <w:tcW w:w="2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Derivative assets</w:t>
            </w:r>
          </w:p>
        </w:tc>
        <w:tc>
          <w:tcPr>
            <w:tcW w:w="27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Level 2</w:t>
            </w: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231</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7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carrying amount and fair value</w:t>
            </w:r>
          </w:p>
        </w:tc>
        <w:tc>
          <w:tcPr>
            <w:tcW w:w="27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30,329</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31,696</w:t>
            </w:r>
          </w:p>
        </w:tc>
      </w:tr>
      <w:tr>
        <w:trPr>
          <w:trHeight w:val="210"/>
        </w:trPr>
        <w:tc>
          <w:tcPr>
            <w:tcW w:w="5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7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Financial liabilities at amortized cost</w:t>
            </w:r>
          </w:p>
        </w:tc>
        <w:tc>
          <w:tcPr>
            <w:tcW w:w="2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760" w:type="dxa"/>
            <w:vAlign w:val="bottom"/>
          </w:tcPr>
          <w:p>
            <w:pPr>
              <w:ind w:left="60"/>
              <w:spacing w:after="0"/>
              <w:rPr>
                <w:sz w:val="20"/>
                <w:szCs w:val="20"/>
                <w:color w:val="auto"/>
              </w:rPr>
            </w:pPr>
            <w:r>
              <w:rPr>
                <w:rFonts w:ascii="Arial" w:cs="Arial" w:eastAsia="Arial" w:hAnsi="Arial"/>
                <w:sz w:val="18"/>
                <w:szCs w:val="18"/>
                <w:color w:val="auto"/>
              </w:rPr>
              <w:t>Trade accounts payable and accrued liabilities</w:t>
            </w:r>
          </w:p>
        </w:tc>
        <w:tc>
          <w:tcPr>
            <w:tcW w:w="2740" w:type="dxa"/>
            <w:vAlign w:val="bottom"/>
          </w:tcPr>
          <w:p>
            <w:pPr>
              <w:ind w:left="1720"/>
              <w:spacing w:after="0"/>
              <w:rPr>
                <w:sz w:val="20"/>
                <w:szCs w:val="20"/>
                <w:color w:val="auto"/>
              </w:rPr>
            </w:pPr>
            <w:r>
              <w:rPr>
                <w:rFonts w:ascii="Arial" w:cs="Arial" w:eastAsia="Arial" w:hAnsi="Arial"/>
                <w:sz w:val="18"/>
                <w:szCs w:val="18"/>
                <w:color w:val="auto"/>
              </w:rPr>
              <w:t>Level 2</w:t>
            </w: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11,921</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12,897</w:t>
            </w:r>
          </w:p>
        </w:tc>
      </w:tr>
      <w:tr>
        <w:trPr>
          <w:trHeight w:val="216"/>
        </w:trPr>
        <w:tc>
          <w:tcPr>
            <w:tcW w:w="57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Long-term debt</w:t>
            </w:r>
          </w:p>
        </w:tc>
        <w:tc>
          <w:tcPr>
            <w:tcW w:w="274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rPr>
              <w:t>Level 2</w:t>
            </w:r>
          </w:p>
        </w:tc>
        <w:tc>
          <w:tcPr>
            <w:tcW w:w="15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21,093</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47,147</w:t>
            </w:r>
          </w:p>
        </w:tc>
      </w:tr>
      <w:tr>
        <w:trPr>
          <w:trHeight w:val="210"/>
        </w:trPr>
        <w:tc>
          <w:tcPr>
            <w:tcW w:w="5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 carrying amount and fair value</w:t>
            </w:r>
          </w:p>
        </w:tc>
        <w:tc>
          <w:tcPr>
            <w:tcW w:w="27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33,014</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60,044</w:t>
            </w:r>
          </w:p>
        </w:tc>
      </w:tr>
      <w:tr>
        <w:trPr>
          <w:trHeight w:val="210"/>
        </w:trPr>
        <w:tc>
          <w:tcPr>
            <w:tcW w:w="5760" w:type="dxa"/>
            <w:vAlign w:val="bottom"/>
            <w:tcBorders>
              <w:bottom w:val="single" w:sz="8" w:color="auto"/>
            </w:tcBorders>
            <w:shd w:val="clear" w:color="auto" w:fill="CCEEFF"/>
          </w:tcPr>
          <w:p>
            <w:pPr>
              <w:spacing w:after="0"/>
              <w:rPr>
                <w:sz w:val="18"/>
                <w:szCs w:val="18"/>
                <w:color w:val="auto"/>
              </w:rPr>
            </w:pPr>
          </w:p>
        </w:tc>
        <w:tc>
          <w:tcPr>
            <w:tcW w:w="27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16"/>
        </w:trPr>
        <w:tc>
          <w:tcPr>
            <w:tcW w:w="5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Net carrying amount and fair value</w:t>
            </w:r>
          </w:p>
        </w:tc>
        <w:tc>
          <w:tcPr>
            <w:tcW w:w="27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(2,685)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(28,348)</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trade receivables, insurance refund and other receivables, trade payables and accrued liabilities and long-term debt presented in the table above are a reasonable approximation of their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assets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months ended March 31, 2023, the Company entered into forward BTC option contracts to sell digital assets to reduce the risk of variability of future cash flows resulting from future sales of digital assets. The fair value of option contracts is categorized as Level 2 in the fair value hierarchy and was presented under Other assets in the consolidated statements of financial position as at March 31, 2023. Their fair values are a recurring measurement. Fair value of derivative financial instruments generally reflects the estimated amounts that the Corporation would receive or pay, and taking into consideration the counterparty credit risk or the Corporation’s credit risk, at each reporting date. The Company uses market data such as BTC option futures to estimate the fair value of option contracts at each reporting date. The Company did not apply hedge accounting on these contracts.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 period ended March 31, 2023, the unrealized change in fair value of outstanding contracts and the realized gain on settled contracts amounted to a net gain of $35 recognized in net financial income included in the consolidated statements of profit or loss and comprehensive profit and loss. Refer to Note 19.</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TRANSACTIONS AND BALANCES WITH RELATED PARTIES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details balance payable to related parties:</w:t>
      </w:r>
    </w:p>
    <w:p>
      <w:pPr>
        <w:spacing w:after="0" w:line="221" w:lineRule="exact"/>
        <w:rPr>
          <w:sz w:val="20"/>
          <w:szCs w:val="20"/>
          <w:color w:val="auto"/>
        </w:rPr>
      </w:pPr>
    </w:p>
    <w:p>
      <w:pPr>
        <w:ind w:left="8240"/>
        <w:spacing w:after="0"/>
        <w:tabs>
          <w:tab w:leader="none" w:pos="9660" w:val="left"/>
        </w:tabs>
        <w:rPr>
          <w:sz w:val="20"/>
          <w:szCs w:val="20"/>
          <w:color w:val="auto"/>
        </w:rPr>
      </w:pPr>
      <w:r>
        <w:rPr>
          <w:rFonts w:ascii="Arial" w:cs="Arial" w:eastAsia="Arial" w:hAnsi="Arial"/>
          <w:sz w:val="18"/>
          <w:szCs w:val="18"/>
          <w:b w:val="1"/>
          <w:bCs w:val="1"/>
          <w:color w:val="auto"/>
        </w:rPr>
        <w:t>As of March 31,</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80" w:type="dxa"/>
            <w:vAlign w:val="bottom"/>
            <w:tcBorders>
              <w:top w:val="single" w:sz="8" w:color="auto"/>
              <w:bottom w:val="single" w:sz="8" w:color="auto"/>
            </w:tcBorders>
          </w:tcPr>
          <w:p>
            <w:pPr>
              <w:spacing w:after="0"/>
              <w:rPr>
                <w:sz w:val="18"/>
                <w:szCs w:val="18"/>
                <w:color w:val="auto"/>
              </w:rPr>
            </w:pPr>
          </w:p>
        </w:tc>
        <w:tc>
          <w:tcPr>
            <w:tcW w:w="38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6280" w:type="dxa"/>
            <w:vAlign w:val="bottom"/>
          </w:tcPr>
          <w:p>
            <w:pPr>
              <w:ind w:left="60"/>
              <w:spacing w:after="0"/>
              <w:rPr>
                <w:sz w:val="20"/>
                <w:szCs w:val="20"/>
                <w:color w:val="auto"/>
              </w:rPr>
            </w:pPr>
            <w:r>
              <w:rPr>
                <w:rFonts w:ascii="Arial" w:cs="Arial" w:eastAsia="Arial" w:hAnsi="Arial"/>
                <w:sz w:val="18"/>
                <w:szCs w:val="18"/>
                <w:b w:val="1"/>
                <w:bCs w:val="1"/>
                <w:color w:val="auto"/>
              </w:rPr>
              <w:t>Trade payables and accrued liabilities</w:t>
            </w:r>
          </w:p>
        </w:tc>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Directors’ remuneration</w:t>
            </w:r>
          </w:p>
        </w:tc>
        <w:tc>
          <w:tcPr>
            <w:tcW w:w="382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1,522</w:t>
            </w:r>
          </w:p>
        </w:tc>
      </w:tr>
      <w:tr>
        <w:trPr>
          <w:trHeight w:val="216"/>
        </w:trPr>
        <w:tc>
          <w:tcPr>
            <w:tcW w:w="6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Director and senior management incentive plan</w:t>
            </w:r>
          </w:p>
        </w:tc>
        <w:tc>
          <w:tcPr>
            <w:tcW w:w="38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60</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r>
      <w:tr>
        <w:trPr>
          <w:trHeight w:val="217"/>
        </w:trPr>
        <w:tc>
          <w:tcPr>
            <w:tcW w:w="6280" w:type="dxa"/>
            <w:vAlign w:val="bottom"/>
            <w:tcBorders>
              <w:bottom w:val="single" w:sz="8" w:color="auto"/>
            </w:tcBorders>
            <w:shd w:val="clear" w:color="auto" w:fill="CCEEFF"/>
          </w:tcPr>
          <w:p>
            <w:pPr>
              <w:spacing w:after="0"/>
              <w:rPr>
                <w:sz w:val="18"/>
                <w:szCs w:val="18"/>
                <w:color w:val="auto"/>
              </w:rPr>
            </w:pPr>
          </w:p>
        </w:tc>
        <w:tc>
          <w:tcPr>
            <w:tcW w:w="38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60</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Amounts due to related parties, other than lease liabilities, are unsecured, non-interest bearing and payable on demand.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2022, the Company made rent payments totaling approximately $121 to companies controlled by certain directors. No such payments were made for the three months ended March 31, 2023. The rent payments were classified as interest included in financial expenses and principal repayment of lease liabilities. During the year ended December 31, 2022, the Company’s leases with companies controlled by directors were renewed with third parties.</w:t>
      </w:r>
    </w:p>
    <w:p>
      <w:pPr>
        <w:spacing w:after="0" w:line="193" w:lineRule="exact"/>
        <w:rPr>
          <w:sz w:val="20"/>
          <w:szCs w:val="20"/>
          <w:color w:val="auto"/>
        </w:rPr>
      </w:pPr>
    </w:p>
    <w:p>
      <w:pPr>
        <w:jc w:val="both"/>
        <w:ind w:left="20" w:hanging="4"/>
        <w:spacing w:after="0" w:line="259" w:lineRule="auto"/>
        <w:rPr>
          <w:sz w:val="20"/>
          <w:szCs w:val="20"/>
          <w:color w:val="auto"/>
        </w:rPr>
      </w:pPr>
      <w:r>
        <w:rPr>
          <w:rFonts w:ascii="Arial" w:cs="Arial" w:eastAsia="Arial" w:hAnsi="Arial"/>
          <w:sz w:val="18"/>
          <w:szCs w:val="18"/>
          <w:color w:val="auto"/>
        </w:rPr>
        <w:t>In December 2022, the Company’s consulting agreements with two of its directors were terminated, their roles and responsibilities were reduced and termination payments totaling $1,466 were accrued and included in trade payables and accrued liabilities as at December 31, 2022 (as of March 31, 2023, balance accrued: nil). The consulting fees totaled approximately nil for the three months ended March 31, 2023 (for the three months ended March 31, 2022: $200).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transactions described above were incurred in the normal course of operations. These transactions are included in the consolidated statements of profit or loss and comprehensive profit and loss as follows:</w:t>
      </w:r>
    </w:p>
    <w:p>
      <w:pPr>
        <w:spacing w:after="0" w:line="166"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Three months ended March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Borders>
              <w:top w:val="single" w:sz="8" w:color="auto"/>
              <w:bottom w:val="single" w:sz="8" w:color="auto"/>
            </w:tcBorders>
          </w:tcPr>
          <w:p>
            <w:pPr>
              <w:spacing w:after="0"/>
              <w:rPr>
                <w:sz w:val="18"/>
                <w:szCs w:val="18"/>
                <w:color w:val="auto"/>
              </w:rPr>
            </w:pPr>
          </w:p>
        </w:tc>
        <w:tc>
          <w:tcPr>
            <w:tcW w:w="4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10"/>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expenses</w:t>
            </w:r>
          </w:p>
        </w:tc>
        <w:tc>
          <w:tcPr>
            <w:tcW w:w="42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r>
      <w:tr>
        <w:trPr>
          <w:trHeight w:val="216"/>
        </w:trPr>
        <w:tc>
          <w:tcPr>
            <w:tcW w:w="6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Net financial expenses (income)</w:t>
            </w:r>
          </w:p>
        </w:tc>
        <w:tc>
          <w:tcPr>
            <w:tcW w:w="4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r>
      <w:tr>
        <w:trPr>
          <w:trHeight w:val="217"/>
        </w:trPr>
        <w:tc>
          <w:tcPr>
            <w:tcW w:w="6060" w:type="dxa"/>
            <w:vAlign w:val="bottom"/>
            <w:tcBorders>
              <w:bottom w:val="single" w:sz="8" w:color="auto"/>
            </w:tcBorders>
            <w:shd w:val="clear" w:color="auto" w:fill="CCEEFF"/>
          </w:tcPr>
          <w:p>
            <w:pPr>
              <w:spacing w:after="0"/>
              <w:rPr>
                <w:sz w:val="18"/>
                <w:szCs w:val="18"/>
                <w:color w:val="auto"/>
              </w:rPr>
            </w:pPr>
          </w:p>
        </w:tc>
        <w:tc>
          <w:tcPr>
            <w:tcW w:w="42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NET EARNINGS (LOSS) PER SHARE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Details of the number of shares and income (loss) used in the computation of net earnings (loss) per share are as follows:</w:t>
      </w:r>
    </w:p>
    <w:p>
      <w:pPr>
        <w:spacing w:after="0" w:line="221"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6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r>
      <w:tr>
        <w:trPr>
          <w:trHeight w:val="209"/>
        </w:trPr>
        <w:tc>
          <w:tcPr>
            <w:tcW w:w="6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Net (loss) income</w:t>
            </w:r>
          </w:p>
        </w:tc>
        <w:tc>
          <w:tcPr>
            <w:tcW w:w="3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(2,479)</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4,519</w:t>
            </w:r>
          </w:p>
        </w:tc>
      </w:tr>
      <w:tr>
        <w:trPr>
          <w:trHeight w:val="210"/>
        </w:trPr>
        <w:tc>
          <w:tcPr>
            <w:tcW w:w="6860" w:type="dxa"/>
            <w:vAlign w:val="bottom"/>
          </w:tcPr>
          <w:p>
            <w:pPr>
              <w:ind w:left="60"/>
              <w:spacing w:after="0"/>
              <w:rPr>
                <w:sz w:val="20"/>
                <w:szCs w:val="20"/>
                <w:color w:val="auto"/>
              </w:rPr>
            </w:pPr>
            <w:r>
              <w:rPr>
                <w:rFonts w:ascii="Arial" w:cs="Arial" w:eastAsia="Arial" w:hAnsi="Arial"/>
                <w:sz w:val="18"/>
                <w:szCs w:val="18"/>
                <w:color w:val="auto"/>
              </w:rPr>
              <w:t>Weighted average number of common shares outstanding - basic</w:t>
            </w:r>
          </w:p>
        </w:tc>
        <w:tc>
          <w:tcPr>
            <w:tcW w:w="3180" w:type="dxa"/>
            <w:vAlign w:val="bottom"/>
          </w:tcPr>
          <w:p>
            <w:pPr>
              <w:jc w:val="right"/>
              <w:ind w:right="170"/>
              <w:spacing w:after="0"/>
              <w:rPr>
                <w:sz w:val="20"/>
                <w:szCs w:val="20"/>
                <w:color w:val="auto"/>
              </w:rPr>
            </w:pPr>
            <w:r>
              <w:rPr>
                <w:rFonts w:ascii="Arial" w:cs="Arial" w:eastAsia="Arial" w:hAnsi="Arial"/>
                <w:sz w:val="18"/>
                <w:szCs w:val="18"/>
                <w:b w:val="1"/>
                <w:bCs w:val="1"/>
                <w:color w:val="auto"/>
              </w:rPr>
              <w:t>232,541,000</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197,505,000</w:t>
            </w:r>
          </w:p>
        </w:tc>
      </w:tr>
      <w:tr>
        <w:trPr>
          <w:trHeight w:val="216"/>
        </w:trPr>
        <w:tc>
          <w:tcPr>
            <w:tcW w:w="6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The effect of dilutive potential common shares</w:t>
            </w:r>
          </w:p>
        </w:tc>
        <w:tc>
          <w:tcPr>
            <w:tcW w:w="3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3,764,000</w:t>
            </w:r>
          </w:p>
        </w:tc>
      </w:tr>
      <w:tr>
        <w:trPr>
          <w:trHeight w:val="209"/>
        </w:trPr>
        <w:tc>
          <w:tcPr>
            <w:tcW w:w="68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Weighted average number of common shares outstanding - diluted</w:t>
            </w:r>
          </w:p>
        </w:tc>
        <w:tc>
          <w:tcPr>
            <w:tcW w:w="3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232,541,000</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201,269,000</w:t>
            </w:r>
          </w:p>
        </w:tc>
      </w:tr>
      <w:tr>
        <w:trPr>
          <w:trHeight w:val="210"/>
        </w:trPr>
        <w:tc>
          <w:tcPr>
            <w:tcW w:w="6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Basic (loss) earnings per share</w:t>
            </w:r>
          </w:p>
        </w:tc>
        <w:tc>
          <w:tcPr>
            <w:tcW w:w="3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(0.01)</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r>
      <w:tr>
        <w:trPr>
          <w:trHeight w:val="223"/>
        </w:trPr>
        <w:tc>
          <w:tcPr>
            <w:tcW w:w="68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Diluted (loss) earnings per share</w:t>
            </w:r>
          </w:p>
        </w:tc>
        <w:tc>
          <w:tcPr>
            <w:tcW w:w="3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(0.01)</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month period ended March 31, 2023, potentially dilutive securities have not been included in the calculation of diluted earnings (loss) per share because their effect is antidilutive. The additional potentially dilutive securities that would have been included in the calculation of diluted earnings per share had their effect not been anti-dilutive for the three month period ended March 31, 2023 would have totaled approximately 3,577,000.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SHARE-BASED PAYMENT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share-based payment expense related to stock options and restricted stock units (“RSU”) for employees, directors, consultants and former employees received was as follows:</w:t>
      </w:r>
    </w:p>
    <w:p>
      <w:pPr>
        <w:spacing w:after="0" w:line="166"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Three months ended March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Borders>
              <w:top w:val="single" w:sz="8" w:color="auto"/>
              <w:bottom w:val="single" w:sz="8" w:color="auto"/>
            </w:tcBorders>
          </w:tcPr>
          <w:p>
            <w:pPr>
              <w:spacing w:after="0"/>
              <w:rPr>
                <w:sz w:val="18"/>
                <w:szCs w:val="18"/>
                <w:color w:val="auto"/>
              </w:rPr>
            </w:pPr>
          </w:p>
        </w:tc>
        <w:tc>
          <w:tcPr>
            <w:tcW w:w="4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16"/>
        </w:trPr>
        <w:tc>
          <w:tcPr>
            <w:tcW w:w="6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Equity-settled share-based payment plans</w:t>
            </w:r>
          </w:p>
        </w:tc>
        <w:tc>
          <w:tcPr>
            <w:tcW w:w="40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2,536</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6,105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During the three months ended March 31, 2023, no stock options were granted. During the three months ended March 31, 2022, the Board of Directors approved stock option grants to purchase 120,000 common shares in accordance with the Long-Term Incentive Plan (the “LTIP Plan”) adopted on May 18, 2021. All options issued according to the LTIP Plan become exercisable when they vest and can be exercised for a maximum period of 5 years from the date of the grant.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31, 2023, upon the voluntary surrender by option holders, the Company cancelled outstanding options exercisable for 10,535,000 common shares. The Company intends, but has no obligation, to grant new options to the persons who formerly held the cancelled options no less than 90 days after the cancellation date of the original options. As the options were cancelled without the concurrent grant of a replacement award, the cancellation was treated as a settlement for no consideration, and all remaining unrecognized share-based payment expense associated with the cancelled options was accelerated for an amount of $914 during the three months ended March 31, 2023.</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18: SHARE-BASED PAYMENT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outstanding stock options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c>
          <w:tcPr>
            <w:tcW w:w="1880" w:type="dxa"/>
            <w:vAlign w:val="bottom"/>
            <w:tcBorders>
              <w:bottom w:val="single" w:sz="8" w:color="auto"/>
            </w:tcBorders>
          </w:tcPr>
          <w:p>
            <w:pPr>
              <w:spacing w:after="0"/>
              <w:rPr>
                <w:sz w:val="20"/>
                <w:szCs w:val="20"/>
                <w:color w:val="auto"/>
              </w:rPr>
            </w:pPr>
          </w:p>
        </w:tc>
      </w:tr>
      <w:tr>
        <w:trPr>
          <w:trHeight w:val="209"/>
        </w:trPr>
        <w:tc>
          <w:tcPr>
            <w:tcW w:w="30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17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191"/>
        </w:trPr>
        <w:tc>
          <w:tcPr>
            <w:tcW w:w="3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Weighted Average</w:t>
            </w:r>
          </w:p>
        </w:tc>
        <w:tc>
          <w:tcPr>
            <w:tcW w:w="1700" w:type="dxa"/>
            <w:vAlign w:val="bottom"/>
          </w:tcPr>
          <w:p>
            <w:pPr>
              <w:spacing w:after="0"/>
              <w:rPr>
                <w:sz w:val="16"/>
                <w:szCs w:val="16"/>
                <w:color w:val="auto"/>
              </w:rPr>
            </w:pPr>
          </w:p>
        </w:tc>
        <w:tc>
          <w:tcPr>
            <w:tcW w:w="188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Weighted Average</w:t>
            </w:r>
          </w:p>
        </w:tc>
      </w:tr>
      <w:tr>
        <w:trPr>
          <w:trHeight w:val="234"/>
        </w:trPr>
        <w:tc>
          <w:tcPr>
            <w:tcW w:w="30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 of Options</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Exercise Price ($CAD)</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Number of Options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Exercise Price ($CAD)</w:t>
            </w:r>
          </w:p>
        </w:tc>
      </w:tr>
      <w:tr>
        <w:trPr>
          <w:trHeight w:val="209"/>
        </w:trPr>
        <w:tc>
          <w:tcPr>
            <w:tcW w:w="30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Outstanding, January 1,</w:t>
            </w:r>
          </w:p>
        </w:tc>
        <w:tc>
          <w:tcPr>
            <w:tcW w:w="2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21,804,000</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3.47</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12,547,000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09"/>
        </w:trPr>
        <w:tc>
          <w:tcPr>
            <w:tcW w:w="3040" w:type="dxa"/>
            <w:vAlign w:val="bottom"/>
          </w:tcPr>
          <w:p>
            <w:pPr>
              <w:ind w:left="60"/>
              <w:spacing w:after="0"/>
              <w:rPr>
                <w:sz w:val="20"/>
                <w:szCs w:val="20"/>
                <w:color w:val="auto"/>
              </w:rPr>
            </w:pPr>
            <w:r>
              <w:rPr>
                <w:rFonts w:ascii="Arial" w:cs="Arial" w:eastAsia="Arial" w:hAnsi="Arial"/>
                <w:sz w:val="18"/>
                <w:szCs w:val="18"/>
                <w:color w:val="auto"/>
              </w:rPr>
              <w:t>Granted</w:t>
            </w:r>
          </w:p>
        </w:tc>
        <w:tc>
          <w:tcPr>
            <w:tcW w:w="27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120,000</w:t>
            </w:r>
          </w:p>
        </w:tc>
        <w:tc>
          <w:tcPr>
            <w:tcW w:w="188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3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Exercised</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(122,000)</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16"/>
        </w:trPr>
        <w:tc>
          <w:tcPr>
            <w:tcW w:w="3040" w:type="dxa"/>
            <w:vAlign w:val="bottom"/>
          </w:tcPr>
          <w:p>
            <w:pPr>
              <w:ind w:left="60"/>
              <w:spacing w:after="0"/>
              <w:rPr>
                <w:sz w:val="20"/>
                <w:szCs w:val="20"/>
                <w:color w:val="auto"/>
              </w:rPr>
            </w:pPr>
            <w:r>
              <w:rPr>
                <w:rFonts w:ascii="Arial" w:cs="Arial" w:eastAsia="Arial" w:hAnsi="Arial"/>
                <w:sz w:val="18"/>
                <w:szCs w:val="18"/>
                <w:color w:val="auto"/>
              </w:rPr>
              <w:t>Cancelled</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(10,535,000)</w:t>
            </w: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5.40</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Expired</w:t>
            </w:r>
          </w:p>
        </w:tc>
        <w:tc>
          <w:tcPr>
            <w:tcW w:w="2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(15,000)</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0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Outstanding, March 31,</w:t>
            </w:r>
          </w:p>
        </w:tc>
        <w:tc>
          <w:tcPr>
            <w:tcW w:w="2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11,132,000</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1.68</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12,612,000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23"/>
        </w:trPr>
        <w:tc>
          <w:tcPr>
            <w:tcW w:w="30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Exercisable, March 31,</w:t>
            </w:r>
          </w:p>
        </w:tc>
        <w:tc>
          <w:tcPr>
            <w:tcW w:w="2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2,286,000</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0.48</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5,876,000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contractual life of the stock options as of March 31, 2023 was 3.9 years (March 31, 2022: 4.2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Unit Shares (’‘RSU’’)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RSUs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 March 31,</w:t>
            </w:r>
          </w:p>
        </w:tc>
        <w:tc>
          <w:tcPr>
            <w:tcW w:w="1760" w:type="dxa"/>
            <w:vAlign w:val="bottom"/>
            <w:tcBorders>
              <w:bottom w:val="single" w:sz="8" w:color="auto"/>
            </w:tcBorders>
          </w:tcPr>
          <w:p>
            <w:pPr>
              <w:spacing w:after="0"/>
              <w:rPr>
                <w:sz w:val="20"/>
                <w:szCs w:val="20"/>
                <w:color w:val="auto"/>
              </w:rPr>
            </w:pPr>
          </w:p>
        </w:tc>
      </w:tr>
      <w:tr>
        <w:trPr>
          <w:trHeight w:val="210"/>
        </w:trPr>
        <w:tc>
          <w:tcPr>
            <w:tcW w:w="33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r>
      <w:tr>
        <w:trPr>
          <w:trHeight w:val="191"/>
        </w:trPr>
        <w:tc>
          <w:tcPr>
            <w:tcW w:w="3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Weighted Average</w:t>
            </w:r>
          </w:p>
        </w:tc>
        <w:tc>
          <w:tcPr>
            <w:tcW w:w="1500" w:type="dxa"/>
            <w:vAlign w:val="bottom"/>
          </w:tcPr>
          <w:p>
            <w:pPr>
              <w:spacing w:after="0"/>
              <w:rPr>
                <w:sz w:val="16"/>
                <w:szCs w:val="16"/>
                <w:color w:val="auto"/>
              </w:rPr>
            </w:pPr>
          </w:p>
        </w:tc>
        <w:tc>
          <w:tcPr>
            <w:tcW w:w="17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Weighted Average</w:t>
            </w:r>
          </w:p>
        </w:tc>
      </w:tr>
      <w:tr>
        <w:trPr>
          <w:trHeight w:val="234"/>
        </w:trPr>
        <w:tc>
          <w:tcPr>
            <w:tcW w:w="33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Number of RSUs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Grant Price ($CAD)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Number of RSUs</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Grant Price ($CAD)</w:t>
            </w:r>
          </w:p>
        </w:tc>
      </w:tr>
      <w:tr>
        <w:trPr>
          <w:trHeight w:val="210"/>
        </w:trPr>
        <w:tc>
          <w:tcPr>
            <w:tcW w:w="3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Outstanding, January 1,</w:t>
            </w:r>
          </w:p>
        </w:tc>
        <w:tc>
          <w:tcPr>
            <w:tcW w:w="2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400,000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10"/>
        </w:trPr>
        <w:tc>
          <w:tcPr>
            <w:tcW w:w="3380" w:type="dxa"/>
            <w:vAlign w:val="bottom"/>
          </w:tcPr>
          <w:p>
            <w:pPr>
              <w:ind w:left="60"/>
              <w:spacing w:after="0"/>
              <w:rPr>
                <w:sz w:val="20"/>
                <w:szCs w:val="20"/>
                <w:color w:val="auto"/>
              </w:rPr>
            </w:pPr>
            <w:r>
              <w:rPr>
                <w:rFonts w:ascii="Arial" w:cs="Arial" w:eastAsia="Arial" w:hAnsi="Arial"/>
                <w:sz w:val="18"/>
                <w:szCs w:val="18"/>
                <w:color w:val="auto"/>
              </w:rPr>
              <w:t>Granted</w:t>
            </w:r>
          </w:p>
        </w:tc>
        <w:tc>
          <w:tcPr>
            <w:tcW w:w="2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Settled</w:t>
            </w:r>
          </w:p>
        </w:tc>
        <w:tc>
          <w:tcPr>
            <w:tcW w:w="2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Outstanding, March 31,</w:t>
            </w:r>
          </w:p>
        </w:tc>
        <w:tc>
          <w:tcPr>
            <w:tcW w:w="2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400,000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ADDITIONAL DETAILS TO THE STATEMENT OF PROFIT OR LOSS AND COMPREHENSIVE PROFIT OR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7"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Borders>
              <w:top w:val="single" w:sz="8" w:color="auto"/>
              <w:bottom w:val="single" w:sz="8" w:color="auto"/>
            </w:tcBorders>
          </w:tcPr>
          <w:p>
            <w:pPr>
              <w:spacing w:after="0"/>
              <w:rPr>
                <w:sz w:val="18"/>
                <w:szCs w:val="18"/>
                <w:color w:val="auto"/>
              </w:rPr>
            </w:pPr>
          </w:p>
        </w:tc>
        <w:tc>
          <w:tcPr>
            <w:tcW w:w="44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Energy and infrastructure</w:t>
            </w:r>
          </w:p>
        </w:tc>
        <w:tc>
          <w:tcPr>
            <w:tcW w:w="44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17,027</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16"/>
        </w:trPr>
        <w:tc>
          <w:tcPr>
            <w:tcW w:w="580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4400" w:type="dxa"/>
            <w:vAlign w:val="bottom"/>
          </w:tcPr>
          <w:p>
            <w:pPr>
              <w:jc w:val="right"/>
              <w:ind w:right="330"/>
              <w:spacing w:after="0"/>
              <w:rPr>
                <w:sz w:val="20"/>
                <w:szCs w:val="20"/>
                <w:color w:val="auto"/>
              </w:rPr>
            </w:pPr>
            <w:r>
              <w:rPr>
                <w:rFonts w:ascii="Arial" w:cs="Arial" w:eastAsia="Arial" w:hAnsi="Arial"/>
                <w:sz w:val="18"/>
                <w:szCs w:val="18"/>
                <w:b w:val="1"/>
                <w:bCs w:val="1"/>
                <w:color w:val="auto"/>
              </w:rPr>
              <w:t>20,700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13,066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Purchases of electrical components</w:t>
            </w:r>
          </w:p>
        </w:tc>
        <w:tc>
          <w:tcPr>
            <w:tcW w:w="44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320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Electrician salaries and payroll taxes</w:t>
            </w:r>
          </w:p>
        </w:tc>
        <w:tc>
          <w:tcPr>
            <w:tcW w:w="4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356</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shd w:val="clear" w:color="auto" w:fill="CCEEFF"/>
          </w:tcPr>
          <w:p>
            <w:pPr>
              <w:spacing w:after="0"/>
              <w:rPr>
                <w:sz w:val="18"/>
                <w:szCs w:val="18"/>
                <w:color w:val="auto"/>
              </w:rPr>
            </w:pPr>
          </w:p>
        </w:tc>
        <w:tc>
          <w:tcPr>
            <w:tcW w:w="4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38,403</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23,292</w:t>
            </w:r>
          </w:p>
        </w:tc>
        <w:tc>
          <w:tcPr>
            <w:tcW w:w="0" w:type="dxa"/>
            <w:vAlign w:val="bottom"/>
          </w:tcPr>
          <w:p>
            <w:pPr>
              <w:spacing w:after="0"/>
              <w:rPr>
                <w:sz w:val="1"/>
                <w:szCs w:val="1"/>
                <w:color w:val="auto"/>
              </w:rPr>
            </w:pPr>
          </w:p>
        </w:tc>
      </w:tr>
      <w:tr>
        <w:trPr>
          <w:trHeight w:val="432"/>
        </w:trPr>
        <w:tc>
          <w:tcPr>
            <w:tcW w:w="580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5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Salaries and share based payment</w:t>
            </w:r>
          </w:p>
        </w:tc>
        <w:tc>
          <w:tcPr>
            <w:tcW w:w="44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5,157</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16"/>
        </w:trPr>
        <w:tc>
          <w:tcPr>
            <w:tcW w:w="5800" w:type="dxa"/>
            <w:vAlign w:val="bottom"/>
          </w:tcPr>
          <w:p>
            <w:pPr>
              <w:ind w:left="60"/>
              <w:spacing w:after="0"/>
              <w:rPr>
                <w:sz w:val="20"/>
                <w:szCs w:val="20"/>
                <w:color w:val="auto"/>
              </w:rPr>
            </w:pPr>
            <w:r>
              <w:rPr>
                <w:rFonts w:ascii="Arial" w:cs="Arial" w:eastAsia="Arial" w:hAnsi="Arial"/>
                <w:sz w:val="18"/>
                <w:szCs w:val="18"/>
                <w:color w:val="auto"/>
              </w:rPr>
              <w:t>Professional services</w:t>
            </w:r>
          </w:p>
        </w:tc>
        <w:tc>
          <w:tcPr>
            <w:tcW w:w="4400" w:type="dxa"/>
            <w:vAlign w:val="bottom"/>
          </w:tcPr>
          <w:p>
            <w:pPr>
              <w:jc w:val="right"/>
              <w:ind w:right="330"/>
              <w:spacing w:after="0"/>
              <w:rPr>
                <w:sz w:val="20"/>
                <w:szCs w:val="20"/>
                <w:color w:val="auto"/>
              </w:rPr>
            </w:pPr>
            <w:r>
              <w:rPr>
                <w:rFonts w:ascii="Arial" w:cs="Arial" w:eastAsia="Arial" w:hAnsi="Arial"/>
                <w:sz w:val="18"/>
                <w:szCs w:val="18"/>
                <w:b w:val="1"/>
                <w:bCs w:val="1"/>
                <w:color w:val="auto"/>
              </w:rPr>
              <w:t>1,878</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Advertising and promotion</w:t>
            </w:r>
          </w:p>
        </w:tc>
        <w:tc>
          <w:tcPr>
            <w:tcW w:w="44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81</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800" w:type="dxa"/>
            <w:vAlign w:val="bottom"/>
          </w:tcPr>
          <w:p>
            <w:pPr>
              <w:ind w:left="60"/>
              <w:spacing w:after="0"/>
              <w:rPr>
                <w:sz w:val="20"/>
                <w:szCs w:val="20"/>
                <w:color w:val="auto"/>
              </w:rPr>
            </w:pPr>
            <w:r>
              <w:rPr>
                <w:rFonts w:ascii="Arial" w:cs="Arial" w:eastAsia="Arial" w:hAnsi="Arial"/>
                <w:sz w:val="18"/>
                <w:szCs w:val="18"/>
                <w:color w:val="auto"/>
              </w:rPr>
              <w:t>Insurance, duties and other</w:t>
            </w:r>
          </w:p>
        </w:tc>
        <w:tc>
          <w:tcPr>
            <w:tcW w:w="4400" w:type="dxa"/>
            <w:vAlign w:val="bottom"/>
          </w:tcPr>
          <w:p>
            <w:pPr>
              <w:jc w:val="right"/>
              <w:ind w:right="330"/>
              <w:spacing w:after="0"/>
              <w:rPr>
                <w:sz w:val="20"/>
                <w:szCs w:val="20"/>
                <w:color w:val="auto"/>
              </w:rPr>
            </w:pPr>
            <w:r>
              <w:rPr>
                <w:rFonts w:ascii="Arial" w:cs="Arial" w:eastAsia="Arial" w:hAnsi="Arial"/>
                <w:sz w:val="18"/>
                <w:szCs w:val="18"/>
                <w:b w:val="1"/>
                <w:bCs w:val="1"/>
                <w:color w:val="auto"/>
              </w:rPr>
              <w:t>974</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Travel, motor vehicle and meals</w:t>
            </w:r>
          </w:p>
        </w:tc>
        <w:tc>
          <w:tcPr>
            <w:tcW w:w="44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178</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Hosting and telecommunications</w:t>
            </w:r>
          </w:p>
        </w:tc>
        <w:tc>
          <w:tcPr>
            <w:tcW w:w="4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92</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auto"/>
            </w:tcBorders>
            <w:shd w:val="clear" w:color="auto" w:fill="CCEEFF"/>
          </w:tcPr>
          <w:p>
            <w:pPr>
              <w:spacing w:after="0"/>
              <w:rPr>
                <w:sz w:val="18"/>
                <w:szCs w:val="18"/>
                <w:color w:val="auto"/>
              </w:rPr>
            </w:pPr>
          </w:p>
        </w:tc>
        <w:tc>
          <w:tcPr>
            <w:tcW w:w="4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8,360</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19: ADDITIONAL DETAILS TO THE STATEMENT OF PROFIT OR LOSS AND COMPREHENSIVE PROFIT OR LOSS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financial income</w:t>
      </w:r>
    </w:p>
    <w:p>
      <w:pPr>
        <w:spacing w:after="0" w:line="225" w:lineRule="exact"/>
        <w:rPr>
          <w:sz w:val="20"/>
          <w:szCs w:val="20"/>
          <w:color w:val="auto"/>
        </w:rPr>
      </w:pPr>
    </w:p>
    <w:p>
      <w:pPr>
        <w:ind w:left="8680"/>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8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Gain on disposition of marketable securities</w:t>
            </w:r>
          </w:p>
        </w:tc>
        <w:tc>
          <w:tcPr>
            <w:tcW w:w="2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a</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(2,171)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w:t>
            </w:r>
          </w:p>
        </w:tc>
      </w:tr>
      <w:tr>
        <w:trPr>
          <w:trHeight w:val="216"/>
        </w:trPr>
        <w:tc>
          <w:tcPr>
            <w:tcW w:w="6480" w:type="dxa"/>
            <w:vAlign w:val="bottom"/>
          </w:tcPr>
          <w:p>
            <w:pPr>
              <w:ind w:left="60"/>
              <w:spacing w:after="0"/>
              <w:rPr>
                <w:sz w:val="20"/>
                <w:szCs w:val="20"/>
                <w:color w:val="auto"/>
              </w:rPr>
            </w:pPr>
            <w:r>
              <w:rPr>
                <w:rFonts w:ascii="Arial" w:cs="Arial" w:eastAsia="Arial" w:hAnsi="Arial"/>
                <w:sz w:val="18"/>
                <w:szCs w:val="18"/>
                <w:color w:val="auto"/>
              </w:rPr>
              <w:t>Gain on extinguishment of long-term debt and lease liabilities</w:t>
            </w:r>
          </w:p>
        </w:tc>
        <w:tc>
          <w:tcPr>
            <w:tcW w:w="2400" w:type="dxa"/>
            <w:vAlign w:val="bottom"/>
          </w:tcPr>
          <w:p>
            <w:pPr>
              <w:jc w:val="right"/>
              <w:ind w:right="250"/>
              <w:spacing w:after="0"/>
              <w:rPr>
                <w:sz w:val="20"/>
                <w:szCs w:val="20"/>
                <w:color w:val="auto"/>
              </w:rPr>
            </w:pPr>
            <w:r>
              <w:rPr>
                <w:rFonts w:ascii="Arial" w:cs="Arial" w:eastAsia="Arial" w:hAnsi="Arial"/>
                <w:sz w:val="18"/>
                <w:szCs w:val="18"/>
                <w:color w:val="auto"/>
              </w:rPr>
              <w:t>b</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(12,835)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on currency exchange</w:t>
            </w:r>
          </w:p>
        </w:tc>
        <w:tc>
          <w:tcPr>
            <w:tcW w:w="2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270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858</w:t>
            </w:r>
          </w:p>
        </w:tc>
      </w:tr>
      <w:tr>
        <w:trPr>
          <w:trHeight w:val="216"/>
        </w:trPr>
        <w:tc>
          <w:tcPr>
            <w:tcW w:w="6480" w:type="dxa"/>
            <w:vAlign w:val="bottom"/>
          </w:tcPr>
          <w:p>
            <w:pPr>
              <w:ind w:left="60"/>
              <w:spacing w:after="0"/>
              <w:rPr>
                <w:sz w:val="20"/>
                <w:szCs w:val="20"/>
                <w:color w:val="auto"/>
              </w:rPr>
            </w:pPr>
            <w:r>
              <w:rPr>
                <w:rFonts w:ascii="Arial" w:cs="Arial" w:eastAsia="Arial" w:hAnsi="Arial"/>
                <w:sz w:val="18"/>
                <w:szCs w:val="18"/>
                <w:color w:val="auto"/>
              </w:rPr>
              <w:t>Interest on credit facility and long-term debt</w:t>
            </w:r>
          </w:p>
        </w:tc>
        <w:tc>
          <w:tcPr>
            <w:tcW w:w="240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1,251</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2,705</w:t>
            </w:r>
          </w:p>
        </w:tc>
      </w:tr>
      <w:tr>
        <w:trPr>
          <w:trHeight w:val="216"/>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on lease liabilities</w:t>
            </w:r>
          </w:p>
        </w:tc>
        <w:tc>
          <w:tcPr>
            <w:tcW w:w="2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369</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r>
      <w:tr>
        <w:trPr>
          <w:trHeight w:val="216"/>
        </w:trPr>
        <w:tc>
          <w:tcPr>
            <w:tcW w:w="6480" w:type="dxa"/>
            <w:vAlign w:val="bottom"/>
          </w:tcPr>
          <w:p>
            <w:pPr>
              <w:ind w:left="60"/>
              <w:spacing w:after="0"/>
              <w:rPr>
                <w:sz w:val="20"/>
                <w:szCs w:val="20"/>
                <w:color w:val="auto"/>
              </w:rPr>
            </w:pPr>
            <w:r>
              <w:rPr>
                <w:rFonts w:ascii="Arial" w:cs="Arial" w:eastAsia="Arial" w:hAnsi="Arial"/>
                <w:sz w:val="18"/>
                <w:szCs w:val="18"/>
                <w:color w:val="auto"/>
              </w:rPr>
              <w:t>Discount expense on VAT receivable</w:t>
            </w:r>
          </w:p>
        </w:tc>
        <w:tc>
          <w:tcPr>
            <w:tcW w:w="2400" w:type="dxa"/>
            <w:vAlign w:val="bottom"/>
          </w:tcPr>
          <w:p>
            <w:pPr>
              <w:jc w:val="right"/>
              <w:ind w:right="250"/>
              <w:spacing w:after="0"/>
              <w:rPr>
                <w:sz w:val="20"/>
                <w:szCs w:val="20"/>
                <w:color w:val="auto"/>
              </w:rPr>
            </w:pPr>
            <w:r>
              <w:rPr>
                <w:rFonts w:ascii="Arial" w:cs="Arial" w:eastAsia="Arial" w:hAnsi="Arial"/>
                <w:sz w:val="18"/>
                <w:szCs w:val="18"/>
                <w:color w:val="auto"/>
              </w:rPr>
              <w:t>c</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1,009</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2,919</w:t>
            </w:r>
          </w:p>
        </w:tc>
      </w:tr>
      <w:tr>
        <w:trPr>
          <w:trHeight w:val="216"/>
        </w:trPr>
        <w:tc>
          <w:tcPr>
            <w:tcW w:w="6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Other financial (income) expenses</w:t>
            </w:r>
          </w:p>
        </w:tc>
        <w:tc>
          <w:tcPr>
            <w:tcW w:w="2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(81)</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r>
      <w:tr>
        <w:trPr>
          <w:trHeight w:val="216"/>
        </w:trPr>
        <w:tc>
          <w:tcPr>
            <w:tcW w:w="64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(12,188)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w:t>
            </w:r>
          </w:p>
        </w:tc>
      </w:tr>
    </w:tbl>
    <w:p>
      <w:pPr>
        <w:spacing w:after="0" w:line="19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Gain on disposition of marketable securities</w:t>
      </w:r>
    </w:p>
    <w:p>
      <w:pPr>
        <w:spacing w:after="0" w:line="27" w:lineRule="exact"/>
        <w:rPr>
          <w:sz w:val="20"/>
          <w:szCs w:val="20"/>
          <w:color w:val="auto"/>
        </w:rPr>
      </w:pPr>
    </w:p>
    <w:p>
      <w:pPr>
        <w:jc w:val="both"/>
        <w:ind w:left="20" w:hanging="9"/>
        <w:spacing w:after="0" w:line="253" w:lineRule="auto"/>
        <w:rPr>
          <w:sz w:val="20"/>
          <w:szCs w:val="20"/>
          <w:color w:val="auto"/>
        </w:rPr>
      </w:pPr>
      <w:r>
        <w:rPr>
          <w:rFonts w:ascii="Arial" w:cs="Arial" w:eastAsia="Arial" w:hAnsi="Arial"/>
          <w:sz w:val="18"/>
          <w:szCs w:val="18"/>
          <w:color w:val="auto"/>
        </w:rPr>
        <w:t>During the three months ended March 31, 2023, the Company funded its expansion in Argentina through the acquisition of marketable securities and in-kind contribution of these securities to the Company’s subsidiary in Argentina. The subsequent disposition of these marketable securities in exchange for Argentine Pesos gave rise to a gain as the amount received in ARS exceeds the amount of ARS the Company would have received from a direct foreign currency exchange.</w:t>
      </w:r>
    </w:p>
    <w:p>
      <w:pPr>
        <w:spacing w:after="0" w:line="18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Gain on extinguishment of the BlockFi Loan and Reliz lease liability</w:t>
      </w:r>
    </w:p>
    <w:p>
      <w:pPr>
        <w:spacing w:after="0" w:line="27" w:lineRule="exact"/>
        <w:rPr>
          <w:sz w:val="20"/>
          <w:szCs w:val="20"/>
          <w:color w:val="auto"/>
        </w:rPr>
      </w:pPr>
    </w:p>
    <w:p>
      <w:pPr>
        <w:jc w:val="both"/>
        <w:ind w:left="20" w:hanging="9"/>
        <w:spacing w:after="0" w:line="255" w:lineRule="auto"/>
        <w:rPr>
          <w:sz w:val="20"/>
          <w:szCs w:val="20"/>
          <w:color w:val="auto"/>
        </w:rPr>
      </w:pPr>
      <w:r>
        <w:rPr>
          <w:rFonts w:ascii="Arial" w:cs="Arial" w:eastAsia="Arial" w:hAnsi="Arial"/>
          <w:sz w:val="18"/>
          <w:szCs w:val="18"/>
          <w:color w:val="auto"/>
        </w:rPr>
        <w:t>In February 2023, the Company negotiated a settlement of its loan agreement with BlockFi with a then outstanding debt balance of $20,330 for a payment of $7,750. As a result, a gain on extinguishment of long-term debt was recognized in the amount of $12,580 during the three months ended March 31, 2023.</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2023, the Company modified its lease agreement with Reliz Ltd. in order to settle its outstanding lease liability of $373 for a payment of $118.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a result, a gain on extinguishment of lease liabilities was recognized in the amount of $255 during the three months ended March 31, 2023.</w:t>
      </w:r>
    </w:p>
    <w:p>
      <w:pPr>
        <w:spacing w:after="0" w:line="21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Discount expense on VAT receivable</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A portion of the Argentine VAT receivable is not expected to be settled within the next 12 months, and, therefore, it has been classified as a long-term receivable in Note 8 with the short-term portion being included in sales tax receivable in Note 5. The Company has discounted this VAT receivable to its present value, which is classified within Net financial income during the three months ended March 31, 2023. Historically, ARS has devalued significantly when compared to USD due to high levels of inflation in Argentina, which may result in the Company recording future foreign exchange losses on its Argentina VAT receivable.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GEOGRAPHICAL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reporting segments are identified on the basis of information that is reviewed by the chief operating decision maker (“CODM”) to make decisions about resources to be allocated and assess its performance. Accordingly, for management purposes, the Company is organized into operating segments based on the products and services of its business units and has one material reportable segment, cryptocurrency mining, which is the operation of server farms that support the validation and verification of transactions on the BTC blockchain, earning cryptocurrency for providing these services, as described in Note 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by country are as follow:</w:t>
      </w:r>
    </w:p>
    <w:p>
      <w:pPr>
        <w:spacing w:after="0" w:line="207" w:lineRule="exact"/>
        <w:rPr>
          <w:sz w:val="20"/>
          <w:szCs w:val="20"/>
          <w:color w:val="auto"/>
        </w:rPr>
      </w:pPr>
    </w:p>
    <w:p>
      <w:pPr>
        <w:ind w:left="8680"/>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8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6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Canada</w:t>
            </w:r>
          </w:p>
        </w:tc>
        <w:tc>
          <w:tcPr>
            <w:tcW w:w="32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23,489</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29,926</w:t>
            </w:r>
          </w:p>
        </w:tc>
      </w:tr>
      <w:tr>
        <w:trPr>
          <w:trHeight w:val="216"/>
        </w:trPr>
        <w:tc>
          <w:tcPr>
            <w:tcW w:w="6880" w:type="dxa"/>
            <w:vAlign w:val="bottom"/>
          </w:tcPr>
          <w:p>
            <w:pPr>
              <w:ind w:left="60"/>
              <w:spacing w:after="0"/>
              <w:rPr>
                <w:sz w:val="20"/>
                <w:szCs w:val="20"/>
                <w:color w:val="auto"/>
              </w:rPr>
            </w:pPr>
            <w:r>
              <w:rPr>
                <w:rFonts w:ascii="Arial" w:cs="Arial" w:eastAsia="Arial" w:hAnsi="Arial"/>
                <w:sz w:val="18"/>
                <w:szCs w:val="18"/>
                <w:color w:val="auto"/>
              </w:rPr>
              <w:t>USA</w:t>
            </w:r>
          </w:p>
        </w:tc>
        <w:tc>
          <w:tcPr>
            <w:tcW w:w="3280" w:type="dxa"/>
            <w:vAlign w:val="bottom"/>
          </w:tcPr>
          <w:p>
            <w:pPr>
              <w:jc w:val="right"/>
              <w:ind w:right="290"/>
              <w:spacing w:after="0"/>
              <w:rPr>
                <w:sz w:val="20"/>
                <w:szCs w:val="20"/>
                <w:color w:val="auto"/>
              </w:rPr>
            </w:pPr>
            <w:r>
              <w:rPr>
                <w:rFonts w:ascii="Arial" w:cs="Arial" w:eastAsia="Arial" w:hAnsi="Arial"/>
                <w:sz w:val="18"/>
                <w:szCs w:val="18"/>
                <w:b w:val="1"/>
                <w:bCs w:val="1"/>
                <w:color w:val="auto"/>
              </w:rPr>
              <w:t>3,891</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9,805</w:t>
            </w:r>
          </w:p>
        </w:tc>
      </w:tr>
      <w:tr>
        <w:trPr>
          <w:trHeight w:val="216"/>
        </w:trPr>
        <w:tc>
          <w:tcPr>
            <w:tcW w:w="6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Argentina</w:t>
            </w:r>
          </w:p>
        </w:tc>
        <w:tc>
          <w:tcPr>
            <w:tcW w:w="32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1,296</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Paraguay</w:t>
            </w:r>
          </w:p>
        </w:tc>
        <w:tc>
          <w:tcPr>
            <w:tcW w:w="3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1,374</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598</w:t>
            </w:r>
          </w:p>
        </w:tc>
      </w:tr>
      <w:tr>
        <w:trPr>
          <w:trHeight w:val="216"/>
        </w:trPr>
        <w:tc>
          <w:tcPr>
            <w:tcW w:w="6880" w:type="dxa"/>
            <w:vAlign w:val="bottom"/>
            <w:tcBorders>
              <w:bottom w:val="single" w:sz="8" w:color="auto"/>
            </w:tcBorders>
            <w:shd w:val="clear" w:color="auto" w:fill="CCEEFF"/>
          </w:tcPr>
          <w:p>
            <w:pPr>
              <w:spacing w:after="0"/>
              <w:rPr>
                <w:sz w:val="18"/>
                <w:szCs w:val="18"/>
                <w:color w:val="auto"/>
              </w:rPr>
            </w:pPr>
          </w:p>
        </w:tc>
        <w:tc>
          <w:tcPr>
            <w:tcW w:w="3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30,050</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40,329</w:t>
            </w:r>
          </w:p>
        </w:tc>
      </w:tr>
      <w:tr>
        <w:trPr>
          <w:trHeight w:val="418"/>
        </w:trPr>
        <w:tc>
          <w:tcPr>
            <w:tcW w:w="688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The net book value of property, plant and equipment by country is as follow:</w:t>
            </w:r>
          </w:p>
        </w:tc>
        <w:tc>
          <w:tcPr>
            <w:tcW w:w="3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68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 xml:space="preserve">As of March 31,  </w:t>
            </w:r>
            <w:r>
              <w:rPr>
                <w:rFonts w:ascii="Arial" w:cs="Arial" w:eastAsia="Arial" w:hAnsi="Arial"/>
                <w:sz w:val="18"/>
                <w:szCs w:val="18"/>
                <w:color w:val="auto"/>
              </w:rPr>
              <w:t>As of December 31,</w:t>
            </w:r>
          </w:p>
        </w:tc>
      </w:tr>
      <w:tr>
        <w:trPr>
          <w:trHeight w:val="209"/>
        </w:trPr>
        <w:tc>
          <w:tcPr>
            <w:tcW w:w="68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10"/>
        </w:trPr>
        <w:tc>
          <w:tcPr>
            <w:tcW w:w="6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Canada</w:t>
            </w:r>
          </w:p>
        </w:tc>
        <w:tc>
          <w:tcPr>
            <w:tcW w:w="328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129,405</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142,654</w:t>
            </w:r>
          </w:p>
        </w:tc>
      </w:tr>
      <w:tr>
        <w:trPr>
          <w:trHeight w:val="216"/>
        </w:trPr>
        <w:tc>
          <w:tcPr>
            <w:tcW w:w="6880" w:type="dxa"/>
            <w:vAlign w:val="bottom"/>
          </w:tcPr>
          <w:p>
            <w:pPr>
              <w:ind w:left="60"/>
              <w:spacing w:after="0"/>
              <w:rPr>
                <w:sz w:val="20"/>
                <w:szCs w:val="20"/>
                <w:color w:val="auto"/>
              </w:rPr>
            </w:pPr>
            <w:r>
              <w:rPr>
                <w:rFonts w:ascii="Arial" w:cs="Arial" w:eastAsia="Arial" w:hAnsi="Arial"/>
                <w:sz w:val="18"/>
                <w:szCs w:val="18"/>
                <w:color w:val="auto"/>
              </w:rPr>
              <w:t>USA</w:t>
            </w:r>
          </w:p>
        </w:tc>
        <w:tc>
          <w:tcPr>
            <w:tcW w:w="3280" w:type="dxa"/>
            <w:vAlign w:val="bottom"/>
          </w:tcPr>
          <w:p>
            <w:pPr>
              <w:jc w:val="right"/>
              <w:ind w:right="610"/>
              <w:spacing w:after="0"/>
              <w:rPr>
                <w:sz w:val="20"/>
                <w:szCs w:val="20"/>
                <w:color w:val="auto"/>
              </w:rPr>
            </w:pPr>
            <w:r>
              <w:rPr>
                <w:rFonts w:ascii="Arial" w:cs="Arial" w:eastAsia="Arial" w:hAnsi="Arial"/>
                <w:sz w:val="18"/>
                <w:szCs w:val="18"/>
                <w:b w:val="1"/>
                <w:bCs w:val="1"/>
                <w:color w:val="auto"/>
              </w:rPr>
              <w:t>29,605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32,664</w:t>
            </w:r>
          </w:p>
        </w:tc>
      </w:tr>
      <w:tr>
        <w:trPr>
          <w:trHeight w:val="216"/>
        </w:trPr>
        <w:tc>
          <w:tcPr>
            <w:tcW w:w="6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Argentina</w:t>
            </w:r>
          </w:p>
        </w:tc>
        <w:tc>
          <w:tcPr>
            <w:tcW w:w="328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39,375</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31,927</w:t>
            </w:r>
          </w:p>
        </w:tc>
      </w:tr>
      <w:tr>
        <w:trPr>
          <w:trHeight w:val="216"/>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Paraguay</w:t>
            </w:r>
          </w:p>
        </w:tc>
        <w:tc>
          <w:tcPr>
            <w:tcW w:w="3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12,605</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12,183</w:t>
            </w:r>
          </w:p>
        </w:tc>
      </w:tr>
      <w:tr>
        <w:trPr>
          <w:trHeight w:val="217"/>
        </w:trPr>
        <w:tc>
          <w:tcPr>
            <w:tcW w:w="6880" w:type="dxa"/>
            <w:vAlign w:val="bottom"/>
            <w:tcBorders>
              <w:bottom w:val="single" w:sz="8" w:color="auto"/>
            </w:tcBorders>
            <w:shd w:val="clear" w:color="auto" w:fill="CCEEFF"/>
          </w:tcPr>
          <w:p>
            <w:pPr>
              <w:spacing w:after="0"/>
              <w:rPr>
                <w:sz w:val="18"/>
                <w:szCs w:val="18"/>
                <w:color w:val="auto"/>
              </w:rPr>
            </w:pPr>
          </w:p>
        </w:tc>
        <w:tc>
          <w:tcPr>
            <w:tcW w:w="328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210,990</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219,428</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ADDITIONAL DETAILS TO THE STATEMENTS OF CASH FLOWS</w:t>
      </w:r>
    </w:p>
    <w:p>
      <w:pPr>
        <w:spacing w:after="0" w:line="225" w:lineRule="exact"/>
        <w:rPr>
          <w:sz w:val="20"/>
          <w:szCs w:val="20"/>
          <w:color w:val="auto"/>
        </w:rPr>
      </w:pPr>
    </w:p>
    <w:p>
      <w:pPr>
        <w:ind w:left="8680"/>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r>
      <w:tr>
        <w:trPr>
          <w:trHeight w:val="209"/>
        </w:trPr>
        <w:tc>
          <w:tcPr>
            <w:tcW w:w="7880" w:type="dxa"/>
            <w:vAlign w:val="bottom"/>
          </w:tcPr>
          <w:p>
            <w:pPr>
              <w:ind w:left="60"/>
              <w:spacing w:after="0"/>
              <w:rPr>
                <w:sz w:val="20"/>
                <w:szCs w:val="20"/>
                <w:color w:val="auto"/>
              </w:rPr>
            </w:pPr>
            <w:r>
              <w:rPr>
                <w:rFonts w:ascii="Arial" w:cs="Arial" w:eastAsia="Arial" w:hAnsi="Arial"/>
                <w:sz w:val="18"/>
                <w:szCs w:val="18"/>
                <w:b w:val="1"/>
                <w:bCs w:val="1"/>
                <w:color w:val="auto"/>
              </w:rPr>
              <w:t>Changes in working capital components:</w:t>
            </w:r>
          </w:p>
        </w:tc>
        <w:tc>
          <w:tcPr>
            <w:tcW w:w="2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Decrease in trade receivables, net</w:t>
            </w:r>
          </w:p>
        </w:tc>
        <w:tc>
          <w:tcPr>
            <w:tcW w:w="23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327</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r>
      <w:tr>
        <w:trPr>
          <w:trHeight w:val="216"/>
        </w:trPr>
        <w:tc>
          <w:tcPr>
            <w:tcW w:w="7880" w:type="dxa"/>
            <w:vAlign w:val="bottom"/>
          </w:tcPr>
          <w:p>
            <w:pPr>
              <w:ind w:left="60"/>
              <w:spacing w:after="0"/>
              <w:rPr>
                <w:sz w:val="20"/>
                <w:szCs w:val="20"/>
                <w:color w:val="auto"/>
              </w:rPr>
            </w:pPr>
            <w:r>
              <w:rPr>
                <w:rFonts w:ascii="Arial" w:cs="Arial" w:eastAsia="Arial" w:hAnsi="Arial"/>
                <w:sz w:val="18"/>
                <w:szCs w:val="18"/>
                <w:color w:val="auto"/>
              </w:rPr>
              <w:t>Decrease (increase) in other current assets</w:t>
            </w:r>
          </w:p>
        </w:tc>
        <w:tc>
          <w:tcPr>
            <w:tcW w:w="2360" w:type="dxa"/>
            <w:vAlign w:val="bottom"/>
          </w:tcPr>
          <w:p>
            <w:pPr>
              <w:jc w:val="right"/>
              <w:ind w:right="310"/>
              <w:spacing w:after="0"/>
              <w:rPr>
                <w:sz w:val="20"/>
                <w:szCs w:val="20"/>
                <w:color w:val="auto"/>
              </w:rPr>
            </w:pPr>
            <w:r>
              <w:rPr>
                <w:rFonts w:ascii="Arial" w:cs="Arial" w:eastAsia="Arial" w:hAnsi="Arial"/>
                <w:sz w:val="18"/>
                <w:szCs w:val="18"/>
                <w:b w:val="1"/>
                <w:bCs w:val="1"/>
                <w:color w:val="auto"/>
              </w:rPr>
              <w:t>(1,161)</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629</w:t>
            </w:r>
          </w:p>
        </w:tc>
      </w:tr>
      <w:tr>
        <w:trPr>
          <w:trHeight w:val="216"/>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Increase in long-term deposits</w:t>
            </w:r>
          </w:p>
        </w:tc>
        <w:tc>
          <w:tcPr>
            <w:tcW w:w="23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(1,821)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r>
      <w:tr>
        <w:trPr>
          <w:trHeight w:val="216"/>
        </w:trPr>
        <w:tc>
          <w:tcPr>
            <w:tcW w:w="7880" w:type="dxa"/>
            <w:vAlign w:val="bottom"/>
          </w:tcPr>
          <w:p>
            <w:pPr>
              <w:ind w:left="60"/>
              <w:spacing w:after="0"/>
              <w:rPr>
                <w:sz w:val="20"/>
                <w:szCs w:val="20"/>
                <w:color w:val="auto"/>
              </w:rPr>
            </w:pPr>
            <w:r>
              <w:rPr>
                <w:rFonts w:ascii="Arial" w:cs="Arial" w:eastAsia="Arial" w:hAnsi="Arial"/>
                <w:sz w:val="18"/>
                <w:szCs w:val="18"/>
                <w:color w:val="auto"/>
              </w:rPr>
              <w:t>Increase (decrease) in trade payables and accrued liabilities</w:t>
            </w:r>
          </w:p>
        </w:tc>
        <w:tc>
          <w:tcPr>
            <w:tcW w:w="2360" w:type="dxa"/>
            <w:vAlign w:val="bottom"/>
          </w:tcPr>
          <w:p>
            <w:pPr>
              <w:jc w:val="right"/>
              <w:ind w:right="370"/>
              <w:spacing w:after="0"/>
              <w:rPr>
                <w:sz w:val="20"/>
                <w:szCs w:val="20"/>
                <w:color w:val="auto"/>
              </w:rPr>
            </w:pPr>
            <w:r>
              <w:rPr>
                <w:rFonts w:ascii="Arial" w:cs="Arial" w:eastAsia="Arial" w:hAnsi="Arial"/>
                <w:sz w:val="18"/>
                <w:szCs w:val="18"/>
                <w:b w:val="1"/>
                <w:bCs w:val="1"/>
                <w:color w:val="auto"/>
              </w:rPr>
              <w:t>97</w:t>
            </w:r>
          </w:p>
        </w:tc>
        <w:tc>
          <w:tcPr>
            <w:tcW w:w="1000" w:type="dxa"/>
            <w:vAlign w:val="bottom"/>
          </w:tcPr>
          <w:p>
            <w:pPr>
              <w:jc w:val="right"/>
              <w:spacing w:after="0"/>
              <w:rPr>
                <w:sz w:val="20"/>
                <w:szCs w:val="20"/>
                <w:color w:val="auto"/>
              </w:rPr>
            </w:pPr>
            <w:r>
              <w:rPr>
                <w:rFonts w:ascii="Arial" w:cs="Arial" w:eastAsia="Arial" w:hAnsi="Arial"/>
                <w:sz w:val="18"/>
                <w:szCs w:val="18"/>
                <w:color w:val="auto"/>
              </w:rPr>
              <w:t>(4,262)</w:t>
            </w:r>
          </w:p>
        </w:tc>
      </w:tr>
      <w:tr>
        <w:trPr>
          <w:trHeight w:val="216"/>
        </w:trPr>
        <w:tc>
          <w:tcPr>
            <w:tcW w:w="78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Decrease in taxes payable</w:t>
            </w:r>
          </w:p>
        </w:tc>
        <w:tc>
          <w:tcPr>
            <w:tcW w:w="23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(112)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09"/>
        </w:trPr>
        <w:tc>
          <w:tcPr>
            <w:tcW w:w="78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(2,670)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w:t>
            </w:r>
          </w:p>
        </w:tc>
      </w:tr>
      <w:tr>
        <w:trPr>
          <w:trHeight w:val="210"/>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Significant non-cash transactions:</w:t>
            </w:r>
          </w:p>
        </w:tc>
        <w:tc>
          <w:tcPr>
            <w:tcW w:w="2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880" w:type="dxa"/>
            <w:vAlign w:val="bottom"/>
          </w:tcPr>
          <w:p>
            <w:pPr>
              <w:ind w:left="60"/>
              <w:spacing w:after="0"/>
              <w:rPr>
                <w:sz w:val="20"/>
                <w:szCs w:val="20"/>
                <w:color w:val="auto"/>
              </w:rPr>
            </w:pPr>
            <w:r>
              <w:rPr>
                <w:rFonts w:ascii="Arial" w:cs="Arial" w:eastAsia="Arial" w:hAnsi="Arial"/>
                <w:sz w:val="18"/>
                <w:szCs w:val="18"/>
                <w:color w:val="auto"/>
              </w:rPr>
              <w:t>Addition of right-of-use assets, property, plant and equipment and related lease liabilities</w:t>
            </w:r>
          </w:p>
        </w:tc>
        <w:tc>
          <w:tcPr>
            <w:tcW w:w="2360" w:type="dxa"/>
            <w:vAlign w:val="bottom"/>
          </w:tcPr>
          <w:p>
            <w:pPr>
              <w:jc w:val="right"/>
              <w:ind w:right="370"/>
              <w:spacing w:after="0"/>
              <w:rPr>
                <w:sz w:val="20"/>
                <w:szCs w:val="20"/>
                <w:color w:val="auto"/>
              </w:rPr>
            </w:pPr>
            <w:r>
              <w:rPr>
                <w:rFonts w:ascii="Arial" w:cs="Arial" w:eastAsia="Arial" w:hAnsi="Arial"/>
                <w:sz w:val="18"/>
                <w:szCs w:val="18"/>
                <w:b w:val="1"/>
                <w:bCs w:val="1"/>
                <w:color w:val="auto"/>
              </w:rPr>
              <w:t>215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1,838</w:t>
            </w:r>
          </w:p>
        </w:tc>
      </w:tr>
      <w:tr>
        <w:trPr>
          <w:trHeight w:val="216"/>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Purchase of property, plant and equipment financed by short-term credit</w:t>
            </w:r>
          </w:p>
        </w:tc>
        <w:tc>
          <w:tcPr>
            <w:tcW w:w="23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1,416</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3,262</w:t>
            </w:r>
          </w:p>
        </w:tc>
      </w:tr>
      <w:tr>
        <w:trPr>
          <w:trHeight w:val="216"/>
        </w:trPr>
        <w:tc>
          <w:tcPr>
            <w:tcW w:w="7880" w:type="dxa"/>
            <w:vAlign w:val="bottom"/>
          </w:tcPr>
          <w:p>
            <w:pPr>
              <w:ind w:left="60"/>
              <w:spacing w:after="0"/>
              <w:rPr>
                <w:sz w:val="20"/>
                <w:szCs w:val="20"/>
                <w:color w:val="auto"/>
              </w:rPr>
            </w:pPr>
            <w:r>
              <w:rPr>
                <w:rFonts w:ascii="Arial" w:cs="Arial" w:eastAsia="Arial" w:hAnsi="Arial"/>
                <w:sz w:val="18"/>
                <w:szCs w:val="18"/>
                <w:color w:val="auto"/>
              </w:rPr>
              <w:t>Equipment prepayments realized as additions to property, plant and equipment</w:t>
            </w:r>
          </w:p>
        </w:tc>
        <w:tc>
          <w:tcPr>
            <w:tcW w:w="2360" w:type="dxa"/>
            <w:vAlign w:val="bottom"/>
          </w:tcPr>
          <w:p>
            <w:pPr>
              <w:jc w:val="right"/>
              <w:ind w:right="370"/>
              <w:spacing w:after="0"/>
              <w:rPr>
                <w:sz w:val="20"/>
                <w:szCs w:val="20"/>
                <w:color w:val="auto"/>
              </w:rPr>
            </w:pPr>
            <w:r>
              <w:rPr>
                <w:rFonts w:ascii="Arial" w:cs="Arial" w:eastAsia="Arial" w:hAnsi="Arial"/>
                <w:sz w:val="18"/>
                <w:szCs w:val="18"/>
                <w:b w:val="1"/>
                <w:bCs w:val="1"/>
                <w:color w:val="auto"/>
              </w:rPr>
              <w:t>4,714</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33,972</w:t>
            </w:r>
          </w:p>
        </w:tc>
      </w:tr>
      <w:tr>
        <w:trPr>
          <w:trHeight w:val="223"/>
        </w:trPr>
        <w:tc>
          <w:tcPr>
            <w:tcW w:w="78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Deferred tax expense related to equity issuance costs</w:t>
            </w:r>
          </w:p>
        </w:tc>
        <w:tc>
          <w:tcPr>
            <w:tcW w:w="23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Equity Offering Program</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period from April 1, 2023, to May 12, 2023, the Company issued 4,441,000 common shares through its at-the-market equity offering program in exchange for gross proceeds of $5,067 at an average share price of approximately $1.14. The Company received net proceeds of $4,898 after paying commissions of $168 to the Company’s agent. Refer to Note 14 for further details of the Company’s at-the-market equity offering program.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Baie-Comeau (Quebec) Acquisition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10, 2023, the Company entered into agreements to acquire shares of a Company that owns the right to 22 MW of hydro-power capacity in Baie-Comeau, Quebec and lease a site to install the infrastructure to operate the acquired capacity. The consideration to be transferred at closing would total $1,800, of which $720 is expected to be paid in cash and $1,080 is expected to be paid in common shares of the Company, the latter subject to regulatory approval and customary and contractual resale restrictions. The lease agreement is for an industrialized site in Baie-Comeau for an initial term of 10 years at $15 a month. The proposed lease agreement also provides the Company with the option to purchase the site for $2,250 (CAD$3,000) throughout the lease term.</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w:t>
      </w:r>
      <w:r>
        <w:rPr>
          <w:rFonts w:ascii="Arial" w:cs="Arial" w:eastAsia="Arial" w:hAnsi="Arial"/>
          <w:sz w:val="18"/>
          <w:szCs w:val="18"/>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920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168910</wp:posOffset>
            </wp:positionV>
            <wp:extent cx="2040255" cy="531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402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Managemant’s Discussion &amp; Analysis</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720"/>
        <w:spacing w:after="0"/>
        <w:rPr>
          <w:sz w:val="20"/>
          <w:szCs w:val="20"/>
          <w:color w:val="auto"/>
        </w:rPr>
      </w:pPr>
      <w:r>
        <w:rPr>
          <w:rFonts w:ascii="Arial" w:cs="Arial" w:eastAsia="Arial" w:hAnsi="Arial"/>
          <w:sz w:val="25"/>
          <w:szCs w:val="25"/>
          <w:color w:val="auto"/>
        </w:rPr>
        <w:t>Q1</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25"/>
          <w:szCs w:val="25"/>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568325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80" w:type="dxa"/>
            <w:vAlign w:val="bottom"/>
            <w:gridSpan w:val="25"/>
          </w:tcPr>
          <w:p>
            <w:pPr>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988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Introduction</w:t>
            </w:r>
          </w:p>
        </w:tc>
        <w:tc>
          <w:tcPr>
            <w:tcW w:w="560" w:type="dxa"/>
            <w:vAlign w:val="bottom"/>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Arial" w:cs="Arial" w:eastAsia="Arial" w:hAnsi="Arial"/>
                <w:sz w:val="18"/>
                <w:szCs w:val="18"/>
                <w:color w:val="auto"/>
              </w:rPr>
              <w:t>2.</w:t>
            </w:r>
          </w:p>
        </w:tc>
        <w:tc>
          <w:tcPr>
            <w:tcW w:w="9880" w:type="dxa"/>
            <w:vAlign w:val="bottom"/>
            <w:gridSpan w:val="24"/>
          </w:tcPr>
          <w:p>
            <w:pPr>
              <w:spacing w:after="0" w:line="176" w:lineRule="exact"/>
              <w:rPr>
                <w:sz w:val="20"/>
                <w:szCs w:val="20"/>
                <w:color w:val="auto"/>
              </w:rPr>
            </w:pPr>
            <w:r>
              <w:rPr>
                <w:rFonts w:ascii="Arial" w:cs="Arial" w:eastAsia="Arial" w:hAnsi="Arial"/>
                <w:sz w:val="18"/>
                <w:szCs w:val="18"/>
                <w:color w:val="0000EE"/>
              </w:rPr>
              <w:t>Company Overview</w:t>
            </w:r>
          </w:p>
        </w:tc>
        <w:tc>
          <w:tcPr>
            <w:tcW w:w="560" w:type="dxa"/>
            <w:vAlign w:val="bottom"/>
            <w:gridSpan w:val="2"/>
          </w:tcPr>
          <w:p>
            <w:pPr>
              <w:jc w:val="center"/>
              <w:ind w:right="250"/>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w:t>
            </w:r>
          </w:p>
        </w:tc>
        <w:tc>
          <w:tcPr>
            <w:tcW w:w="988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Financial Highlights</w:t>
            </w:r>
          </w:p>
        </w:tc>
        <w:tc>
          <w:tcPr>
            <w:tcW w:w="560" w:type="dxa"/>
            <w:vAlign w:val="bottom"/>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Arial" w:cs="Arial" w:eastAsia="Arial" w:hAnsi="Arial"/>
                <w:sz w:val="18"/>
                <w:szCs w:val="18"/>
                <w:color w:val="auto"/>
              </w:rPr>
              <w:t>4.</w:t>
            </w:r>
          </w:p>
        </w:tc>
        <w:tc>
          <w:tcPr>
            <w:tcW w:w="9880" w:type="dxa"/>
            <w:vAlign w:val="bottom"/>
            <w:gridSpan w:val="24"/>
          </w:tcPr>
          <w:p>
            <w:pPr>
              <w:spacing w:after="0" w:line="176" w:lineRule="exact"/>
              <w:rPr>
                <w:sz w:val="20"/>
                <w:szCs w:val="20"/>
                <w:color w:val="auto"/>
              </w:rPr>
            </w:pPr>
            <w:r>
              <w:rPr>
                <w:rFonts w:ascii="Arial" w:cs="Arial" w:eastAsia="Arial" w:hAnsi="Arial"/>
                <w:sz w:val="18"/>
                <w:szCs w:val="18"/>
                <w:color w:val="0000EE"/>
              </w:rPr>
              <w:t>First Quarter 2023 Financial Results and Operational Highlights</w:t>
            </w:r>
          </w:p>
        </w:tc>
        <w:tc>
          <w:tcPr>
            <w:tcW w:w="560" w:type="dxa"/>
            <w:vAlign w:val="bottom"/>
            <w:gridSpan w:val="2"/>
          </w:tcPr>
          <w:p>
            <w:pPr>
              <w:jc w:val="center"/>
              <w:ind w:right="250"/>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250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1"/>
              </w:rPr>
              <w:t>Production and Mining Operations</w:t>
            </w:r>
          </w:p>
        </w:tc>
        <w:tc>
          <w:tcPr>
            <w:tcW w:w="7380" w:type="dxa"/>
            <w:vAlign w:val="bottom"/>
            <w:tcBorders>
              <w:bottom w:val="single" w:sz="8" w:color="CCEEFF"/>
            </w:tcBorders>
            <w:gridSpan w:val="7"/>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Arial" w:cs="Arial" w:eastAsia="Arial" w:hAnsi="Arial"/>
                <w:sz w:val="18"/>
                <w:szCs w:val="18"/>
                <w:color w:val="auto"/>
              </w:rPr>
              <w:t>6.</w:t>
            </w:r>
          </w:p>
        </w:tc>
        <w:tc>
          <w:tcPr>
            <w:tcW w:w="9880" w:type="dxa"/>
            <w:vAlign w:val="bottom"/>
            <w:gridSpan w:val="24"/>
          </w:tcPr>
          <w:p>
            <w:pPr>
              <w:spacing w:after="0" w:line="176" w:lineRule="exact"/>
              <w:rPr>
                <w:sz w:val="20"/>
                <w:szCs w:val="20"/>
                <w:color w:val="auto"/>
              </w:rPr>
            </w:pPr>
            <w:r>
              <w:rPr>
                <w:rFonts w:ascii="Arial" w:cs="Arial" w:eastAsia="Arial" w:hAnsi="Arial"/>
                <w:sz w:val="18"/>
                <w:szCs w:val="18"/>
                <w:color w:val="0000EE"/>
              </w:rPr>
              <w:t>Expansion Projects</w:t>
            </w:r>
          </w:p>
        </w:tc>
        <w:tc>
          <w:tcPr>
            <w:tcW w:w="560" w:type="dxa"/>
            <w:vAlign w:val="bottom"/>
            <w:gridSpan w:val="2"/>
          </w:tcPr>
          <w:p>
            <w:pPr>
              <w:jc w:val="center"/>
              <w:ind w:right="250"/>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988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Financial Performance</w:t>
            </w:r>
          </w:p>
        </w:tc>
        <w:tc>
          <w:tcPr>
            <w:tcW w:w="560" w:type="dxa"/>
            <w:vAlign w:val="bottom"/>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Arial" w:cs="Arial" w:eastAsia="Arial" w:hAnsi="Arial"/>
                <w:sz w:val="18"/>
                <w:szCs w:val="18"/>
                <w:color w:val="auto"/>
              </w:rPr>
              <w:t>8.</w:t>
            </w:r>
          </w:p>
        </w:tc>
        <w:tc>
          <w:tcPr>
            <w:tcW w:w="9880" w:type="dxa"/>
            <w:vAlign w:val="bottom"/>
            <w:gridSpan w:val="24"/>
          </w:tcPr>
          <w:p>
            <w:pPr>
              <w:spacing w:after="0" w:line="176" w:lineRule="exact"/>
              <w:rPr>
                <w:sz w:val="20"/>
                <w:szCs w:val="20"/>
                <w:color w:val="auto"/>
              </w:rPr>
            </w:pPr>
            <w:r>
              <w:rPr>
                <w:rFonts w:ascii="Arial" w:cs="Arial" w:eastAsia="Arial" w:hAnsi="Arial"/>
                <w:sz w:val="18"/>
                <w:szCs w:val="18"/>
                <w:color w:val="0000EE"/>
              </w:rPr>
              <w:t>Selected Quarterly Information</w:t>
            </w:r>
          </w:p>
        </w:tc>
        <w:tc>
          <w:tcPr>
            <w:tcW w:w="560" w:type="dxa"/>
            <w:vAlign w:val="bottom"/>
            <w:gridSpan w:val="2"/>
          </w:tcPr>
          <w:p>
            <w:pPr>
              <w:jc w:val="center"/>
              <w:ind w:right="25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w:t>
            </w:r>
          </w:p>
        </w:tc>
        <w:tc>
          <w:tcPr>
            <w:tcW w:w="988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Non-IFRS Financial Measures and Ratios</w:t>
            </w:r>
          </w:p>
        </w:tc>
        <w:tc>
          <w:tcPr>
            <w:tcW w:w="560" w:type="dxa"/>
            <w:vAlign w:val="bottom"/>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5"/>
        </w:trPr>
        <w:tc>
          <w:tcPr>
            <w:tcW w:w="8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w:t>
            </w:r>
          </w:p>
        </w:tc>
        <w:tc>
          <w:tcPr>
            <w:tcW w:w="300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color w:val="0000EE"/>
              </w:rPr>
              <w:t>Liquidity and Capital Resources</w:t>
            </w:r>
          </w:p>
        </w:tc>
        <w:tc>
          <w:tcPr>
            <w:tcW w:w="6880" w:type="dxa"/>
            <w:vAlign w:val="bottom"/>
            <w:tcBorders>
              <w:top w:val="single" w:sz="8" w:color="CCEEFF"/>
            </w:tcBorders>
            <w:gridSpan w:val="6"/>
          </w:tcPr>
          <w:p>
            <w:pPr>
              <w:spacing w:after="0"/>
              <w:rPr>
                <w:sz w:val="15"/>
                <w:szCs w:val="15"/>
                <w:color w:val="auto"/>
              </w:rPr>
            </w:pPr>
          </w:p>
        </w:tc>
        <w:tc>
          <w:tcPr>
            <w:tcW w:w="560" w:type="dxa"/>
            <w:vAlign w:val="bottom"/>
            <w:tcBorders>
              <w:top w:val="single" w:sz="8" w:color="CCEEFF"/>
            </w:tcBorders>
            <w:gridSpan w:val="2"/>
          </w:tcPr>
          <w:p>
            <w:pPr>
              <w:jc w:val="center"/>
              <w:ind w:right="25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30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0"/>
              </w:rPr>
              <w:t>Financial Position</w:t>
            </w:r>
          </w:p>
        </w:tc>
        <w:tc>
          <w:tcPr>
            <w:tcW w:w="8580" w:type="dxa"/>
            <w:vAlign w:val="bottom"/>
            <w:tcBorders>
              <w:bottom w:val="single" w:sz="8" w:color="CCEEFF"/>
            </w:tcBorders>
            <w:gridSpan w:val="20"/>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Arial" w:cs="Arial" w:eastAsia="Arial" w:hAnsi="Arial"/>
                <w:sz w:val="18"/>
                <w:szCs w:val="18"/>
                <w:color w:val="auto"/>
              </w:rPr>
              <w:t>12.</w:t>
            </w:r>
          </w:p>
        </w:tc>
        <w:tc>
          <w:tcPr>
            <w:tcW w:w="9880" w:type="dxa"/>
            <w:vAlign w:val="bottom"/>
            <w:gridSpan w:val="24"/>
          </w:tcPr>
          <w:p>
            <w:pPr>
              <w:spacing w:after="0" w:line="176" w:lineRule="exact"/>
              <w:rPr>
                <w:sz w:val="20"/>
                <w:szCs w:val="20"/>
                <w:color w:val="auto"/>
              </w:rPr>
            </w:pPr>
            <w:r>
              <w:rPr>
                <w:rFonts w:ascii="Arial" w:cs="Arial" w:eastAsia="Arial" w:hAnsi="Arial"/>
                <w:sz w:val="18"/>
                <w:szCs w:val="18"/>
                <w:color w:val="0000EE"/>
              </w:rPr>
              <w:t>Financial Instruments</w:t>
            </w:r>
          </w:p>
        </w:tc>
        <w:tc>
          <w:tcPr>
            <w:tcW w:w="560" w:type="dxa"/>
            <w:vAlign w:val="bottom"/>
            <w:gridSpan w:val="2"/>
          </w:tcPr>
          <w:p>
            <w:pPr>
              <w:jc w:val="center"/>
              <w:ind w:right="250"/>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13.</w:t>
            </w:r>
          </w:p>
        </w:tc>
        <w:tc>
          <w:tcPr>
            <w:tcW w:w="988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Related Party Transactions</w:t>
            </w:r>
          </w:p>
        </w:tc>
        <w:tc>
          <w:tcPr>
            <w:tcW w:w="560" w:type="dxa"/>
            <w:vAlign w:val="bottom"/>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Arial" w:cs="Arial" w:eastAsia="Arial" w:hAnsi="Arial"/>
                <w:sz w:val="18"/>
                <w:szCs w:val="18"/>
                <w:color w:val="auto"/>
              </w:rPr>
              <w:t>14.</w:t>
            </w:r>
          </w:p>
        </w:tc>
        <w:tc>
          <w:tcPr>
            <w:tcW w:w="9880" w:type="dxa"/>
            <w:vAlign w:val="bottom"/>
            <w:gridSpan w:val="24"/>
          </w:tcPr>
          <w:p>
            <w:pPr>
              <w:spacing w:after="0" w:line="176" w:lineRule="exact"/>
              <w:rPr>
                <w:sz w:val="20"/>
                <w:szCs w:val="20"/>
                <w:color w:val="auto"/>
              </w:rPr>
            </w:pPr>
            <w:r>
              <w:rPr>
                <w:rFonts w:ascii="Arial" w:cs="Arial" w:eastAsia="Arial" w:hAnsi="Arial"/>
                <w:sz w:val="18"/>
                <w:szCs w:val="18"/>
                <w:color w:val="0000EE"/>
              </w:rPr>
              <w:t>Internal Controls Over Financial Reporting</w:t>
            </w:r>
          </w:p>
        </w:tc>
        <w:tc>
          <w:tcPr>
            <w:tcW w:w="560" w:type="dxa"/>
            <w:vAlign w:val="bottom"/>
            <w:gridSpan w:val="2"/>
          </w:tcPr>
          <w:p>
            <w:pPr>
              <w:jc w:val="center"/>
              <w:ind w:right="250"/>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15.</w:t>
            </w:r>
          </w:p>
        </w:tc>
        <w:tc>
          <w:tcPr>
            <w:tcW w:w="988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Recent and Subsequent Events</w:t>
            </w:r>
          </w:p>
        </w:tc>
        <w:tc>
          <w:tcPr>
            <w:tcW w:w="560" w:type="dxa"/>
            <w:vAlign w:val="bottom"/>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75"/>
        </w:trPr>
        <w:tc>
          <w:tcPr>
            <w:tcW w:w="8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16.</w:t>
            </w:r>
          </w:p>
        </w:tc>
        <w:tc>
          <w:tcPr>
            <w:tcW w:w="2200" w:type="dxa"/>
            <w:vAlign w:val="bottom"/>
            <w:tcBorders>
              <w:top w:val="single" w:sz="8" w:color="0000EE"/>
            </w:tcBorders>
            <w:gridSpan w:val="13"/>
          </w:tcPr>
          <w:p>
            <w:pPr>
              <w:spacing w:after="0" w:line="176" w:lineRule="exact"/>
              <w:rPr>
                <w:sz w:val="20"/>
                <w:szCs w:val="20"/>
                <w:color w:val="auto"/>
              </w:rPr>
            </w:pPr>
            <w:r>
              <w:rPr>
                <w:rFonts w:ascii="Arial" w:cs="Arial" w:eastAsia="Arial" w:hAnsi="Arial"/>
                <w:sz w:val="18"/>
                <w:szCs w:val="18"/>
                <w:color w:val="0000EE"/>
              </w:rPr>
              <w:t>Share Capital</w:t>
            </w:r>
          </w:p>
        </w:tc>
        <w:tc>
          <w:tcPr>
            <w:tcW w:w="7680" w:type="dxa"/>
            <w:vAlign w:val="bottom"/>
            <w:tcBorders>
              <w:top w:val="single" w:sz="8" w:color="CCEEFF"/>
            </w:tcBorders>
            <w:gridSpan w:val="11"/>
          </w:tcPr>
          <w:p>
            <w:pPr>
              <w:spacing w:after="0"/>
              <w:rPr>
                <w:sz w:val="15"/>
                <w:szCs w:val="15"/>
                <w:color w:val="auto"/>
              </w:rPr>
            </w:pPr>
          </w:p>
        </w:tc>
        <w:tc>
          <w:tcPr>
            <w:tcW w:w="560" w:type="dxa"/>
            <w:vAlign w:val="bottom"/>
            <w:tcBorders>
              <w:top w:val="single" w:sz="8" w:color="CCEEFF"/>
            </w:tcBorders>
            <w:gridSpan w:val="2"/>
          </w:tcPr>
          <w:p>
            <w:pPr>
              <w:jc w:val="center"/>
              <w:ind w:right="250"/>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17.</w:t>
            </w:r>
          </w:p>
        </w:tc>
        <w:tc>
          <w:tcPr>
            <w:tcW w:w="90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87"/>
              </w:rPr>
              <w:t>Risk Factors</w:t>
            </w:r>
          </w:p>
        </w:tc>
        <w:tc>
          <w:tcPr>
            <w:tcW w:w="8980" w:type="dxa"/>
            <w:vAlign w:val="bottom"/>
            <w:tcBorders>
              <w:bottom w:val="single" w:sz="8" w:color="CCEEFF"/>
            </w:tcBorders>
            <w:gridSpan w:val="22"/>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Arial" w:cs="Arial" w:eastAsia="Arial" w:hAnsi="Arial"/>
                <w:sz w:val="18"/>
                <w:szCs w:val="18"/>
                <w:color w:val="auto"/>
              </w:rPr>
              <w:t>18.</w:t>
            </w:r>
          </w:p>
        </w:tc>
        <w:tc>
          <w:tcPr>
            <w:tcW w:w="9880" w:type="dxa"/>
            <w:vAlign w:val="bottom"/>
            <w:gridSpan w:val="24"/>
          </w:tcPr>
          <w:p>
            <w:pPr>
              <w:spacing w:after="0" w:line="176" w:lineRule="exact"/>
              <w:rPr>
                <w:sz w:val="20"/>
                <w:szCs w:val="20"/>
                <w:color w:val="auto"/>
              </w:rPr>
            </w:pPr>
            <w:r>
              <w:rPr>
                <w:rFonts w:ascii="Arial" w:cs="Arial" w:eastAsia="Arial" w:hAnsi="Arial"/>
                <w:sz w:val="18"/>
                <w:szCs w:val="18"/>
                <w:color w:val="0000EE"/>
              </w:rPr>
              <w:t>Significant Accounting Estimates</w:t>
            </w:r>
          </w:p>
        </w:tc>
        <w:tc>
          <w:tcPr>
            <w:tcW w:w="560" w:type="dxa"/>
            <w:vAlign w:val="bottom"/>
            <w:gridSpan w:val="2"/>
          </w:tcPr>
          <w:p>
            <w:pPr>
              <w:jc w:val="center"/>
              <w:ind w:right="250"/>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19.</w:t>
            </w:r>
          </w:p>
        </w:tc>
        <w:tc>
          <w:tcPr>
            <w:tcW w:w="446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2"/>
              </w:rPr>
              <w:t>Significant Accounting Policies and New Accounting Policies</w:t>
            </w:r>
          </w:p>
        </w:tc>
        <w:tc>
          <w:tcPr>
            <w:tcW w:w="5420" w:type="dxa"/>
            <w:vAlign w:val="bottom"/>
            <w:tcBorders>
              <w:bottom w:val="single" w:sz="8" w:color="CCEEFF"/>
            </w:tcBorders>
            <w:gridSpan w:val="3"/>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Arial" w:cs="Arial" w:eastAsia="Arial" w:hAnsi="Arial"/>
                <w:sz w:val="18"/>
                <w:szCs w:val="18"/>
                <w:color w:val="auto"/>
              </w:rPr>
              <w:t>20.</w:t>
            </w:r>
          </w:p>
        </w:tc>
        <w:tc>
          <w:tcPr>
            <w:tcW w:w="9880" w:type="dxa"/>
            <w:vAlign w:val="bottom"/>
            <w:gridSpan w:val="24"/>
          </w:tcPr>
          <w:p>
            <w:pPr>
              <w:spacing w:after="0" w:line="176" w:lineRule="exact"/>
              <w:rPr>
                <w:sz w:val="20"/>
                <w:szCs w:val="20"/>
                <w:color w:val="auto"/>
              </w:rPr>
            </w:pPr>
            <w:r>
              <w:rPr>
                <w:rFonts w:ascii="Arial" w:cs="Arial" w:eastAsia="Arial" w:hAnsi="Arial"/>
                <w:sz w:val="18"/>
                <w:szCs w:val="18"/>
                <w:color w:val="0000EE"/>
              </w:rPr>
              <w:t>Cautionary Note Regarding Forward-Looking Statements</w:t>
            </w:r>
          </w:p>
        </w:tc>
        <w:tc>
          <w:tcPr>
            <w:tcW w:w="560" w:type="dxa"/>
            <w:vAlign w:val="bottom"/>
            <w:gridSpan w:val="2"/>
          </w:tcPr>
          <w:p>
            <w:pPr>
              <w:jc w:val="center"/>
              <w:ind w:right="250"/>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5040" w:type="dxa"/>
            <w:vAlign w:val="bottom"/>
            <w:tcBorders>
              <w:bottom w:val="single" w:sz="8" w:color="0000EE"/>
            </w:tcBorders>
            <w:gridSpan w:val="23"/>
            <w:shd w:val="clear" w:color="auto" w:fill="CCEEFF"/>
          </w:tcPr>
          <w:p>
            <w:pPr>
              <w:spacing w:after="0" w:line="176" w:lineRule="exact"/>
              <w:rPr>
                <w:sz w:val="20"/>
                <w:szCs w:val="20"/>
                <w:color w:val="auto"/>
              </w:rPr>
            </w:pPr>
            <w:r>
              <w:rPr>
                <w:rFonts w:ascii="Arial" w:cs="Arial" w:eastAsia="Arial" w:hAnsi="Arial"/>
                <w:sz w:val="18"/>
                <w:szCs w:val="18"/>
                <w:color w:val="0000EE"/>
                <w:w w:val="90"/>
              </w:rPr>
              <w:t>Cautionary Note Regarding Non-IFRS Financial Measures and Ratios</w:t>
            </w:r>
          </w:p>
        </w:tc>
        <w:tc>
          <w:tcPr>
            <w:tcW w:w="48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9880" w:type="dxa"/>
            <w:vAlign w:val="bottom"/>
            <w:gridSpan w:val="24"/>
          </w:tcPr>
          <w:p>
            <w:pPr>
              <w:spacing w:after="0" w:line="176" w:lineRule="exact"/>
              <w:rPr>
                <w:sz w:val="20"/>
                <w:szCs w:val="20"/>
                <w:color w:val="auto"/>
              </w:rPr>
            </w:pPr>
            <w:r>
              <w:rPr>
                <w:rFonts w:ascii="Arial" w:cs="Arial" w:eastAsia="Arial" w:hAnsi="Arial"/>
                <w:sz w:val="18"/>
                <w:szCs w:val="18"/>
                <w:color w:val="0000EE"/>
              </w:rPr>
              <w:t>Additional Information</w:t>
            </w:r>
          </w:p>
        </w:tc>
        <w:tc>
          <w:tcPr>
            <w:tcW w:w="560" w:type="dxa"/>
            <w:vAlign w:val="bottom"/>
            <w:gridSpan w:val="2"/>
          </w:tcPr>
          <w:p>
            <w:pPr>
              <w:jc w:val="center"/>
              <w:ind w:right="25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32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8"/>
              </w:rPr>
              <w:t>Glossary of Terms</w:t>
            </w:r>
          </w:p>
        </w:tc>
        <w:tc>
          <w:tcPr>
            <w:tcW w:w="8560" w:type="dxa"/>
            <w:vAlign w:val="bottom"/>
            <w:tcBorders>
              <w:bottom w:val="single" w:sz="8" w:color="CCEEFF"/>
            </w:tcBorders>
            <w:gridSpan w:val="19"/>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center"/>
              <w:ind w:right="25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9880" w:type="dxa"/>
            <w:vAlign w:val="bottom"/>
            <w:gridSpan w:val="24"/>
            <w:vMerge w:val="restart"/>
          </w:tcPr>
          <w:p>
            <w:pPr>
              <w:ind w:left="97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3"/>
        </w:trPr>
        <w:tc>
          <w:tcPr>
            <w:tcW w:w="800" w:type="dxa"/>
            <w:vAlign w:val="bottom"/>
            <w:tcBorders>
              <w:bottom w:val="single" w:sz="8" w:color="auto"/>
            </w:tcBorders>
          </w:tcPr>
          <w:p>
            <w:pPr>
              <w:spacing w:after="0"/>
              <w:rPr>
                <w:sz w:val="19"/>
                <w:szCs w:val="19"/>
                <w:color w:val="auto"/>
              </w:rPr>
            </w:pPr>
          </w:p>
        </w:tc>
        <w:tc>
          <w:tcPr>
            <w:tcW w:w="9880" w:type="dxa"/>
            <w:vAlign w:val="bottom"/>
            <w:tcBorders>
              <w:bottom w:val="single" w:sz="8" w:color="auto"/>
            </w:tcBorders>
            <w:gridSpan w:val="24"/>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INTRODUCTION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Management’s Discussion and Analysis (the “MD&amp;A”) for Bitfarms Ltd. (together with its subsidiaries, the “Company” or “Bitfarms”) has been prepared as of May 14, 2023. This MD&amp;A is intended to supplement the Company’s first quarter 2023 unaudited interim condensed consolidated financial statements and its accompanying notes (the “Financial Statements”), and the Company’s 2022 audited annual consolidated financial statements and its accompanying notes (the “2022 Annual Financial Statements”). This MD&amp;A should be read in conjunction with the Company’s Annual Information Form dated March 20, 2023, which is available on SEDAR at www.sedar.com and EDGAR at www.sec.gov/edgar.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Financial Statements have been prepared in accordance with International Financial Reporting Standards (“IFRS”) as issued by the International Accounting Standards Board (“IASB”), including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The Company’s Financial Statements and this MD&amp;A are reported in thousands of US dollars and US dollars, respectively, except where otherwise noted.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9 - </w:t>
      </w:r>
      <w:r>
        <w:rPr>
          <w:rFonts w:ascii="Arial" w:cs="Arial" w:eastAsia="Arial" w:hAnsi="Arial"/>
          <w:sz w:val="16"/>
          <w:szCs w:val="16"/>
          <w:i w:val="1"/>
          <w:iCs w:val="1"/>
          <w:color w:val="auto"/>
        </w:rPr>
        <w:t>Non-IFRS Financial Measures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Ratios </w:t>
      </w:r>
      <w:r>
        <w:rPr>
          <w:rFonts w:ascii="Arial" w:cs="Arial" w:eastAsia="Arial" w:hAnsi="Arial"/>
          <w:sz w:val="16"/>
          <w:szCs w:val="16"/>
          <w:color w:val="auto"/>
        </w:rPr>
        <w:t>and Section 21 -</w:t>
      </w:r>
      <w:r>
        <w:rPr>
          <w:rFonts w:ascii="Arial" w:cs="Arial" w:eastAsia="Arial" w:hAnsi="Arial"/>
          <w:sz w:val="16"/>
          <w:szCs w:val="16"/>
          <w:i w:val="1"/>
          <w:iCs w:val="1"/>
          <w:color w:val="auto"/>
        </w:rPr>
        <w:t xml:space="preserve"> Cautionary Note Regarding Non-IFRS Financial Measures and Ratios </w:t>
      </w:r>
      <w:r>
        <w:rPr>
          <w:rFonts w:ascii="Arial" w:cs="Arial" w:eastAsia="Arial" w:hAnsi="Arial"/>
          <w:sz w:val="16"/>
          <w:szCs w:val="16"/>
          <w:color w:val="auto"/>
        </w:rPr>
        <w:t>of this MD&amp;A for more information.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MD&amp;A contains forward-looking statements. Refer to the risk factors described in Section 17 -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MD&amp;A, Section 18 - Risk Factors of the Company’s MD&amp;A for the year ended December 31, 2022 dated March 20, 2023 and to Section 20 - </w:t>
      </w:r>
      <w:r>
        <w:rPr>
          <w:rFonts w:ascii="Arial" w:cs="Arial" w:eastAsia="Arial" w:hAnsi="Arial"/>
          <w:sz w:val="18"/>
          <w:szCs w:val="18"/>
          <w:i w:val="1"/>
          <w:iCs w:val="1"/>
          <w:color w:val="auto"/>
        </w:rPr>
        <w:t>Cautionary Note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of this MD&amp;A for more information. This MD&amp;A contains various terms related to the Company’s business and industry which are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Section 23 - </w:t>
      </w:r>
      <w:r>
        <w:rPr>
          <w:rFonts w:ascii="Arial" w:cs="Arial" w:eastAsia="Arial" w:hAnsi="Arial"/>
          <w:sz w:val="18"/>
          <w:szCs w:val="18"/>
          <w:i w:val="1"/>
          <w:iCs w:val="1"/>
          <w:color w:val="auto"/>
        </w:rPr>
        <w:t>Glossary of Terms</w:t>
      </w:r>
      <w:r>
        <w:rPr>
          <w:rFonts w:ascii="Arial" w:cs="Arial" w:eastAsia="Arial" w:hAnsi="Arial"/>
          <w:sz w:val="18"/>
          <w:szCs w:val="18"/>
          <w:color w:val="auto"/>
        </w:rPr>
        <w:t xml:space="preserve"> of this MD&amp;A.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this MD&amp;A, the following terms shall have the following definitions: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Term</w:t>
            </w:r>
          </w:p>
        </w:tc>
        <w:tc>
          <w:tcPr>
            <w:tcW w:w="910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b w:val="1"/>
                <w:bCs w:val="1"/>
                <w:color w:val="auto"/>
              </w:rPr>
              <w:t>Definition</w:t>
            </w:r>
          </w:p>
        </w:tc>
      </w:tr>
      <w:tr>
        <w:trPr>
          <w:trHeight w:val="210"/>
        </w:trPr>
        <w:tc>
          <w:tcPr>
            <w:tcW w:w="2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Q1 2023</w:t>
            </w:r>
          </w:p>
        </w:tc>
        <w:tc>
          <w:tcPr>
            <w:tcW w:w="91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Three months ended March 31, 2023</w:t>
            </w:r>
          </w:p>
        </w:tc>
      </w:tr>
      <w:tr>
        <w:trPr>
          <w:trHeight w:val="250"/>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Q1 2022</w:t>
            </w:r>
          </w:p>
        </w:tc>
        <w:tc>
          <w:tcPr>
            <w:tcW w:w="91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Three months ended March 31, 2022</w:t>
            </w:r>
          </w:p>
        </w:tc>
      </w:tr>
    </w:tbl>
    <w:p>
      <w:pPr>
        <w:spacing w:after="0" w:line="200" w:lineRule="exact"/>
        <w:rPr>
          <w:sz w:val="20"/>
          <w:szCs w:val="20"/>
          <w:color w:val="auto"/>
        </w:rPr>
      </w:pPr>
    </w:p>
    <w:p>
      <w:pPr>
        <w:spacing w:after="0" w:line="218"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3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COMPANY 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2017, Bitfarms (NASDAQ/TSX: BITF) is a global, publicly traded Bitcoin 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Bitfarms owns and operates server farms comprised of computers (referred to as “Miners”) designed for the purpose of validating transactions on the Bitcoin (“BTC”) Blockchain (referred to as “Mining”). Bitfarms generally operates Miners 24 hours a day producing computational power (measured by hashrate) which it sells to Mining Pools under a formula driven rate commonly known in the industry as Full Pay Per Share (“FPPS”). Under FPPS, pools compensate Mining companies for their hashrate based on what the pool would expect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Mining Pools generate revenue by Mining with purchased hashrate through the accumulation of Block Rewards and transaction fees issued by the BTC network. Mining pools purchase hashrate and accept the risk with the aim to mine more blocks than they should in a given time period in seek of profit.</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currently has 10 Mining facilities situated in four countries: Canada, the United States, Paraguay, and Argentina. Powered by predominately environmentally friendly hydro-electric and long-term power contracts, Bitfarms is committed to using sustainable, locally-based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ability to operate and secure power through its production sites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6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Operating power as of</w:t>
            </w:r>
          </w:p>
        </w:tc>
        <w:tc>
          <w:tcPr>
            <w:tcW w:w="2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95"/>
              </w:rPr>
              <w:t>Contracted power as of</w:t>
            </w:r>
          </w:p>
        </w:tc>
      </w:tr>
      <w:tr>
        <w:trPr>
          <w:trHeight w:val="234"/>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Country</w:t>
            </w:r>
          </w:p>
        </w:tc>
        <w:tc>
          <w:tcPr>
            <w:tcW w:w="5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May 14, 2023</w:t>
            </w:r>
          </w:p>
        </w:tc>
        <w:tc>
          <w:tcPr>
            <w:tcW w:w="2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May 14, 2023</w:t>
            </w:r>
          </w:p>
        </w:tc>
      </w:tr>
      <w:tr>
        <w:trPr>
          <w:trHeight w:val="210"/>
        </w:trPr>
        <w:tc>
          <w:tcPr>
            <w:tcW w:w="4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Canada</w:t>
            </w:r>
          </w:p>
        </w:tc>
        <w:tc>
          <w:tcPr>
            <w:tcW w:w="5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148 MW</w:t>
            </w:r>
          </w:p>
        </w:tc>
        <w:tc>
          <w:tcPr>
            <w:tcW w:w="2060" w:type="dxa"/>
            <w:vAlign w:val="bottom"/>
            <w:shd w:val="clear" w:color="auto" w:fill="CCEEFF"/>
          </w:tcPr>
          <w:p>
            <w:pPr>
              <w:jc w:val="right"/>
              <w:spacing w:after="0" w:line="210" w:lineRule="exact"/>
              <w:rPr>
                <w:sz w:val="20"/>
                <w:szCs w:val="20"/>
                <w:color w:val="auto"/>
              </w:rPr>
            </w:pPr>
            <w:r>
              <w:rPr>
                <w:rFonts w:ascii="Arial" w:cs="Arial" w:eastAsia="Arial" w:hAnsi="Arial"/>
                <w:sz w:val="15"/>
                <w:szCs w:val="15"/>
                <w:color w:val="auto"/>
              </w:rPr>
              <w:t>158 MW</w:t>
            </w:r>
            <w:r>
              <w:rPr>
                <w:rFonts w:ascii="Arial" w:cs="Arial" w:eastAsia="Arial" w:hAnsi="Arial"/>
                <w:sz w:val="24"/>
                <w:szCs w:val="24"/>
                <w:color w:val="auto"/>
                <w:vertAlign w:val="subscript"/>
              </w:rPr>
              <w:t>1</w:t>
            </w:r>
          </w:p>
        </w:tc>
      </w:tr>
      <w:tr>
        <w:trPr>
          <w:trHeight w:val="216"/>
        </w:trPr>
        <w:tc>
          <w:tcPr>
            <w:tcW w:w="4160" w:type="dxa"/>
            <w:vAlign w:val="bottom"/>
          </w:tcPr>
          <w:p>
            <w:pPr>
              <w:ind w:left="60"/>
              <w:spacing w:after="0"/>
              <w:rPr>
                <w:sz w:val="20"/>
                <w:szCs w:val="20"/>
                <w:color w:val="auto"/>
              </w:rPr>
            </w:pPr>
            <w:r>
              <w:rPr>
                <w:rFonts w:ascii="Arial" w:cs="Arial" w:eastAsia="Arial" w:hAnsi="Arial"/>
                <w:sz w:val="18"/>
                <w:szCs w:val="18"/>
                <w:color w:val="auto"/>
              </w:rPr>
              <w:t>United States</w:t>
            </w:r>
          </w:p>
        </w:tc>
        <w:tc>
          <w:tcPr>
            <w:tcW w:w="5020" w:type="dxa"/>
            <w:vAlign w:val="bottom"/>
          </w:tcPr>
          <w:p>
            <w:pPr>
              <w:jc w:val="right"/>
              <w:ind w:right="90"/>
              <w:spacing w:after="0"/>
              <w:rPr>
                <w:sz w:val="20"/>
                <w:szCs w:val="20"/>
                <w:color w:val="auto"/>
              </w:rPr>
            </w:pPr>
            <w:r>
              <w:rPr>
                <w:rFonts w:ascii="Arial" w:cs="Arial" w:eastAsia="Arial" w:hAnsi="Arial"/>
                <w:sz w:val="18"/>
                <w:szCs w:val="18"/>
                <w:color w:val="auto"/>
              </w:rPr>
              <w:t>20 MW</w:t>
            </w:r>
          </w:p>
        </w:tc>
        <w:tc>
          <w:tcPr>
            <w:tcW w:w="2060" w:type="dxa"/>
            <w:vAlign w:val="bottom"/>
          </w:tcPr>
          <w:p>
            <w:pPr>
              <w:jc w:val="right"/>
              <w:spacing w:after="0" w:line="216" w:lineRule="exact"/>
              <w:rPr>
                <w:sz w:val="20"/>
                <w:szCs w:val="20"/>
                <w:color w:val="auto"/>
              </w:rPr>
            </w:pPr>
            <w:r>
              <w:rPr>
                <w:rFonts w:ascii="Arial" w:cs="Arial" w:eastAsia="Arial" w:hAnsi="Arial"/>
                <w:sz w:val="16"/>
                <w:szCs w:val="16"/>
                <w:color w:val="auto"/>
              </w:rPr>
              <w:t>24 MW</w:t>
            </w:r>
            <w:r>
              <w:rPr>
                <w:rFonts w:ascii="Arial" w:cs="Arial" w:eastAsia="Arial" w:hAnsi="Arial"/>
                <w:sz w:val="25"/>
                <w:szCs w:val="25"/>
                <w:color w:val="auto"/>
                <w:vertAlign w:val="subscript"/>
              </w:rPr>
              <w:t>2</w:t>
            </w:r>
          </w:p>
        </w:tc>
      </w:tr>
      <w:tr>
        <w:trPr>
          <w:trHeight w:val="216"/>
        </w:trPr>
        <w:tc>
          <w:tcPr>
            <w:tcW w:w="4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Paraguay</w:t>
            </w:r>
          </w:p>
        </w:tc>
        <w:tc>
          <w:tcPr>
            <w:tcW w:w="5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 MW</w:t>
            </w:r>
          </w:p>
        </w:tc>
        <w:tc>
          <w:tcPr>
            <w:tcW w:w="2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 MW</w:t>
            </w:r>
          </w:p>
        </w:tc>
      </w:tr>
      <w:tr>
        <w:trPr>
          <w:trHeight w:val="216"/>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Argentina</w:t>
            </w:r>
          </w:p>
        </w:tc>
        <w:tc>
          <w:tcPr>
            <w:tcW w:w="5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 MW</w:t>
            </w:r>
          </w:p>
        </w:tc>
        <w:tc>
          <w:tcPr>
            <w:tcW w:w="20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210 MW</w:t>
            </w:r>
            <w:r>
              <w:rPr>
                <w:rFonts w:ascii="Arial" w:cs="Arial" w:eastAsia="Arial" w:hAnsi="Arial"/>
                <w:sz w:val="25"/>
                <w:szCs w:val="25"/>
                <w:color w:val="auto"/>
                <w:vertAlign w:val="subscript"/>
              </w:rPr>
              <w:t>2</w:t>
            </w:r>
          </w:p>
        </w:tc>
      </w:tr>
      <w:tr>
        <w:trPr>
          <w:trHeight w:val="216"/>
        </w:trPr>
        <w:tc>
          <w:tcPr>
            <w:tcW w:w="4160" w:type="dxa"/>
            <w:vAlign w:val="bottom"/>
            <w:tcBorders>
              <w:bottom w:val="single" w:sz="8" w:color="auto"/>
            </w:tcBorders>
            <w:shd w:val="clear" w:color="auto" w:fill="CCEEFF"/>
          </w:tcPr>
          <w:p>
            <w:pPr>
              <w:spacing w:after="0"/>
              <w:rPr>
                <w:sz w:val="18"/>
                <w:szCs w:val="18"/>
                <w:color w:val="auto"/>
              </w:rPr>
            </w:pPr>
          </w:p>
        </w:tc>
        <w:tc>
          <w:tcPr>
            <w:tcW w:w="5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196 MW</w:t>
            </w:r>
          </w:p>
        </w:tc>
        <w:tc>
          <w:tcPr>
            <w:tcW w:w="2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402 MW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209" w:lineRule="auto"/>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The Company has secured the rights for a total of 10 MW of hydro-electricity in the province of Quebec. Bitfarms does not currently have an expansion plan for these 10 MW of power, but is continuing its efforts to search for economically viable properties for these 10 MW of hydro-electricity.</w:t>
      </w:r>
    </w:p>
    <w:p>
      <w:pPr>
        <w:spacing w:after="0" w:line="8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 xml:space="preserve">Refer to section 6 - </w:t>
      </w:r>
      <w:r>
        <w:rPr>
          <w:rFonts w:ascii="Arial" w:cs="Arial" w:eastAsia="Arial" w:hAnsi="Arial"/>
          <w:sz w:val="18"/>
          <w:szCs w:val="18"/>
          <w:i w:val="1"/>
          <w:iCs w:val="1"/>
          <w:color w:val="auto"/>
        </w:rPr>
        <w:t>Expansion Projects</w:t>
      </w:r>
      <w:r>
        <w:rPr>
          <w:rFonts w:ascii="Arial" w:cs="Arial" w:eastAsia="Arial" w:hAnsi="Arial"/>
          <w:sz w:val="18"/>
          <w:szCs w:val="18"/>
          <w:color w:val="auto"/>
        </w:rPr>
        <w:t xml:space="preserve"> for details on the timing of the remaining MW not yet operational.</w:t>
      </w:r>
    </w:p>
    <w:p>
      <w:pPr>
        <w:spacing w:after="0" w:line="200" w:lineRule="exact"/>
        <w:rPr>
          <w:sz w:val="20"/>
          <w:szCs w:val="20"/>
          <w:color w:val="auto"/>
        </w:rPr>
      </w:pPr>
    </w:p>
    <w:p>
      <w:pPr>
        <w:spacing w:after="0" w:line="218"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4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HIGHLIGHTS</w:t>
      </w:r>
    </w:p>
    <w:p>
      <w:pPr>
        <w:spacing w:after="0" w:line="225"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(U.S.$ in thousands except where indicated)</w:t>
            </w:r>
          </w:p>
        </w:tc>
        <w:tc>
          <w:tcPr>
            <w:tcW w:w="3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r>
      <w:tr>
        <w:trPr>
          <w:trHeight w:val="210"/>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Revenues</w:t>
            </w:r>
          </w:p>
        </w:tc>
        <w:tc>
          <w:tcPr>
            <w:tcW w:w="38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30,050</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40,329</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Gross (loss) profit</w:t>
            </w:r>
          </w:p>
        </w:tc>
        <w:tc>
          <w:tcPr>
            <w:tcW w:w="3840" w:type="dxa"/>
            <w:vAlign w:val="bottom"/>
          </w:tcPr>
          <w:p>
            <w:pPr>
              <w:jc w:val="right"/>
              <w:ind w:right="210"/>
              <w:spacing w:after="0"/>
              <w:rPr>
                <w:sz w:val="20"/>
                <w:szCs w:val="20"/>
                <w:color w:val="auto"/>
              </w:rPr>
            </w:pPr>
            <w:r>
              <w:rPr>
                <w:rFonts w:ascii="Arial" w:cs="Arial" w:eastAsia="Arial" w:hAnsi="Arial"/>
                <w:sz w:val="18"/>
                <w:szCs w:val="18"/>
                <w:b w:val="1"/>
                <w:bCs w:val="1"/>
                <w:color w:val="auto"/>
              </w:rPr>
              <w:t>(8,353)</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17,037</w:t>
            </w:r>
          </w:p>
        </w:tc>
      </w:tr>
      <w:tr>
        <w:trPr>
          <w:trHeight w:val="257"/>
        </w:trPr>
        <w:tc>
          <w:tcPr>
            <w:tcW w:w="5700" w:type="dxa"/>
            <w:vAlign w:val="bottom"/>
            <w:shd w:val="clear" w:color="auto" w:fill="CCEEFF"/>
          </w:tcPr>
          <w:p>
            <w:pPr>
              <w:ind w:left="60"/>
              <w:spacing w:after="0" w:line="25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9"/>
                <w:szCs w:val="29"/>
                <w:color w:val="auto"/>
                <w:vertAlign w:val="superscript"/>
              </w:rPr>
              <w:t>(1)</w:t>
            </w:r>
          </w:p>
        </w:tc>
        <w:tc>
          <w:tcPr>
            <w:tcW w:w="3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Operating (loss) income</w:t>
            </w:r>
          </w:p>
        </w:tc>
        <w:tc>
          <w:tcPr>
            <w:tcW w:w="3840" w:type="dxa"/>
            <w:vAlign w:val="bottom"/>
          </w:tcPr>
          <w:p>
            <w:pPr>
              <w:jc w:val="right"/>
              <w:ind w:right="210"/>
              <w:spacing w:after="0"/>
              <w:rPr>
                <w:sz w:val="20"/>
                <w:szCs w:val="20"/>
                <w:color w:val="auto"/>
              </w:rPr>
            </w:pPr>
            <w:r>
              <w:rPr>
                <w:rFonts w:ascii="Arial" w:cs="Arial" w:eastAsia="Arial" w:hAnsi="Arial"/>
                <w:sz w:val="18"/>
                <w:szCs w:val="18"/>
                <w:b w:val="1"/>
                <w:bCs w:val="1"/>
                <w:color w:val="auto"/>
              </w:rPr>
              <w:t>(14,997)</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6,874</w:t>
            </w:r>
          </w:p>
        </w:tc>
      </w:tr>
      <w:tr>
        <w:trPr>
          <w:trHeight w:val="270"/>
        </w:trPr>
        <w:tc>
          <w:tcPr>
            <w:tcW w:w="5700" w:type="dxa"/>
            <w:vAlign w:val="bottom"/>
            <w:tcBorders>
              <w:bottom w:val="single" w:sz="8" w:color="auto"/>
            </w:tcBorders>
            <w:shd w:val="clear" w:color="auto" w:fill="CCEEFF"/>
          </w:tcPr>
          <w:p>
            <w:pPr>
              <w:ind w:left="60"/>
              <w:spacing w:after="0" w:line="270" w:lineRule="exact"/>
              <w:rPr>
                <w:sz w:val="20"/>
                <w:szCs w:val="20"/>
                <w:color w:val="auto"/>
              </w:rPr>
            </w:pPr>
            <w:r>
              <w:rPr>
                <w:rFonts w:ascii="Arial" w:cs="Arial" w:eastAsia="Arial" w:hAnsi="Arial"/>
                <w:sz w:val="18"/>
                <w:szCs w:val="18"/>
                <w:color w:val="auto"/>
              </w:rPr>
              <w:t xml:space="preserve">Operating margin </w:t>
            </w:r>
            <w:r>
              <w:rPr>
                <w:rFonts w:ascii="Arial" w:cs="Arial" w:eastAsia="Arial" w:hAnsi="Arial"/>
                <w:sz w:val="29"/>
                <w:szCs w:val="29"/>
                <w:color w:val="auto"/>
                <w:vertAlign w:val="superscript"/>
              </w:rPr>
              <w:t>(1)</w:t>
            </w:r>
          </w:p>
        </w:tc>
        <w:tc>
          <w:tcPr>
            <w:tcW w:w="3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9"/>
        </w:trPr>
        <w:tc>
          <w:tcPr>
            <w:tcW w:w="5700" w:type="dxa"/>
            <w:vAlign w:val="bottom"/>
          </w:tcPr>
          <w:p>
            <w:pPr>
              <w:ind w:left="60"/>
              <w:spacing w:after="0"/>
              <w:rPr>
                <w:sz w:val="20"/>
                <w:szCs w:val="20"/>
                <w:color w:val="auto"/>
              </w:rPr>
            </w:pPr>
            <w:r>
              <w:rPr>
                <w:rFonts w:ascii="Arial" w:cs="Arial" w:eastAsia="Arial" w:hAnsi="Arial"/>
                <w:sz w:val="18"/>
                <w:szCs w:val="18"/>
                <w:color w:val="auto"/>
              </w:rPr>
              <w:t>Net (loss) income</w:t>
            </w:r>
          </w:p>
        </w:tc>
        <w:tc>
          <w:tcPr>
            <w:tcW w:w="3840" w:type="dxa"/>
            <w:vAlign w:val="bottom"/>
          </w:tcPr>
          <w:p>
            <w:pPr>
              <w:jc w:val="right"/>
              <w:ind w:right="210"/>
              <w:spacing w:after="0"/>
              <w:rPr>
                <w:sz w:val="20"/>
                <w:szCs w:val="20"/>
                <w:color w:val="auto"/>
              </w:rPr>
            </w:pPr>
            <w:r>
              <w:rPr>
                <w:rFonts w:ascii="Arial" w:cs="Arial" w:eastAsia="Arial" w:hAnsi="Arial"/>
                <w:sz w:val="18"/>
                <w:szCs w:val="18"/>
                <w:b w:val="1"/>
                <w:bCs w:val="1"/>
                <w:color w:val="auto"/>
              </w:rPr>
              <w:t>(2,479)</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4,519</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Basic (loss) earnings per share</w:t>
            </w:r>
          </w:p>
        </w:tc>
        <w:tc>
          <w:tcPr>
            <w:tcW w:w="3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(0.01)</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0.02</w:t>
            </w:r>
          </w:p>
        </w:tc>
      </w:tr>
      <w:tr>
        <w:trPr>
          <w:trHeight w:val="216"/>
        </w:trPr>
        <w:tc>
          <w:tcPr>
            <w:tcW w:w="5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Diluted (loss) earnings per share</w:t>
            </w:r>
          </w:p>
        </w:tc>
        <w:tc>
          <w:tcPr>
            <w:tcW w:w="3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(0.01)</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0.02</w:t>
            </w:r>
          </w:p>
        </w:tc>
      </w:tr>
      <w:tr>
        <w:trPr>
          <w:trHeight w:val="250"/>
        </w:trPr>
        <w:tc>
          <w:tcPr>
            <w:tcW w:w="5700" w:type="dxa"/>
            <w:vAlign w:val="bottom"/>
            <w:shd w:val="clear" w:color="auto" w:fill="CCEEFF"/>
          </w:tcPr>
          <w:p>
            <w:pPr>
              <w:ind w:left="60"/>
              <w:spacing w:after="0" w:line="250" w:lineRule="exact"/>
              <w:rPr>
                <w:sz w:val="20"/>
                <w:szCs w:val="20"/>
                <w:color w:val="auto"/>
              </w:rPr>
            </w:pPr>
            <w:r>
              <w:rPr>
                <w:rFonts w:ascii="Arial" w:cs="Arial" w:eastAsia="Arial" w:hAnsi="Arial"/>
                <w:sz w:val="17"/>
                <w:szCs w:val="17"/>
                <w:color w:val="auto"/>
              </w:rPr>
              <w:t xml:space="preserve">Gross Mining profit </w:t>
            </w:r>
            <w:r>
              <w:rPr>
                <w:rFonts w:ascii="Arial" w:cs="Arial" w:eastAsia="Arial" w:hAnsi="Arial"/>
                <w:sz w:val="28"/>
                <w:szCs w:val="28"/>
                <w:color w:val="auto"/>
                <w:vertAlign w:val="superscript"/>
              </w:rPr>
              <w:t>(1)</w:t>
            </w:r>
          </w:p>
        </w:tc>
        <w:tc>
          <w:tcPr>
            <w:tcW w:w="38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12,185</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30,140</w:t>
            </w:r>
          </w:p>
        </w:tc>
      </w:tr>
      <w:tr>
        <w:trPr>
          <w:trHeight w:val="270"/>
        </w:trPr>
        <w:tc>
          <w:tcPr>
            <w:tcW w:w="5700" w:type="dxa"/>
            <w:vAlign w:val="bottom"/>
          </w:tcPr>
          <w:p>
            <w:pPr>
              <w:ind w:left="60"/>
              <w:spacing w:after="0" w:line="270"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3840" w:type="dxa"/>
            <w:vAlign w:val="bottom"/>
          </w:tcPr>
          <w:p>
            <w:pPr>
              <w:jc w:val="right"/>
              <w:ind w:right="90"/>
              <w:spacing w:after="0"/>
              <w:rPr>
                <w:sz w:val="20"/>
                <w:szCs w:val="20"/>
                <w:color w:val="auto"/>
              </w:rPr>
            </w:pPr>
            <w:r>
              <w:rPr>
                <w:rFonts w:ascii="Arial" w:cs="Arial" w:eastAsia="Arial" w:hAnsi="Arial"/>
                <w:sz w:val="18"/>
                <w:szCs w:val="18"/>
                <w:b w:val="1"/>
                <w:bCs w:val="1"/>
                <w:color w:val="auto"/>
              </w:rPr>
              <w:t>42%</w:t>
            </w:r>
          </w:p>
        </w:tc>
        <w:tc>
          <w:tcPr>
            <w:tcW w:w="1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7"/>
        </w:trPr>
        <w:tc>
          <w:tcPr>
            <w:tcW w:w="5700" w:type="dxa"/>
            <w:vAlign w:val="bottom"/>
            <w:shd w:val="clear" w:color="auto" w:fill="CCEEFF"/>
          </w:tcPr>
          <w:p>
            <w:pPr>
              <w:ind w:left="60"/>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38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6,334</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21,440</w:t>
            </w:r>
          </w:p>
        </w:tc>
      </w:tr>
      <w:tr>
        <w:trPr>
          <w:trHeight w:val="277"/>
        </w:trPr>
        <w:tc>
          <w:tcPr>
            <w:tcW w:w="5700" w:type="dxa"/>
            <w:vAlign w:val="bottom"/>
            <w:tcBorders>
              <w:bottom w:val="single" w:sz="8" w:color="auto"/>
            </w:tcBorders>
          </w:tcPr>
          <w:p>
            <w:pPr>
              <w:ind w:left="60"/>
              <w:spacing w:after="0" w:line="27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3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57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As of March 31,</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5"/>
              </w:rPr>
              <w:t>As of December 31,</w:t>
            </w:r>
          </w:p>
        </w:tc>
      </w:tr>
      <w:tr>
        <w:trPr>
          <w:trHeight w:val="210"/>
        </w:trPr>
        <w:tc>
          <w:tcPr>
            <w:tcW w:w="57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r>
      <w:tr>
        <w:trPr>
          <w:trHeight w:val="209"/>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38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331,982</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343,098</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Current financial liabilities</w:t>
            </w:r>
          </w:p>
        </w:tc>
        <w:tc>
          <w:tcPr>
            <w:tcW w:w="3840" w:type="dxa"/>
            <w:vAlign w:val="bottom"/>
          </w:tcPr>
          <w:p>
            <w:pPr>
              <w:jc w:val="right"/>
              <w:ind w:right="270"/>
              <w:spacing w:after="0"/>
              <w:rPr>
                <w:sz w:val="20"/>
                <w:szCs w:val="20"/>
                <w:color w:val="auto"/>
              </w:rPr>
            </w:pPr>
            <w:r>
              <w:rPr>
                <w:rFonts w:ascii="Arial" w:cs="Arial" w:eastAsia="Arial" w:hAnsi="Arial"/>
                <w:sz w:val="18"/>
                <w:szCs w:val="18"/>
                <w:b w:val="1"/>
                <w:bCs w:val="1"/>
                <w:color w:val="auto"/>
              </w:rPr>
              <w:t>32,947</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55,951</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Non-current financial liabilities</w:t>
            </w:r>
          </w:p>
        </w:tc>
        <w:tc>
          <w:tcPr>
            <w:tcW w:w="38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67</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4,093</w:t>
            </w:r>
          </w:p>
        </w:tc>
      </w:tr>
      <w:tr>
        <w:trPr>
          <w:trHeight w:val="223"/>
        </w:trPr>
        <w:tc>
          <w:tcPr>
            <w:tcW w:w="5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Long-term debt included in financial liabilities</w:t>
            </w:r>
          </w:p>
        </w:tc>
        <w:tc>
          <w:tcPr>
            <w:tcW w:w="3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21,093</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47,147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distributions or cash dividends declared per share for the periods disclosed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ind w:left="340" w:hanging="332"/>
        <w:spacing w:after="0" w:line="194" w:lineRule="auto"/>
        <w:tabs>
          <w:tab w:leader="none" w:pos="34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 xml:space="preserve">Gross margin, Operating margin, Gross Mining profit, Gross Mining margin, EBITDA, EBITDA margin, Adjusted EBITDA and Adjusted EBITDA margin, are non-IFRS financial measures or ratios; refer to Section 9 - </w:t>
      </w:r>
      <w:r>
        <w:rPr>
          <w:rFonts w:ascii="Arial" w:cs="Arial" w:eastAsia="Arial" w:hAnsi="Arial"/>
          <w:sz w:val="18"/>
          <w:szCs w:val="18"/>
          <w:i w:val="1"/>
          <w:iCs w:val="1"/>
          <w:color w:val="auto"/>
        </w:rPr>
        <w:t>Non-IFRS Financial Measures and Ratios</w:t>
      </w:r>
      <w:r>
        <w:rPr>
          <w:rFonts w:ascii="Arial" w:cs="Arial" w:eastAsia="Arial" w:hAnsi="Arial"/>
          <w:sz w:val="18"/>
          <w:szCs w:val="18"/>
          <w:color w:val="auto"/>
        </w:rPr>
        <w:t xml:space="preserve"> of this MD&amp;A.</w:t>
      </w:r>
    </w:p>
    <w:p>
      <w:pPr>
        <w:spacing w:after="0" w:line="200" w:lineRule="exact"/>
        <w:rPr>
          <w:sz w:val="20"/>
          <w:szCs w:val="20"/>
          <w:color w:val="auto"/>
        </w:rPr>
      </w:pPr>
    </w:p>
    <w:p>
      <w:pPr>
        <w:spacing w:after="0" w:line="218"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5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FIRST QUARTER 2023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w:t>
      </w:r>
    </w:p>
    <w:p>
      <w:pPr>
        <w:spacing w:after="0" w:line="23" w:lineRule="exact"/>
        <w:rPr>
          <w:sz w:val="20"/>
          <w:szCs w:val="20"/>
          <w:color w:val="auto"/>
        </w:rPr>
      </w:pPr>
    </w:p>
    <w:p>
      <w:pPr>
        <w:ind w:left="340" w:hanging="332"/>
        <w:spacing w:after="0" w:line="185" w:lineRule="auto"/>
        <w:tabs>
          <w:tab w:leader="none" w:pos="34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Revenues of $30.1 million, gross loss of $8.4 million (gross margin</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negative 28%) including non-cash depreciation and amortization expense of $20.7 million, operating loss of $15.0 million (operating margin</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negative 50%) and net loss of $2.5 million;</w:t>
      </w:r>
    </w:p>
    <w:p>
      <w:pPr>
        <w:spacing w:after="0" w:line="2" w:lineRule="exact"/>
        <w:rPr>
          <w:rFonts w:ascii="Arial" w:cs="Arial" w:eastAsia="Arial" w:hAnsi="Arial"/>
          <w:sz w:val="36"/>
          <w:szCs w:val="36"/>
          <w:color w:val="auto"/>
          <w:vertAlign w:val="superscript"/>
        </w:rPr>
      </w:pPr>
    </w:p>
    <w:p>
      <w:pPr>
        <w:ind w:left="340" w:hanging="332"/>
        <w:spacing w:after="0" w:line="191" w:lineRule="auto"/>
        <w:tabs>
          <w:tab w:leader="none" w:pos="340" w:val="left"/>
        </w:tabs>
        <w:numPr>
          <w:ilvl w:val="0"/>
          <w:numId w:val="23"/>
        </w:numPr>
        <w:rPr>
          <w:rFonts w:ascii="Arial" w:cs="Arial" w:eastAsia="Arial" w:hAnsi="Arial"/>
          <w:sz w:val="28"/>
          <w:szCs w:val="28"/>
          <w:color w:val="auto"/>
          <w:vertAlign w:val="superscript"/>
        </w:rPr>
      </w:pPr>
      <w:r>
        <w:rPr>
          <w:rFonts w:ascii="Arial" w:cs="Arial" w:eastAsia="Arial" w:hAnsi="Arial"/>
          <w:sz w:val="15"/>
          <w:szCs w:val="15"/>
          <w:color w:val="auto"/>
        </w:rPr>
        <w:t>Gross Mining profit</w:t>
      </w:r>
      <w:r>
        <w:rPr>
          <w:rFonts w:ascii="Arial" w:cs="Arial" w:eastAsia="Arial" w:hAnsi="Arial"/>
          <w:sz w:val="23"/>
          <w:szCs w:val="23"/>
          <w:color w:val="auto"/>
          <w:vertAlign w:val="superscript"/>
        </w:rPr>
        <w:t>1</w:t>
      </w:r>
      <w:r>
        <w:rPr>
          <w:rFonts w:ascii="Arial" w:cs="Arial" w:eastAsia="Arial" w:hAnsi="Arial"/>
          <w:sz w:val="15"/>
          <w:szCs w:val="15"/>
          <w:color w:val="auto"/>
        </w:rPr>
        <w:t xml:space="preserve"> of $12.2 million (42% gross Mining margin</w:t>
      </w:r>
      <w:r>
        <w:rPr>
          <w:rFonts w:ascii="Arial" w:cs="Arial" w:eastAsia="Arial" w:hAnsi="Arial"/>
          <w:sz w:val="23"/>
          <w:szCs w:val="23"/>
          <w:color w:val="auto"/>
          <w:vertAlign w:val="superscript"/>
        </w:rPr>
        <w:t>1</w:t>
      </w:r>
      <w:r>
        <w:rPr>
          <w:rFonts w:ascii="Arial" w:cs="Arial" w:eastAsia="Arial" w:hAnsi="Arial"/>
          <w:sz w:val="15"/>
          <w:szCs w:val="15"/>
          <w:color w:val="auto"/>
        </w:rPr>
        <w:t>); and</w:t>
      </w:r>
    </w:p>
    <w:p>
      <w:pPr>
        <w:ind w:left="340" w:hanging="332"/>
        <w:spacing w:after="0" w:line="192" w:lineRule="auto"/>
        <w:tabs>
          <w:tab w:leader="none" w:pos="34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$6.3 million (21% adjusted EBITDA margin</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ind w:left="340" w:hanging="332"/>
        <w:spacing w:after="0" w:line="180" w:lineRule="auto"/>
        <w:tabs>
          <w:tab w:leader="none" w:pos="340" w:val="left"/>
        </w:tabs>
        <w:numPr>
          <w:ilvl w:val="0"/>
          <w:numId w:val="24"/>
        </w:numPr>
        <w:rPr>
          <w:rFonts w:ascii="Arial" w:cs="Arial" w:eastAsia="Arial" w:hAnsi="Arial"/>
          <w:sz w:val="33"/>
          <w:szCs w:val="33"/>
          <w:color w:val="auto"/>
          <w:vertAlign w:val="superscript"/>
        </w:rPr>
      </w:pPr>
      <w:r>
        <w:rPr>
          <w:rFonts w:ascii="Arial" w:cs="Arial" w:eastAsia="Arial" w:hAnsi="Arial"/>
          <w:sz w:val="17"/>
          <w:szCs w:val="17"/>
          <w:color w:val="auto"/>
        </w:rPr>
        <w:t>Mined 1,297 BTC at an average direct cost of $12,500 per BTC</w:t>
      </w:r>
      <w:r>
        <w:rPr>
          <w:rFonts w:ascii="Arial" w:cs="Arial" w:eastAsia="Arial" w:hAnsi="Arial"/>
          <w:sz w:val="27"/>
          <w:szCs w:val="27"/>
          <w:color w:val="auto"/>
          <w:vertAlign w:val="superscript"/>
        </w:rPr>
        <w:t>2</w:t>
      </w:r>
      <w:r>
        <w:rPr>
          <w:rFonts w:ascii="Arial" w:cs="Arial" w:eastAsia="Arial" w:hAnsi="Arial"/>
          <w:sz w:val="17"/>
          <w:szCs w:val="17"/>
          <w:color w:val="auto"/>
        </w:rPr>
        <w:t xml:space="preserve"> and held 435 BTC valued at approximately $12.4 million as of March 31, 2023;</w:t>
      </w: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hashrate from 4.5 EH/s to 4.8 EH/s through the acquisition and installation of approximately 3,000 Miners; and</w:t>
      </w:r>
    </w:p>
    <w:p>
      <w:pPr>
        <w:spacing w:after="0" w:line="7"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Sold 1,267 BTC at an average price of $22,500 per BTC for total proceeds of $28.5 million, a portion of which was used to repay equipment related 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Expansions</w:t>
      </w:r>
    </w:p>
    <w:p>
      <w:pPr>
        <w:spacing w:after="0" w:line="27" w:lineRule="exact"/>
        <w:rPr>
          <w:sz w:val="20"/>
          <w:szCs w:val="20"/>
          <w:color w:val="auto"/>
        </w:rPr>
      </w:pPr>
    </w:p>
    <w:p>
      <w:pPr>
        <w:jc w:val="both"/>
        <w:ind w:left="34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Imported and installed approximately 2,900 new M30s Whatsminer Miners into Paraguay, which added a net 165 PH/s to the Villarrica facility after replacing the older generation Miners, and bringing its total hashrate to approximately 290 PH/s. The Company sold the older generation Miners to a third party for approximately $0.2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7" w:lineRule="exact"/>
        <w:rPr>
          <w:sz w:val="20"/>
          <w:szCs w:val="20"/>
          <w:color w:val="auto"/>
        </w:rPr>
      </w:pPr>
    </w:p>
    <w:p>
      <w:pPr>
        <w:jc w:val="both"/>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Negotiated a discounted prepayment of the equipment financing with BlockFi Lending LLC (“BlockFi”), which had an outstanding balance of $20.3 million as at February 8, 2023, to align with market conditions, for $7.8 million, resulting in a gain on extinguishment of long-term debt of $12.6 million;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Paid down $13.5 million in equipment related indebtedness, including the negotiated $7.8 million BlockFi loan settlement payment described above;</w:t>
      </w:r>
    </w:p>
    <w:p>
      <w:pPr>
        <w:spacing w:after="0" w:line="3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Launched hedging activities including entering into forward BTC option contracts with the objective of reducing the variability of future cash flows from sales of digital assets; and</w:t>
      </w: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Raised $15.8 million in net proceeds through the Company’s at-the-market equity offering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40" w:hanging="332"/>
        <w:spacing w:after="0" w:line="277" w:lineRule="auto"/>
        <w:tabs>
          <w:tab w:leader="none" w:pos="340" w:val="left"/>
        </w:tabs>
        <w:numPr>
          <w:ilvl w:val="0"/>
          <w:numId w:val="27"/>
        </w:numPr>
        <w:rPr>
          <w:rFonts w:ascii="Arial" w:cs="Arial" w:eastAsia="Arial" w:hAnsi="Arial"/>
          <w:sz w:val="15"/>
          <w:szCs w:val="15"/>
          <w:color w:val="auto"/>
        </w:rPr>
      </w:pPr>
      <w:r>
        <w:rPr>
          <w:rFonts w:ascii="Arial" w:cs="Arial" w:eastAsia="Arial" w:hAnsi="Arial"/>
          <w:sz w:val="18"/>
          <w:szCs w:val="18"/>
          <w:color w:val="auto"/>
        </w:rPr>
        <w:t xml:space="preserve">Gross margin, Operating margin, Gross Mining profit, Gross Mining margin, EBITDA, EBITDA margin, Adjusted EBITDA and Adjusted EBITDA margin, are non-IFRS financial measures or ratios; refer to Section 9 - </w:t>
      </w:r>
      <w:r>
        <w:rPr>
          <w:rFonts w:ascii="Arial" w:cs="Arial" w:eastAsia="Arial" w:hAnsi="Arial"/>
          <w:sz w:val="18"/>
          <w:szCs w:val="18"/>
          <w:i w:val="1"/>
          <w:iCs w:val="1"/>
          <w:color w:val="auto"/>
        </w:rPr>
        <w:t>Non-IFRS Financial Measures and Ratios</w:t>
      </w:r>
      <w:r>
        <w:rPr>
          <w:rFonts w:ascii="Arial" w:cs="Arial" w:eastAsia="Arial" w:hAnsi="Arial"/>
          <w:sz w:val="18"/>
          <w:szCs w:val="18"/>
          <w:color w:val="auto"/>
        </w:rPr>
        <w:t xml:space="preserve"> of this MD&amp;A.</w:t>
      </w:r>
    </w:p>
    <w:p>
      <w:pPr>
        <w:spacing w:after="0" w:line="17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5"/>
          <w:szCs w:val="15"/>
          <w:color w:val="auto"/>
        </w:rPr>
      </w:pPr>
      <w:r>
        <w:rPr>
          <w:rFonts w:ascii="Arial" w:cs="Arial" w:eastAsia="Arial" w:hAnsi="Arial"/>
          <w:sz w:val="18"/>
          <w:szCs w:val="18"/>
          <w:color w:val="auto"/>
        </w:rPr>
        <w:t>Represents the direct cost of BTC based on the total electricity costs divided by the total number of BTC mined.</w:t>
      </w:r>
    </w:p>
    <w:p>
      <w:pPr>
        <w:spacing w:after="0" w:line="200" w:lineRule="exact"/>
        <w:rPr>
          <w:sz w:val="20"/>
          <w:szCs w:val="20"/>
          <w:color w:val="auto"/>
        </w:rPr>
      </w:pPr>
    </w:p>
    <w:p>
      <w:pPr>
        <w:spacing w:after="0" w:line="241"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6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7420" w:firstLine="8"/>
        <w:spacing w:after="0" w:line="500" w:lineRule="auto"/>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AND MINING OPERATIONS Key Performance Indicators</w:t>
      </w:r>
    </w:p>
    <w:p>
      <w:pPr>
        <w:spacing w:after="0" w:line="2"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5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09"/>
        </w:trPr>
        <w:tc>
          <w:tcPr>
            <w:tcW w:w="5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BTC mined</w:t>
            </w:r>
          </w:p>
        </w:tc>
        <w:tc>
          <w:tcPr>
            <w:tcW w:w="3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1,297</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961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380" w:type="dxa"/>
            <w:vAlign w:val="bottom"/>
          </w:tcPr>
          <w:p>
            <w:pPr>
              <w:ind w:left="60"/>
              <w:spacing w:after="0"/>
              <w:rPr>
                <w:sz w:val="20"/>
                <w:szCs w:val="20"/>
                <w:color w:val="auto"/>
              </w:rPr>
            </w:pPr>
            <w:r>
              <w:rPr>
                <w:rFonts w:ascii="Arial" w:cs="Arial" w:eastAsia="Arial" w:hAnsi="Arial"/>
                <w:sz w:val="18"/>
                <w:szCs w:val="18"/>
                <w:color w:val="auto"/>
              </w:rPr>
              <w:t>Average Watts/Average TH efficiency</w:t>
            </w:r>
          </w:p>
        </w:tc>
        <w:tc>
          <w:tcPr>
            <w:tcW w:w="3140" w:type="dxa"/>
            <w:vAlign w:val="bottom"/>
          </w:tcPr>
          <w:p>
            <w:pPr>
              <w:jc w:val="right"/>
              <w:ind w:right="70"/>
              <w:spacing w:after="0"/>
              <w:rPr>
                <w:sz w:val="20"/>
                <w:szCs w:val="20"/>
                <w:color w:val="auto"/>
              </w:rPr>
            </w:pPr>
            <w:r>
              <w:rPr>
                <w:rFonts w:ascii="Arial" w:cs="Arial" w:eastAsia="Arial" w:hAnsi="Arial"/>
                <w:sz w:val="18"/>
                <w:szCs w:val="18"/>
                <w:b w:val="1"/>
                <w:bCs w:val="1"/>
                <w:color w:val="auto"/>
              </w:rPr>
              <w:t>39</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43</w:t>
            </w: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BTC sold</w:t>
            </w:r>
          </w:p>
        </w:tc>
        <w:tc>
          <w:tcPr>
            <w:tcW w:w="3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1,267</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18</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432"/>
        </w:trPr>
        <w:tc>
          <w:tcPr>
            <w:tcW w:w="538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3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5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As of March 31,</w:t>
            </w:r>
          </w:p>
        </w:tc>
        <w:tc>
          <w:tcPr>
            <w:tcW w:w="1160" w:type="dxa"/>
            <w:vAlign w:val="bottom"/>
            <w:tcBorders>
              <w:bottom w:val="single" w:sz="8" w:color="auto"/>
            </w:tcBorders>
          </w:tcPr>
          <w:p>
            <w:pPr>
              <w:spacing w:after="0"/>
              <w:rPr>
                <w:sz w:val="24"/>
                <w:szCs w:val="24"/>
                <w:color w:val="auto"/>
              </w:rPr>
            </w:pPr>
          </w:p>
        </w:tc>
      </w:tr>
      <w:tr>
        <w:trPr>
          <w:trHeight w:val="209"/>
        </w:trPr>
        <w:tc>
          <w:tcPr>
            <w:tcW w:w="53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r>
      <w:tr>
        <w:trPr>
          <w:trHeight w:val="210"/>
        </w:trPr>
        <w:tc>
          <w:tcPr>
            <w:tcW w:w="5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Period-end operating EH/s</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380" w:type="dxa"/>
            <w:vAlign w:val="bottom"/>
          </w:tcPr>
          <w:p>
            <w:pPr>
              <w:ind w:left="60"/>
              <w:spacing w:after="0"/>
              <w:rPr>
                <w:sz w:val="20"/>
                <w:szCs w:val="20"/>
                <w:color w:val="auto"/>
              </w:rPr>
            </w:pPr>
            <w:r>
              <w:rPr>
                <w:rFonts w:ascii="Arial" w:cs="Arial" w:eastAsia="Arial" w:hAnsi="Arial"/>
                <w:sz w:val="18"/>
                <w:szCs w:val="18"/>
                <w:color w:val="auto"/>
              </w:rPr>
              <w:t>Period-end operating capacity (MW)</w:t>
            </w:r>
          </w:p>
        </w:tc>
        <w:tc>
          <w:tcPr>
            <w:tcW w:w="3140" w:type="dxa"/>
            <w:vAlign w:val="bottom"/>
          </w:tcPr>
          <w:p>
            <w:pPr>
              <w:jc w:val="right"/>
              <w:ind w:right="30"/>
              <w:spacing w:after="0"/>
              <w:rPr>
                <w:sz w:val="20"/>
                <w:szCs w:val="20"/>
                <w:color w:val="auto"/>
              </w:rPr>
            </w:pPr>
            <w:r>
              <w:rPr>
                <w:rFonts w:ascii="Arial" w:cs="Arial" w:eastAsia="Arial" w:hAnsi="Arial"/>
                <w:sz w:val="18"/>
                <w:szCs w:val="18"/>
                <w:b w:val="1"/>
                <w:bCs w:val="1"/>
                <w:color w:val="auto"/>
              </w:rPr>
              <w:t>188</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121</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5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Hydropower (MW)</w:t>
            </w:r>
          </w:p>
        </w:tc>
        <w:tc>
          <w:tcPr>
            <w:tcW w:w="3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of March 31, 2023 v. as of March 31, 2022</w:t>
      </w:r>
    </w:p>
    <w:p>
      <w:pPr>
        <w:spacing w:after="0" w:line="225" w:lineRule="exact"/>
        <w:rPr>
          <w:sz w:val="20"/>
          <w:szCs w:val="20"/>
          <w:color w:val="auto"/>
        </w:rPr>
      </w:pPr>
    </w:p>
    <w:p>
      <w:pPr>
        <w:ind w:left="66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4.8 EH/s online as of March 31, 2023, compared to 2.7 EH/s online as of March 31, 2022, an increase of 76%, as a result of the Company’s expansions in Sherbrooke (Quebec), Washington State, Paraguay and Argentina and the upgrade of its Miner fleet;</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188 MW operating capacity as of March 31, 2023, compared to 121 MW operating capacity as of March 31, 2022, an increase of 55%, as a result of expansions in Sherbrooke (additional 54 MW), Washington (additional 3 MW) and Argentina (additional 10 MW); and</w:t>
      </w:r>
    </w:p>
    <w:p>
      <w:pPr>
        <w:ind w:left="660" w:hanging="328"/>
        <w:spacing w:after="0" w:line="26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178 MW hydropower as of March 31, 2023, compared to 121 MW hydropower as of March 31, 2022, an increase of 47% as a result of the Company’s expansions in Sherbrooke and Washington, and representing 95% of total energy capacity.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Q1 2023 v. Q1 2022</w:t>
      </w:r>
    </w:p>
    <w:p>
      <w:pPr>
        <w:spacing w:after="0" w:line="225" w:lineRule="exact"/>
        <w:rPr>
          <w:sz w:val="20"/>
          <w:szCs w:val="20"/>
          <w:color w:val="auto"/>
        </w:rPr>
      </w:pPr>
    </w:p>
    <w:p>
      <w:pPr>
        <w:ind w:left="66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1,297 BTC mined in Q1 2023, compared to 961 BTC mined in Q1 2022, representing an increase of 35% as a result of the Company’s expansions in Sherbrooke (Quebec), Washington State, Paraguay and Argentina and the upgrade of its Miner fleet;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39 Watts/TH efficiency in Q1 2023, compared to 43 Watts/TH efficiency in Q1 2022, representing an improvement of 9% due to the Company upgrading its fleet with more efficient Miners; and</w:t>
      </w:r>
    </w:p>
    <w:p>
      <w:pPr>
        <w:ind w:left="660" w:hanging="328"/>
        <w:spacing w:after="0" w:line="2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1,267 BTC sold in Q1 2023 compared to 18 BTC in Q1 2022. The proceeds were used in part to fund operations and repay equipment financing indebtedness.</w:t>
      </w:r>
    </w:p>
    <w:p>
      <w:pPr>
        <w:spacing w:after="0" w:line="200" w:lineRule="exact"/>
        <w:rPr>
          <w:sz w:val="20"/>
          <w:szCs w:val="20"/>
          <w:color w:val="auto"/>
        </w:rPr>
      </w:pPr>
    </w:p>
    <w:p>
      <w:pPr>
        <w:spacing w:after="0" w:line="201"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7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EXPANSION PROJECTS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described its expansion plans below under the sections entitled “Argentina Expansion”, “Paraguay Expansion”, “Washington Expansion” and “Baie-Comeau Expansion”. The Company’s 2023 ending hashrate target based on current infrastructure construction and Miner delivery schedules is 6.0 EH/s, which is planned to be reached by the end of the third quarter of 2023. As of March 31, 2023, the Company achieved 4.8 EH/s. The Company continues to evaluate opportunities that will expand its infrastructure and Mining hardware to increase the Company’s hashrate, provided such opportunities are accretive based on current macro factors and specific performance.</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estimated costs and timelines to achieve these expansion plans may change based on, among other factors, the prevailing price of BTC, network difficulty, supply and cost of cryptocurrency Mining equipment, the ability to import equipment into countries in a cost-effective manner, the supply of electrical and other supporting infrastructure equipment, the availability of construction materials, currency exchange rates, the impact of geopolitical events or global health related issues including COVID-19 on the supply chains described above, and the Company’s ability to fund its initiatives. The Company’s expansion plans rely on a consistent supply of electricity at cost-effective rates; refer to Section 18 -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w:t>
      </w:r>
      <w:r>
        <w:rPr>
          <w:rFonts w:ascii="Arial" w:cs="Arial" w:eastAsia="Arial" w:hAnsi="Arial"/>
          <w:sz w:val="18"/>
          <w:szCs w:val="18"/>
          <w:i w:val="1"/>
          <w:iCs w:val="1"/>
          <w:color w:val="auto"/>
        </w:rPr>
        <w:t>Economic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Dependence on Regulated Terms of Service and Electricity Rates Risks) </w:t>
      </w:r>
      <w:r>
        <w:rPr>
          <w:rFonts w:ascii="Arial" w:cs="Arial" w:eastAsia="Arial" w:hAnsi="Arial"/>
          <w:sz w:val="18"/>
          <w:szCs w:val="18"/>
          <w:color w:val="auto"/>
        </w:rPr>
        <w:t>of the Company’s MD&amp;A for the year ended December 31, 2022 dated March 20,</w:t>
      </w:r>
      <w:r>
        <w:rPr>
          <w:rFonts w:ascii="Arial" w:cs="Arial" w:eastAsia="Arial" w:hAnsi="Arial"/>
          <w:sz w:val="18"/>
          <w:szCs w:val="18"/>
          <w:i w:val="1"/>
          <w:iCs w:val="1"/>
          <w:color w:val="auto"/>
        </w:rPr>
        <w:t xml:space="preserve"> </w:t>
      </w:r>
      <w:r>
        <w:rPr>
          <w:rFonts w:ascii="Arial" w:cs="Arial" w:eastAsia="Arial" w:hAnsi="Arial"/>
          <w:sz w:val="18"/>
          <w:szCs w:val="18"/>
          <w:color w:val="auto"/>
        </w:rPr>
        <w:t>2023 for further details.</w:t>
      </w:r>
    </w:p>
    <w:p>
      <w:pPr>
        <w:spacing w:after="0" w:line="191"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Argentina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April 2021, the Company entered into an eight-year power purchase agreement for up to 210 MW with a private Argentinian power producer. The agreement establishes that the power producer will effectively supply the Company based on (i) 60% of the drawn electricity at a rate of $0.02 per kilowatt hour for the first four years, not including an additional cost of $0.002 per kilowatt hour for an energy management fee which effectively increases the cost to $0.022 per kilowatt hour, up to a maximum amount of 1,103,760 megawatt hours per year, plus (ii) the remaining electricity supply subject to certain adjustments, variable pricing components and other conditions. The pricing on the remaining four years of the eight-year energy contract will be determined by a formula that is largely dependent on natural gas prices. The agreement also allows for the power producer to renegotiate the rate if the ratio of the exchange rate under the blue-chip swap mechanism used in Argentina to the official exchange rate is less than 1.50. For the last four years of the eight-year power purchase agreement, all of the electricity supply will be based on variable and market-driven pricing components as is the case for the 40% supply as outlined above for the first four years. For further details on the Company’s power purchase agreement, refer to Section 18 -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(Section </w:t>
      </w:r>
      <w:r>
        <w:rPr>
          <w:rFonts w:ascii="Arial" w:cs="Arial" w:eastAsia="Arial" w:hAnsi="Arial"/>
          <w:sz w:val="17"/>
          <w:szCs w:val="17"/>
          <w:i w:val="1"/>
          <w:iCs w:val="1"/>
          <w:color w:val="auto"/>
        </w:rPr>
        <w:t>Economic Dependence on Regulated Terms of Service and Electricity Rates Risks)</w:t>
      </w:r>
      <w:r>
        <w:rPr>
          <w:rFonts w:ascii="Arial" w:cs="Arial" w:eastAsia="Arial" w:hAnsi="Arial"/>
          <w:sz w:val="17"/>
          <w:szCs w:val="17"/>
          <w:color w:val="auto"/>
        </w:rPr>
        <w:t xml:space="preserve"> of the Company’s MD&amp;A for the year ended December 31, 2022 dated March 20, 2023.</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2021, the Company entered into an eight-year lease agreement, comprising annual payments of approximately $0.1 million, with the power producer to lease land within the power producer’s property in Rio Cuarto for the Mining facility’s construction and operation. The lease covers sufficient property area to allow for the construction of warehouses capable of fully drawing up to 210 MW of power.</w:t>
      </w:r>
    </w:p>
    <w:p>
      <w:pPr>
        <w:spacing w:after="0" w:line="400"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8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EXPANSION PROJECTS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Argentina Expansion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Background </w:t>
      </w:r>
      <w:r>
        <w:rPr>
          <w:rFonts w:ascii="Arial" w:cs="Arial" w:eastAsia="Arial" w:hAnsi="Arial"/>
          <w:sz w:val="18"/>
          <w:szCs w:val="18"/>
          <w:color w:val="auto"/>
        </w:rPr>
        <w:t>(Continued)</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September 2021, the Company entered into a contract with </w:t>
      </w:r>
      <w:r>
        <w:rPr>
          <w:rFonts w:ascii="Arial" w:cs="Arial" w:eastAsia="Arial" w:hAnsi="Arial"/>
          <w:sz w:val="17"/>
          <w:szCs w:val="17"/>
          <w:i w:val="1"/>
          <w:iCs w:val="1"/>
          <w:color w:val="auto"/>
        </w:rPr>
        <w:t>Proyectos y Obras Americanas S.A.</w:t>
      </w:r>
      <w:r>
        <w:rPr>
          <w:rFonts w:ascii="Arial" w:cs="Arial" w:eastAsia="Arial" w:hAnsi="Arial"/>
          <w:sz w:val="17"/>
          <w:szCs w:val="17"/>
          <w:color w:val="auto"/>
        </w:rPr>
        <w:t xml:space="preserve"> (“PROA”) to provide engineering, procurement, and construction services for the Company’s facility in Argentina. PROA specializes in utility-grade electrical infrastructure and civil construction with relevant expertise in the design and construction of electrical interconnections, high voltage electrical lines, and transformers needed for operations of the size of the planned Argentina facility. Pursuant to an agreement signed with </w:t>
      </w:r>
      <w:r>
        <w:rPr>
          <w:rFonts w:ascii="Arial" w:cs="Arial" w:eastAsia="Arial" w:hAnsi="Arial"/>
          <w:sz w:val="17"/>
          <w:szCs w:val="17"/>
          <w:i w:val="1"/>
          <w:iCs w:val="1"/>
          <w:color w:val="auto"/>
        </w:rPr>
        <w:t>LPZ Hosting S.A.S</w:t>
      </w:r>
      <w:r>
        <w:rPr>
          <w:rFonts w:ascii="Arial" w:cs="Arial" w:eastAsia="Arial" w:hAnsi="Arial"/>
          <w:sz w:val="17"/>
          <w:szCs w:val="17"/>
          <w:color w:val="auto"/>
        </w:rPr>
        <w:t xml:space="preserve"> (“LPZ”), LPZ is responsible for the detail engineering, purchasing management and execution of louvers, sound and noise system, electric installation, data network installation, air conditioning system, air extraction and filter systems, racks, closed-circuit television “(CCTV)”, fire detection and extinguisher system as well as installation of all low voltage works. </w:t>
      </w:r>
      <w:r>
        <w:rPr>
          <w:rFonts w:ascii="Arial" w:cs="Arial" w:eastAsia="Arial" w:hAnsi="Arial"/>
          <w:sz w:val="17"/>
          <w:szCs w:val="17"/>
          <w:i w:val="1"/>
          <w:iCs w:val="1"/>
          <w:color w:val="auto"/>
        </w:rPr>
        <w:t>Ingenia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Grupo Consultor and Gieco S.A. </w:t>
      </w:r>
      <w:r>
        <w:rPr>
          <w:rFonts w:ascii="Arial" w:cs="Arial" w:eastAsia="Arial" w:hAnsi="Arial"/>
          <w:sz w:val="17"/>
          <w:szCs w:val="17"/>
          <w:color w:val="auto"/>
        </w:rPr>
        <w:t>(“Ingenia”) were retained as a consortium group responsible for the construction of a provisional high voltage power line</w:t>
      </w:r>
      <w:r>
        <w:rPr>
          <w:rFonts w:ascii="Arial" w:cs="Arial" w:eastAsia="Arial" w:hAnsi="Arial"/>
          <w:sz w:val="17"/>
          <w:szCs w:val="17"/>
          <w:i w:val="1"/>
          <w:iCs w:val="1"/>
          <w:color w:val="auto"/>
        </w:rPr>
        <w:t xml:space="preserve"> </w:t>
      </w:r>
      <w:r>
        <w:rPr>
          <w:rFonts w:ascii="Arial" w:cs="Arial" w:eastAsia="Arial" w:hAnsi="Arial"/>
          <w:sz w:val="17"/>
          <w:szCs w:val="17"/>
          <w:color w:val="auto"/>
        </w:rPr>
        <w:t>and transformer station as well as the expansion of the 132 KW public bars of the power plant. Ingenia, under the supervision of LPZ, was also selected to carry out electrical data and CCTV assembly work for the first warehouse. The Company has also engaged Dreicon S.A. to provide some engineering services and to act as an independent engineering firm to oversee construction, quality control and project milestones for the Company’s projected buildout schedule.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facility, if fully developed, is currently designed to comprise of warehouse-style buildings. All warehouses, if built, are expected to be able to accommodate over 55,000 new generation Miners, and be capable of producing approximately 5.5 EH/s. The first warehouse represents approximately 50 MW of incremental infrastructure capacity.</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planned to deploy a significant portion of its order of 48,000 Miners at this facility, with deliveries expected to arrive throughout 2022 and the first six months of 2023. In December 2022, the Company renegotiated its 48,000 unit purchase agreement, extinguishing the outstanding commitment on 18,000 units, contractually valued at $45.4 million, without penalty.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adverse impact of geopolitical events on natural gas prices, as well as new importation restrictions, as detailed below, led the Company to revise the timing to fully utilize the infrastructure built in the first 50 MW warehouse and to reassess the timing of its build-out and deployment of further production facilities at the Rio Cuarto location.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Revised plan announced in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September 2022, 10 MW of the 50 MW of the first warehouse in Argentina became operational. Construction of the first warehouse was completed in November 2022, but has not yet been fully commissioned due to the reasons detailed below.</w:t>
      </w:r>
    </w:p>
    <w:p>
      <w:pPr>
        <w:spacing w:after="0" w:line="200" w:lineRule="exact"/>
        <w:rPr>
          <w:sz w:val="20"/>
          <w:szCs w:val="20"/>
          <w:color w:val="auto"/>
        </w:rPr>
      </w:pPr>
    </w:p>
    <w:p>
      <w:pPr>
        <w:spacing w:after="0" w:line="201"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9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EXPANSION PROJECTS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Argentina Expansion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Revised plan announced in 2022 </w:t>
      </w:r>
      <w:r>
        <w:rPr>
          <w:rFonts w:ascii="Arial" w:cs="Arial" w:eastAsia="Arial" w:hAnsi="Arial"/>
          <w:sz w:val="18"/>
          <w:szCs w:val="18"/>
          <w:color w:val="auto"/>
        </w:rPr>
        <w:t>(Continued)</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October 17, 2022, a new importation system, called Sistema de importaciones de la República Argentina (“SIRA”) replaced the previous one called Sistema integral de monitoreo de importaciones (“SIMI”). The SIRA system puts additional controls on importations into Argentina and limits the outflow of U.S. dollars from the country, resulting in additional restrictions on the importation of crypto Miners and many other categories of equipment. As a result, and for reasons beyond its control, the Company has been unable to import and deploy its Mining fleet in Argentina as originally expected. Additionally, as of March 31, 2023, the private Argentinian power producer was still awaiting approval of its final operation permit to provide power to the Company’s operations. The approval was granted on April 21, 2023. In the interim, the Rio Cuarto facility was drawing power during this start-up and commissioning phase from the provincial electrical utility at a higher cost than the expected contracted cost of power under the agreement with the power producer. The higher cost of electricity during this period also impacted the planned deployment of Miners in the first warehouse.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cost of developing the first two warehouses is currently estimated to range from $55 million to $65 million, including the installed high voltage lines and a substation capable of supplying power to four warehouses and drawing up to 210 MW of electricity. The estimated cost range is net of any expected gains on disposition of marketable securities in connection with the mechanism for funding the Argentina Expansion, as described in section 7 - </w:t>
      </w:r>
      <w:r>
        <w:rPr>
          <w:rFonts w:ascii="Arial" w:cs="Arial" w:eastAsia="Arial" w:hAnsi="Arial"/>
          <w:sz w:val="18"/>
          <w:szCs w:val="18"/>
          <w:i w:val="1"/>
          <w:iCs w:val="1"/>
          <w:color w:val="auto"/>
        </w:rPr>
        <w:t>Net</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income</w:t>
      </w:r>
      <w:r>
        <w:rPr>
          <w:rFonts w:ascii="Arial" w:cs="Arial" w:eastAsia="Arial" w:hAnsi="Arial"/>
          <w:sz w:val="18"/>
          <w:szCs w:val="18"/>
          <w:color w:val="auto"/>
        </w:rPr>
        <w:t>, and excluding importation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update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February 2023, Management elected to postpone the development of a second warehouse until the power permit is obtained by the private Argentinian power producer, the importation limitations are resolved and natural gas prices stabilize at an acceptable level.</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the Company confirmed the receipt of the necessary power permits by the private Argentinian power producer to expand production up to 100 MW at its Argentina facility. The Company completed testing of its Rio Cuarto substation which is now online and capable of delivering 100 MW without further significant capital expenditure.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the Company installed 2,100 new miners that were delivered in March and April 2023. Energizing these miners and ending underclocking of previously installed miners in line with improved economics increased the active capacity to 18 MW and the Company’s operational hashrate to over 5 EH/s.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receipt of the power permit by the private Argentinian power producer enables the Company to commence purchasing low-cost power under its purchase agreement, currently expected to be below $0.03 per kWh as the Company reaches 50MW capacity. The Company expects the cost of BTC mined at this farm to substantially decrease as it actively scales up operations at the first warehouse.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anticipation of the power permit approval, the Company, using credits and cash, purchased over 6,200 new Bitmain and MicroBT miners to fill out an additional 22 MW in the first warehouse. These new miners, when installed, as expected in the third quarter of 2023, are projected to improve the overall w/TH efficiency and generate an additional 1.1 EH/s at the Argentina facility.</w:t>
      </w:r>
    </w:p>
    <w:p>
      <w:pPr>
        <w:spacing w:after="0" w:line="400"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10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EXPANSION PROJECTS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Argentina Expansion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2023 update </w:t>
      </w:r>
      <w:r>
        <w:rPr>
          <w:rFonts w:ascii="Arial" w:cs="Arial" w:eastAsia="Arial" w:hAnsi="Arial"/>
          <w:sz w:val="18"/>
          <w:szCs w:val="18"/>
          <w:color w:val="auto"/>
        </w:rPr>
        <w:t>(Continued)</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currently has a fully built 50 MW farm which is now permitted to draw power under this agreement and has the opportunity to draw 50 MW of additional power under this agreement should it build its second 50 MW facility. The Company also retains the option to build out other facilities to the full contracted amount of 210 MW. Currently, in light of the importation limitations and the adverse impact of recent geopolitical events on natural gas prices, the Company is not yet in a position to determine when or if construction of additional infrastructure will resume or commence.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as of March 31, 2023</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2023, the Company had placed deposits of $4.9 million and $5.9 million with suppliers for existing and additional construction costs and for Blockchain Verification and Validation Equipment and electrical components, respectively. The Company has also acquired $55.8 million of property, plant and equipment, incurred $0.3 million of expenditures relating to design and feasibility studies and recorded cumulative gains on the disposition of marketable securities of $60.0 million associated with the mechanism to convert funds into Argentine Pesos for disbursements.</w:t>
      </w:r>
    </w:p>
    <w:p>
      <w:pPr>
        <w:spacing w:after="0" w:line="172"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Paraguay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December 31, 2021, the Company entered into an annually renewable 10 MW power purchase agreement with the city of Villarrica’s electricity distribution company, Compañía Luz y Fuerza SA (“CLYFSA”), at an effective electricity cost of $0.036 per kilowatt hour. The Company also entered into a five-year lease agreement with another counterparty, beginning August 1, 2021, with monthly payments of $20,000, to lease land at the existing facility. The construction of the facility cost $1.1 million and was completed in December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update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January 2022, the Company’s facility in Paraguay became operational with the installation of 2,900 of the Company’s older generation Miners relocated from Quebec and generated approximately 125 PH/s.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18, 2022, the Paraguayan Congress approved a bill regulating the Mining, trading, intermediation, exchange, transfer, custody and administration of crypto-assets and instruments. The proposed legislation by the Paraguayan Congress aimed to create an attractive regulatory environment within the Country through the establishment of a straightforward licensing regime that clearly established the requirements for operating crypto-assets activities in the Country. On August 30, 2022, the proposed law was vetoed by the President and returned to the Paraguayan Congress to be modified and potentially resubmitted. It is unknown if and when a new law will be approved. The absence of specific law in Paraguay regarding crypto assets has not impacted the Company’s current operations in the country. National elections took place on April 30, 2023. The country’s new President is expected to be inaugurated on August 15, 2023.</w:t>
      </w:r>
    </w:p>
    <w:p>
      <w:pPr>
        <w:spacing w:after="0" w:line="200" w:lineRule="exact"/>
        <w:rPr>
          <w:sz w:val="20"/>
          <w:szCs w:val="20"/>
          <w:color w:val="auto"/>
        </w:rPr>
      </w:pPr>
    </w:p>
    <w:p>
      <w:pPr>
        <w:spacing w:after="0" w:line="211" w:lineRule="exact"/>
        <w:rPr>
          <w:sz w:val="20"/>
          <w:szCs w:val="20"/>
          <w:color w:val="auto"/>
        </w:rPr>
      </w:pPr>
    </w:p>
    <w:p>
      <w:pPr>
        <w:ind w:left="10460"/>
        <w:spacing w:after="0"/>
        <w:rPr>
          <w:sz w:val="20"/>
          <w:szCs w:val="20"/>
          <w:color w:val="auto"/>
        </w:rPr>
      </w:pPr>
      <w:r>
        <w:rPr>
          <w:rFonts w:ascii="Arial" w:cs="Arial" w:eastAsia="Arial" w:hAnsi="Arial"/>
          <w:sz w:val="18"/>
          <w:szCs w:val="18"/>
          <w:color w:val="auto"/>
        </w:rPr>
        <w:t>11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EXPANSION PROJECTS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Paraguay Expansion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2022 update </w:t>
      </w:r>
      <w:r>
        <w:rPr>
          <w:rFonts w:ascii="Arial" w:cs="Arial" w:eastAsia="Arial" w:hAnsi="Arial"/>
          <w:sz w:val="18"/>
          <w:szCs w:val="18"/>
          <w:color w:val="auto"/>
        </w:rPr>
        <w:t>(Continued)</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16, 2022, the executive branch of the Paraguayan government issued decree No. 7824/22 under which the National Electricity Administration (“ANDE”), which is responsible for the distribution and delivery of the majority of electricity in the Country, was requested to adopt complementary and temporary regulatory measures to adjust the variables corresponding to the electricity rates aimed at special intensive consumption sectors, including crypto asset Mining. In response, ANDE established the Special Intensive Consumption Group, which controls the supply of high and medium voltage electricity and imposes rate tariffs in effect until at least December 2027. While the Company’s contract with CLYFSA precludes these tariffs from having any impact on the Company’s current activities, the impact, if any, on the Company’s future operations cannot be determined at this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update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2023, all of the older generation Miners at the Villarrica facility were replaced with approximately 2,900 new M30S Whatsminer Miners generating approximately 290 PH/s, a 165 PH/s increase compared to the hashrate that was being produced by the older generation Miners. During the three months ended March 31, 2023, the Company reached an agreement and sold the older generation Miners to a third party for approximately $0.2 million.</w:t>
      </w:r>
    </w:p>
    <w:p>
      <w:pPr>
        <w:spacing w:after="0" w:line="189"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Washington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9, 2021, the Company completed the acquisition of a facility in Washington State consisting of 12 MW of hydro-electric power purchase agreements, an additional 12 MW of in-process applications for expanded power-purchase agreements, transformers with 17 MW of capacity, land, buildings, electrical distribution equipment and a below market lease arrangement for a 5 MW facility that was set to expire on November 8, 2022.</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closing of the transaction, the Company transferred approximately $23.0 million in cash and 415,000 common shares with a value of $3.7 million on the closing date. The net identifiable assets acquired include electrical distribution equipment valued at $6.0 million, buildings valued at $0.7 million, land valued at $0.1 million and a favorable lease valued at $2.0 million. The acquisition resulted in the Company recording goodwill of $17.9 million, which was determined as of June 30, 2022 to be fully impaired as a result of the decrease in the price of BTC.</w:t>
      </w:r>
    </w:p>
    <w:p>
      <w:pPr>
        <w:spacing w:after="0" w:line="38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12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EXPANSION PROJECTS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Washington Expansion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update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second quarter of 2022, the Company added 3 MW of electrical infrastructure and is currently operating approximately 20 MW of electrical infrastructure with the majority of the Company’s Antminer S19j Pro Miners generating approximately 600 PH/s in this facility. The Company’s power supplier provided a preliminary indication that the next 6 MW of in-process applications were expected to be energized in the second half of 2023 with the remaining 3 MW of in-process applications estimated to be energized after 2027 due to the nearby substation being at capacity. On October 20, 2022, the Company renewed on similar terms the property lease for a period of 23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update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2023, the Company received approval from the power supplier for the next 6 MW which is estimated to be energized in the fourth quarter of 2023. The Company expects to begin constructing another facility starting in June 2023 with an estimated cost of $2.1 million which includes the costs paid to the power supplier for setting up the connection. The Company anticipates relocating miners from other facilities in Washington to the facility once constructed in order to reduce operating expenses.</w:t>
      </w:r>
    </w:p>
    <w:p>
      <w:pPr>
        <w:spacing w:after="0" w:line="18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Baie-Comeau (Canada)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2023, the Company entered into agreements to acquire shares of a Company that owns the right to 22 MW of hydro power capacity in Baie-Comeau, Quebec and lease a site to install the infrastructure to operate the acquired capacity. The 22 MW facility could add over 600 PH/s when in full production. The Baie-Comeau area is home to five hydro-electricity generation facilities with over 5.4 gigawatts of nameplate capacity. Adding reliable hydro power in Quebec is part of the Company’s strategy to cost-effectively expand its operating footprint.</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consideration to be transferred at closing would total $1.8 million, of which $0.7 million is expected to be paid in cash and $1.1 million is expected to be paid in common shares of the Company, the latter subject to regulatory approval and customary and contractual resale restrictions.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lease agreement is for an industrialized site in Baie-Comeau for an initial term of 10 years at $15,000 a month. The proposed lease agreement provides the Company with the option to purchase the site for $2.3 million (CAD$ 3.0 million) throughout the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plan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the closing of the acquisition, the Company plans to keep the development and build-out costs low by utilizing a portion of its hardware credits for miner procurement and applying infrastructure equipment repurposed from the December 2022 sale of the former De La Pointe facility. The Company could bring 11 MW online by the third quarter of 2023 and to commission the remaining 11 MW during the second half of 2024, after local infrastructure improvements have been completed.</w:t>
      </w:r>
    </w:p>
    <w:p>
      <w:pPr>
        <w:spacing w:after="0" w:line="200" w:lineRule="exact"/>
        <w:rPr>
          <w:sz w:val="20"/>
          <w:szCs w:val="20"/>
          <w:color w:val="auto"/>
        </w:rPr>
      </w:pPr>
    </w:p>
    <w:p>
      <w:pPr>
        <w:spacing w:after="0" w:line="209"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13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&amp; Operational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3"/>
              </w:rPr>
              <w:t>Three months ended March 31,</w:t>
            </w:r>
          </w:p>
        </w:tc>
        <w:tc>
          <w:tcPr>
            <w:tcW w:w="1220" w:type="dxa"/>
            <w:vAlign w:val="bottom"/>
            <w:tcBorders>
              <w:bottom w:val="single" w:sz="8" w:color="auto"/>
            </w:tcBorders>
          </w:tcPr>
          <w:p>
            <w:pPr>
              <w:spacing w:after="0"/>
              <w:rPr>
                <w:sz w:val="20"/>
                <w:szCs w:val="20"/>
                <w:color w:val="auto"/>
              </w:rPr>
            </w:pPr>
          </w:p>
        </w:tc>
      </w:tr>
      <w:tr>
        <w:trPr>
          <w:trHeight w:val="209"/>
        </w:trPr>
        <w:tc>
          <w:tcPr>
            <w:tcW w:w="5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(U.S.$ in thousands except where indicated)</w:t>
            </w: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5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3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Revenues</w:t>
            </w:r>
          </w:p>
        </w:tc>
        <w:tc>
          <w:tcPr>
            <w:tcW w:w="1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30,050</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40,329</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(10,279)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Cost of revenues</w:t>
            </w: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38,403</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23,292</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15,111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09"/>
        </w:trPr>
        <w:tc>
          <w:tcPr>
            <w:tcW w:w="53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Gross (loss) profit</w:t>
            </w:r>
          </w:p>
        </w:tc>
        <w:tc>
          <w:tcPr>
            <w:tcW w:w="18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(8,353)</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17,037</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(25,390)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57"/>
        </w:trPr>
        <w:tc>
          <w:tcPr>
            <w:tcW w:w="5380" w:type="dxa"/>
            <w:vAlign w:val="bottom"/>
            <w:tcBorders>
              <w:bottom w:val="single" w:sz="8" w:color="auto"/>
            </w:tcBorders>
          </w:tcPr>
          <w:p>
            <w:pPr>
              <w:ind w:left="60"/>
              <w:spacing w:after="0" w:line="25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9"/>
                <w:szCs w:val="29"/>
                <w:color w:val="auto"/>
                <w:vertAlign w:val="superscript"/>
              </w:rPr>
              <w:t>(1)</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42%</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380" w:type="dxa"/>
            <w:vAlign w:val="bottom"/>
          </w:tcPr>
          <w:p>
            <w:pPr>
              <w:ind w:left="60"/>
              <w:spacing w:after="0"/>
              <w:rPr>
                <w:sz w:val="20"/>
                <w:szCs w:val="20"/>
                <w:color w:val="auto"/>
              </w:rPr>
            </w:pPr>
            <w:r>
              <w:rPr>
                <w:rFonts w:ascii="Arial" w:cs="Arial" w:eastAsia="Arial" w:hAnsi="Arial"/>
                <w:sz w:val="18"/>
                <w:szCs w:val="18"/>
                <w:b w:val="1"/>
                <w:bCs w:val="1"/>
                <w:color w:val="auto"/>
              </w:rPr>
              <w:t>Operating expenses</w:t>
            </w: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8,360</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13,843</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(5,483)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Realized (gain) loss on disposition of digital assets</w:t>
            </w: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rPr>
              <w:t>(587)</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(621)</w:t>
            </w:r>
          </w:p>
        </w:tc>
        <w:tc>
          <w:tcPr>
            <w:tcW w:w="1220" w:type="dxa"/>
            <w:vAlign w:val="bottom"/>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Reversal of revaluation loss on digital assets</w:t>
            </w:r>
          </w:p>
        </w:tc>
        <w:tc>
          <w:tcPr>
            <w:tcW w:w="18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(2,695)</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(3,702)</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Loss (gain) on disposition of property, plant and equipment</w:t>
            </w: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1,566</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1,578</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209"/>
        </w:trPr>
        <w:tc>
          <w:tcPr>
            <w:tcW w:w="5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Operating (loss) income</w:t>
            </w:r>
          </w:p>
        </w:tc>
        <w:tc>
          <w:tcPr>
            <w:tcW w:w="1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(14,997)</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6,874</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(21,871)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63"/>
        </w:trPr>
        <w:tc>
          <w:tcPr>
            <w:tcW w:w="5380" w:type="dxa"/>
            <w:vAlign w:val="bottom"/>
            <w:tcBorders>
              <w:bottom w:val="single" w:sz="8" w:color="auto"/>
            </w:tcBorders>
          </w:tcPr>
          <w:p>
            <w:pPr>
              <w:ind w:left="60"/>
              <w:spacing w:after="0" w:line="263" w:lineRule="exact"/>
              <w:rPr>
                <w:sz w:val="20"/>
                <w:szCs w:val="20"/>
                <w:color w:val="auto"/>
              </w:rPr>
            </w:pPr>
            <w:r>
              <w:rPr>
                <w:rFonts w:ascii="Arial" w:cs="Arial" w:eastAsia="Arial" w:hAnsi="Arial"/>
                <w:sz w:val="18"/>
                <w:szCs w:val="18"/>
                <w:color w:val="auto"/>
              </w:rPr>
              <w:t xml:space="preserve">Operating margin </w:t>
            </w:r>
            <w:r>
              <w:rPr>
                <w:rFonts w:ascii="Arial" w:cs="Arial" w:eastAsia="Arial" w:hAnsi="Arial"/>
                <w:sz w:val="29"/>
                <w:szCs w:val="29"/>
                <w:color w:val="auto"/>
                <w:vertAlign w:val="superscript"/>
              </w:rPr>
              <w:t>(1)</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Net financial income</w:t>
            </w:r>
          </w:p>
        </w:tc>
        <w:tc>
          <w:tcPr>
            <w:tcW w:w="1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(12,188)</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(4,083)</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(8,105)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09"/>
        </w:trPr>
        <w:tc>
          <w:tcPr>
            <w:tcW w:w="53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Net (loss) income before income taxes</w:t>
            </w:r>
          </w:p>
        </w:tc>
        <w:tc>
          <w:tcPr>
            <w:tcW w:w="1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(2,809)</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10,957</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(13,766)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09"/>
        </w:trPr>
        <w:tc>
          <w:tcPr>
            <w:tcW w:w="5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Income tax (recovery) expense</w:t>
            </w:r>
          </w:p>
        </w:tc>
        <w:tc>
          <w:tcPr>
            <w:tcW w:w="1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(330)</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6,438</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(6,768)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7"/>
        </w:trPr>
        <w:tc>
          <w:tcPr>
            <w:tcW w:w="53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Net (loss) income</w:t>
            </w:r>
          </w:p>
        </w:tc>
        <w:tc>
          <w:tcPr>
            <w:tcW w:w="1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(2,479)</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4,519</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(6,998)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5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380" w:type="dxa"/>
            <w:vAlign w:val="bottom"/>
          </w:tcPr>
          <w:p>
            <w:pPr>
              <w:ind w:left="60"/>
              <w:spacing w:after="0"/>
              <w:rPr>
                <w:sz w:val="20"/>
                <w:szCs w:val="20"/>
                <w:color w:val="auto"/>
              </w:rPr>
            </w:pPr>
            <w:r>
              <w:rPr>
                <w:rFonts w:ascii="Arial" w:cs="Arial" w:eastAsia="Arial" w:hAnsi="Arial"/>
                <w:sz w:val="18"/>
                <w:szCs w:val="18"/>
                <w:color w:val="auto"/>
              </w:rPr>
              <w:t>Basic (loss) earnings per share (in U.S. dollars)</w:t>
            </w: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rPr>
              <w:t>(0.01)</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0.02</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Diluted (loss) earnings per share (in U.S. dollars)</w:t>
            </w:r>
          </w:p>
        </w:tc>
        <w:tc>
          <w:tcPr>
            <w:tcW w:w="1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(0.01)</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0.02</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Change in revaluation surplus - digital assets, net of tax</w:t>
            </w: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1,225</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comprehensive (loss) income, net of tax</w:t>
            </w:r>
          </w:p>
        </w:tc>
        <w:tc>
          <w:tcPr>
            <w:tcW w:w="1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(1,254)</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4,519</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(5,773)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5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5380" w:type="dxa"/>
            <w:vAlign w:val="bottom"/>
            <w:shd w:val="clear" w:color="auto" w:fill="CCEEFF"/>
          </w:tcPr>
          <w:p>
            <w:pPr>
              <w:ind w:left="60"/>
              <w:spacing w:after="0" w:line="256"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(1)</w:t>
            </w:r>
          </w:p>
        </w:tc>
        <w:tc>
          <w:tcPr>
            <w:tcW w:w="1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12,185</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30,140</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(17,955)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5380" w:type="dxa"/>
            <w:vAlign w:val="bottom"/>
          </w:tcPr>
          <w:p>
            <w:pPr>
              <w:ind w:left="60"/>
              <w:spacing w:after="0" w:line="270"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1840" w:type="dxa"/>
            <w:vAlign w:val="bottom"/>
          </w:tcPr>
          <w:p>
            <w:pPr>
              <w:jc w:val="right"/>
              <w:ind w:right="50"/>
              <w:spacing w:after="0"/>
              <w:rPr>
                <w:sz w:val="20"/>
                <w:szCs w:val="20"/>
                <w:color w:val="auto"/>
              </w:rPr>
            </w:pPr>
            <w:r>
              <w:rPr>
                <w:rFonts w:ascii="Arial" w:cs="Arial" w:eastAsia="Arial" w:hAnsi="Arial"/>
                <w:sz w:val="18"/>
                <w:szCs w:val="18"/>
                <w:b w:val="1"/>
                <w:bCs w:val="1"/>
                <w:color w:val="auto"/>
              </w:rPr>
              <w:t>42%</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76%</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5380" w:type="dxa"/>
            <w:vAlign w:val="bottom"/>
            <w:shd w:val="clear" w:color="auto" w:fill="CCEEFF"/>
          </w:tcPr>
          <w:p>
            <w:pPr>
              <w:ind w:left="60"/>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19,511</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27,033</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(7,522)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5380" w:type="dxa"/>
            <w:vAlign w:val="bottom"/>
          </w:tcPr>
          <w:p>
            <w:pPr>
              <w:ind w:left="60"/>
              <w:spacing w:after="0" w:line="270"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840" w:type="dxa"/>
            <w:vAlign w:val="bottom"/>
          </w:tcPr>
          <w:p>
            <w:pPr>
              <w:jc w:val="right"/>
              <w:ind w:right="50"/>
              <w:spacing w:after="0"/>
              <w:rPr>
                <w:sz w:val="20"/>
                <w:szCs w:val="20"/>
                <w:color w:val="auto"/>
              </w:rPr>
            </w:pPr>
            <w:r>
              <w:rPr>
                <w:rFonts w:ascii="Arial" w:cs="Arial" w:eastAsia="Arial" w:hAnsi="Arial"/>
                <w:sz w:val="18"/>
                <w:szCs w:val="18"/>
                <w:b w:val="1"/>
                <w:bCs w:val="1"/>
                <w:color w:val="auto"/>
              </w:rPr>
              <w:t>65%</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67%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6"/>
        </w:trPr>
        <w:tc>
          <w:tcPr>
            <w:tcW w:w="5380" w:type="dxa"/>
            <w:vAlign w:val="bottom"/>
            <w:shd w:val="clear" w:color="auto" w:fill="CCEEFF"/>
          </w:tcPr>
          <w:p>
            <w:pPr>
              <w:ind w:left="60"/>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6,334</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21,440</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(15,106)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77"/>
        </w:trPr>
        <w:tc>
          <w:tcPr>
            <w:tcW w:w="5380" w:type="dxa"/>
            <w:vAlign w:val="bottom"/>
            <w:tcBorders>
              <w:bottom w:val="single" w:sz="8" w:color="auto"/>
            </w:tcBorders>
          </w:tcPr>
          <w:p>
            <w:pPr>
              <w:ind w:left="60"/>
              <w:spacing w:after="0" w:line="27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53%</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1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4" w:lineRule="exact"/>
        <w:rPr>
          <w:sz w:val="20"/>
          <w:szCs w:val="20"/>
          <w:color w:val="auto"/>
        </w:rPr>
      </w:pPr>
    </w:p>
    <w:p>
      <w:pPr>
        <w:ind w:left="340" w:hanging="332"/>
        <w:spacing w:after="0" w:line="194" w:lineRule="auto"/>
        <w:tabs>
          <w:tab w:leader="none" w:pos="34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 xml:space="preserve">Gross margin, Operating margin, Gross Mining profit, Gross Mining margin, EBITDA, EBITDA margin, Adjusted EBITDA and Adjusted EBITDA margin, are non-IFRS financial measures or ratios; refer to Section 9 - </w:t>
      </w:r>
      <w:r>
        <w:rPr>
          <w:rFonts w:ascii="Arial" w:cs="Arial" w:eastAsia="Arial" w:hAnsi="Arial"/>
          <w:sz w:val="18"/>
          <w:szCs w:val="18"/>
          <w:i w:val="1"/>
          <w:iCs w:val="1"/>
          <w:color w:val="auto"/>
        </w:rPr>
        <w:t>Non-IFRS Financial Measures and Ratios</w:t>
      </w:r>
      <w:r>
        <w:rPr>
          <w:rFonts w:ascii="Arial" w:cs="Arial" w:eastAsia="Arial" w:hAnsi="Arial"/>
          <w:sz w:val="18"/>
          <w:szCs w:val="18"/>
          <w:color w:val="auto"/>
        </w:rPr>
        <w:t xml:space="preserve"> of this MD&amp;A.</w:t>
      </w:r>
    </w:p>
    <w:p>
      <w:pPr>
        <w:spacing w:after="0" w:line="200" w:lineRule="exact"/>
        <w:rPr>
          <w:sz w:val="20"/>
          <w:szCs w:val="20"/>
          <w:color w:val="auto"/>
        </w:rPr>
      </w:pPr>
    </w:p>
    <w:p>
      <w:pPr>
        <w:spacing w:after="0" w:line="21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14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Q1 2023 v. Q1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were $30.1 million in Q1 2023 compared to $40.3 million in Q1 2022, a decrease of $10.3 million, or 25%.</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most significant factors impacting the decrease in Bitfarms’ revenues in Q1 2023, compared to Q1 2022, are presented in the table below. Revenues decreased mostly due to the decrease in average BTC price, partially offset by the increase in Bitfarms’ hashrate in excess of the increase in network difficulty.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(U.S. $ in thousands except where indicated)</w:t>
            </w: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Note</w:t>
            </w:r>
          </w:p>
        </w:tc>
        <w:tc>
          <w:tcPr>
            <w:tcW w:w="12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BTC</w:t>
            </w: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(USD)</w:t>
            </w: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6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Revenues, including Volta, for the three months ended March 31, 2022</w:t>
            </w:r>
          </w:p>
        </w:tc>
        <w:tc>
          <w:tcPr>
            <w:tcW w:w="1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961</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40,329</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195"/>
        </w:trPr>
        <w:tc>
          <w:tcPr>
            <w:tcW w:w="6180" w:type="dxa"/>
            <w:vAlign w:val="bottom"/>
          </w:tcPr>
          <w:p>
            <w:pPr>
              <w:ind w:left="60"/>
              <w:spacing w:after="0" w:line="195" w:lineRule="exact"/>
              <w:rPr>
                <w:sz w:val="20"/>
                <w:szCs w:val="20"/>
                <w:color w:val="auto"/>
              </w:rPr>
            </w:pPr>
            <w:r>
              <w:rPr>
                <w:rFonts w:ascii="Arial" w:cs="Arial" w:eastAsia="Arial" w:hAnsi="Arial"/>
                <w:sz w:val="18"/>
                <w:szCs w:val="18"/>
                <w:color w:val="auto"/>
                <w:w w:val="96"/>
              </w:rPr>
              <w:t>Impact of increase in average Bitfarms’ BTC hashrate in excess of the increase</w:t>
            </w: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6180" w:type="dxa"/>
            <w:vAlign w:val="bottom"/>
          </w:tcPr>
          <w:p>
            <w:pPr>
              <w:ind w:left="60"/>
              <w:spacing w:after="0"/>
              <w:rPr>
                <w:sz w:val="20"/>
                <w:szCs w:val="20"/>
                <w:color w:val="auto"/>
              </w:rPr>
            </w:pPr>
            <w:r>
              <w:rPr>
                <w:rFonts w:ascii="Arial" w:cs="Arial" w:eastAsia="Arial" w:hAnsi="Arial"/>
                <w:sz w:val="18"/>
                <w:szCs w:val="18"/>
                <w:color w:val="auto"/>
              </w:rPr>
              <w:t>in network difficulty during Q1 2023 as compared to Q1 2022</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336</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13,891</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02"/>
        </w:trPr>
        <w:tc>
          <w:tcPr>
            <w:tcW w:w="6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Impact of difference in average BTC price in Q1 2023 as compared to Q1</w:t>
            </w:r>
          </w:p>
        </w:tc>
        <w:tc>
          <w:tcPr>
            <w:tcW w:w="1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6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(24,376)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 Mining variance and change in Volta</w:t>
            </w:r>
          </w:p>
        </w:tc>
        <w:tc>
          <w:tcPr>
            <w:tcW w:w="1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206</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17"/>
        </w:trPr>
        <w:tc>
          <w:tcPr>
            <w:tcW w:w="6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Revenues for the three months ended March 31, 2023</w:t>
            </w:r>
          </w:p>
        </w:tc>
        <w:tc>
          <w:tcPr>
            <w:tcW w:w="1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1,297</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30,050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r>
    </w:tbl>
    <w:p>
      <w:pPr>
        <w:spacing w:after="0" w:line="25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00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57" w:lineRule="exact"/>
        <w:rPr>
          <w:sz w:val="20"/>
          <w:szCs w:val="20"/>
          <w:color w:val="auto"/>
        </w:rPr>
      </w:pPr>
    </w:p>
    <w:p>
      <w:pPr>
        <w:ind w:left="560" w:hanging="316"/>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Calculated as the difference in BTC mined in Q1 2023 compared to Q1 2022 multiplied by Q1 2022 average BTC price</w:t>
      </w:r>
    </w:p>
    <w:p>
      <w:pPr>
        <w:spacing w:after="0" w:line="90" w:lineRule="exact"/>
        <w:rPr>
          <w:sz w:val="20"/>
          <w:szCs w:val="20"/>
          <w:color w:val="auto"/>
        </w:rPr>
      </w:pPr>
    </w:p>
    <w:p>
      <w:pPr>
        <w:ind w:left="560" w:hanging="316"/>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Calculated as the difference in average BTC price in Q1 2023 compared to Q1 2022 multiplied by BTC mined in Q1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revenues by country: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7"/>
              </w:rPr>
              <w:t>Three months ended March 31,</w:t>
            </w:r>
          </w:p>
        </w:tc>
        <w:tc>
          <w:tcPr>
            <w:tcW w:w="1220" w:type="dxa"/>
            <w:vAlign w:val="bottom"/>
            <w:tcBorders>
              <w:bottom w:val="single" w:sz="8" w:color="auto"/>
            </w:tcBorders>
          </w:tcPr>
          <w:p>
            <w:pPr>
              <w:spacing w:after="0"/>
              <w:rPr>
                <w:sz w:val="18"/>
                <w:szCs w:val="18"/>
                <w:color w:val="auto"/>
              </w:rPr>
            </w:pPr>
          </w:p>
        </w:tc>
      </w:tr>
      <w:tr>
        <w:trPr>
          <w:trHeight w:val="210"/>
        </w:trPr>
        <w:tc>
          <w:tcPr>
            <w:tcW w:w="4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(U.S.$ in thousands except where indicated)</w:t>
            </w:r>
          </w:p>
        </w:tc>
        <w:tc>
          <w:tcPr>
            <w:tcW w:w="2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09"/>
        </w:trPr>
        <w:tc>
          <w:tcPr>
            <w:tcW w:w="4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Canada</w:t>
            </w:r>
          </w:p>
        </w:tc>
        <w:tc>
          <w:tcPr>
            <w:tcW w:w="2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23,489</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29,926</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(6,437)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880" w:type="dxa"/>
            <w:vAlign w:val="bottom"/>
          </w:tcPr>
          <w:p>
            <w:pPr>
              <w:ind w:left="60"/>
              <w:spacing w:after="0"/>
              <w:rPr>
                <w:sz w:val="20"/>
                <w:szCs w:val="20"/>
                <w:color w:val="auto"/>
              </w:rPr>
            </w:pPr>
            <w:r>
              <w:rPr>
                <w:rFonts w:ascii="Arial" w:cs="Arial" w:eastAsia="Arial" w:hAnsi="Arial"/>
                <w:sz w:val="18"/>
                <w:szCs w:val="18"/>
                <w:color w:val="auto"/>
              </w:rPr>
              <w:t>USA</w:t>
            </w:r>
          </w:p>
        </w:tc>
        <w:tc>
          <w:tcPr>
            <w:tcW w:w="2300" w:type="dxa"/>
            <w:vAlign w:val="bottom"/>
          </w:tcPr>
          <w:p>
            <w:pPr>
              <w:jc w:val="right"/>
              <w:ind w:right="70"/>
              <w:spacing w:after="0"/>
              <w:rPr>
                <w:sz w:val="20"/>
                <w:szCs w:val="20"/>
                <w:color w:val="auto"/>
              </w:rPr>
            </w:pPr>
            <w:r>
              <w:rPr>
                <w:rFonts w:ascii="Arial" w:cs="Arial" w:eastAsia="Arial" w:hAnsi="Arial"/>
                <w:sz w:val="18"/>
                <w:szCs w:val="18"/>
                <w:b w:val="1"/>
                <w:bCs w:val="1"/>
                <w:color w:val="auto"/>
              </w:rPr>
              <w:t>3,891</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9,805</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(5,914)</w:t>
            </w: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Argentina</w:t>
            </w:r>
          </w:p>
        </w:tc>
        <w:tc>
          <w:tcPr>
            <w:tcW w:w="2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1,296</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1,296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Paraguay</w:t>
            </w:r>
          </w:p>
        </w:tc>
        <w:tc>
          <w:tcPr>
            <w:tcW w:w="2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1,374</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598</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776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488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30,050</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40,329</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(10,279)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its higher proportion of production capacity, the decrease of $10.3 million in revenues mainly reflects a decrease of $6.4 million in Canada. Revenues from the Company’s Canadian operations were $23.5 million during Q1 2023 compared to $29.9 million in Q1 2022. US-based revenues decreased by $5.9 million from the Company’s Washington operations in Q1 2023 when compared to the same period in the previous year. Paraguay and Argentina revenues were $1.4 million and $1.3 million in Q1 2023, respectively, compared to $0.6 million and nil in Q1 2022, respectively.</w:t>
      </w:r>
    </w:p>
    <w:p>
      <w:pPr>
        <w:spacing w:after="0" w:line="38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15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tc>
        <w:tc>
          <w:tcPr>
            <w:tcW w:w="2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B.</w:t>
            </w:r>
          </w:p>
        </w:tc>
        <w:tc>
          <w:tcPr>
            <w:tcW w:w="4640" w:type="dxa"/>
            <w:vAlign w:val="bottom"/>
          </w:tcPr>
          <w:p>
            <w:pPr>
              <w:ind w:left="240"/>
              <w:spacing w:after="0"/>
              <w:rPr>
                <w:sz w:val="20"/>
                <w:szCs w:val="20"/>
                <w:color w:val="auto"/>
              </w:rPr>
            </w:pPr>
            <w:r>
              <w:rPr>
                <w:rFonts w:ascii="Arial" w:cs="Arial" w:eastAsia="Arial" w:hAnsi="Arial"/>
                <w:sz w:val="18"/>
                <w:szCs w:val="18"/>
                <w:b w:val="1"/>
                <w:bCs w:val="1"/>
                <w:color w:val="auto"/>
              </w:rPr>
              <w:t>Cost of Revenues</w:t>
            </w:r>
          </w:p>
        </w:tc>
        <w:tc>
          <w:tcPr>
            <w:tcW w:w="2160" w:type="dxa"/>
            <w:vAlign w:val="bottom"/>
          </w:tcPr>
          <w:p>
            <w:pPr>
              <w:spacing w:after="0"/>
              <w:rPr>
                <w:sz w:val="24"/>
                <w:szCs w:val="24"/>
                <w:color w:val="auto"/>
              </w:rPr>
            </w:pPr>
          </w:p>
        </w:tc>
        <w:tc>
          <w:tcPr>
            <w:tcW w:w="284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w w:val="96"/>
              </w:rPr>
              <w:t>Three months ended March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vMerge w:val="continue"/>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(U.S.$ in thousands except where indicated)</w:t>
            </w:r>
          </w:p>
        </w:tc>
        <w:tc>
          <w:tcPr>
            <w:tcW w:w="2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0"/>
        </w:trPr>
        <w:tc>
          <w:tcPr>
            <w:tcW w:w="5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Energy and infrastructure</w:t>
            </w:r>
          </w:p>
        </w:tc>
        <w:tc>
          <w:tcPr>
            <w:tcW w:w="21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17,027</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9,590</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7,437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060" w:type="dxa"/>
            <w:vAlign w:val="bottom"/>
            <w:gridSpan w:val="2"/>
          </w:tcPr>
          <w:p>
            <w:pPr>
              <w:ind w:left="60"/>
              <w:spacing w:after="0"/>
              <w:rPr>
                <w:sz w:val="20"/>
                <w:szCs w:val="20"/>
                <w:color w:val="auto"/>
              </w:rPr>
            </w:pPr>
            <w:r>
              <w:rPr>
                <w:rFonts w:ascii="Arial" w:cs="Arial" w:eastAsia="Arial" w:hAnsi="Arial"/>
                <w:sz w:val="18"/>
                <w:szCs w:val="18"/>
                <w:color w:val="auto"/>
              </w:rPr>
              <w:t>Depreciation and amortization</w:t>
            </w:r>
          </w:p>
        </w:tc>
        <w:tc>
          <w:tcPr>
            <w:tcW w:w="2160" w:type="dxa"/>
            <w:vAlign w:val="bottom"/>
          </w:tcPr>
          <w:p>
            <w:pPr>
              <w:jc w:val="right"/>
              <w:ind w:right="70"/>
              <w:spacing w:after="0"/>
              <w:rPr>
                <w:sz w:val="20"/>
                <w:szCs w:val="20"/>
                <w:color w:val="auto"/>
              </w:rPr>
            </w:pPr>
            <w:r>
              <w:rPr>
                <w:rFonts w:ascii="Arial" w:cs="Arial" w:eastAsia="Arial" w:hAnsi="Arial"/>
                <w:sz w:val="18"/>
                <w:szCs w:val="18"/>
                <w:b w:val="1"/>
                <w:bCs w:val="1"/>
                <w:color w:val="auto"/>
              </w:rPr>
              <w:t>20,700</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13,066</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7,634</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Purchases of electrical components</w:t>
            </w:r>
          </w:p>
        </w:tc>
        <w:tc>
          <w:tcPr>
            <w:tcW w:w="21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320</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307</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Electrician salaries and payroll taxes</w:t>
            </w:r>
          </w:p>
        </w:tc>
        <w:tc>
          <w:tcPr>
            <w:tcW w:w="2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356</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329</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420" w:type="dxa"/>
            <w:vAlign w:val="bottom"/>
            <w:tcBorders>
              <w:bottom w:val="single" w:sz="8" w:color="auto"/>
            </w:tcBorders>
            <w:shd w:val="clear" w:color="auto" w:fill="CCEEFF"/>
          </w:tcPr>
          <w:p>
            <w:pPr>
              <w:spacing w:after="0"/>
              <w:rPr>
                <w:sz w:val="18"/>
                <w:szCs w:val="18"/>
                <w:color w:val="auto"/>
              </w:rPr>
            </w:pPr>
          </w:p>
        </w:tc>
        <w:tc>
          <w:tcPr>
            <w:tcW w:w="464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38,403</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23,292</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15,111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Q1 2023 v. Q1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Bitfarms’ cost of revenues for Q1 2023 was $38.4 million compared to $23.3 million for Q1 2022. The increase in cost of revenues was mainly attributable to:</w:t>
      </w:r>
    </w:p>
    <w:p>
      <w:pPr>
        <w:spacing w:after="0" w:line="170" w:lineRule="exact"/>
        <w:rPr>
          <w:sz w:val="20"/>
          <w:szCs w:val="20"/>
          <w:color w:val="auto"/>
        </w:rPr>
      </w:pPr>
    </w:p>
    <w:p>
      <w:pPr>
        <w:jc w:val="both"/>
        <w:ind w:left="340" w:hanging="332"/>
        <w:spacing w:after="0" w:line="25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$7.4 million, or 78%, increase in energy and infrastructure expenses, mainly due to the Company adding new Miners, which increased energy utilization to an average of 170 MW during Q1 2023 versus 94 MW for the same period in 2022, resulting in an increase in electricity costs of $7.8 million. The availability and pricing of energy may be negatively affected by governmental or regulatory changes in energy policies in the countries and provinces where the Company operates.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$7.6 million increase in depreciation and amortization expense as the Company added new Miners and electrical infrastructure.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decrease in rent expense of $0.2 million mainly due to the capitalization of the leased Washington facility which was renewed in Q4 2022.</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in repairs and maintenance of $0.2 million.</w:t>
      </w:r>
    </w:p>
    <w:p>
      <w:pPr>
        <w:spacing w:after="0" w:line="200" w:lineRule="exact"/>
        <w:rPr>
          <w:sz w:val="20"/>
          <w:szCs w:val="20"/>
          <w:color w:val="auto"/>
        </w:rPr>
      </w:pPr>
    </w:p>
    <w:p>
      <w:pPr>
        <w:spacing w:after="0" w:line="25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16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General &amp;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6"/>
              </w:rPr>
              <w:t>Three months ended March 31,</w:t>
            </w:r>
          </w:p>
        </w:tc>
        <w:tc>
          <w:tcPr>
            <w:tcW w:w="1220" w:type="dxa"/>
            <w:vAlign w:val="bottom"/>
            <w:tcBorders>
              <w:bottom w:val="single" w:sz="8" w:color="auto"/>
            </w:tcBorders>
          </w:tcPr>
          <w:p>
            <w:pPr>
              <w:spacing w:after="0"/>
              <w:rPr>
                <w:sz w:val="20"/>
                <w:szCs w:val="20"/>
                <w:color w:val="auto"/>
              </w:rPr>
            </w:pPr>
          </w:p>
        </w:tc>
      </w:tr>
      <w:tr>
        <w:trPr>
          <w:trHeight w:val="209"/>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(U.S.$ in thousands except where indicated)</w:t>
            </w:r>
          </w:p>
        </w:tc>
        <w:tc>
          <w:tcPr>
            <w:tcW w:w="2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Salaries and share based payment</w:t>
            </w:r>
          </w:p>
        </w:tc>
        <w:tc>
          <w:tcPr>
            <w:tcW w:w="2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5,157</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7,660</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(2,503)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920" w:type="dxa"/>
            <w:vAlign w:val="bottom"/>
          </w:tcPr>
          <w:p>
            <w:pPr>
              <w:ind w:left="60"/>
              <w:spacing w:after="0"/>
              <w:rPr>
                <w:sz w:val="20"/>
                <w:szCs w:val="20"/>
                <w:color w:val="auto"/>
              </w:rPr>
            </w:pPr>
            <w:r>
              <w:rPr>
                <w:rFonts w:ascii="Arial" w:cs="Arial" w:eastAsia="Arial" w:hAnsi="Arial"/>
                <w:sz w:val="18"/>
                <w:szCs w:val="18"/>
                <w:color w:val="auto"/>
              </w:rPr>
              <w:t>Professional services</w:t>
            </w:r>
          </w:p>
        </w:tc>
        <w:tc>
          <w:tcPr>
            <w:tcW w:w="2280" w:type="dxa"/>
            <w:vAlign w:val="bottom"/>
          </w:tcPr>
          <w:p>
            <w:pPr>
              <w:jc w:val="right"/>
              <w:ind w:right="90"/>
              <w:spacing w:after="0"/>
              <w:rPr>
                <w:sz w:val="20"/>
                <w:szCs w:val="20"/>
                <w:color w:val="auto"/>
              </w:rPr>
            </w:pPr>
            <w:r>
              <w:rPr>
                <w:rFonts w:ascii="Arial" w:cs="Arial" w:eastAsia="Arial" w:hAnsi="Arial"/>
                <w:sz w:val="18"/>
                <w:szCs w:val="18"/>
                <w:b w:val="1"/>
                <w:bCs w:val="1"/>
                <w:color w:val="auto"/>
              </w:rPr>
              <w:t>1,878</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2,123</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(245)</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Advertising and promotion</w:t>
            </w:r>
          </w:p>
        </w:tc>
        <w:tc>
          <w:tcPr>
            <w:tcW w:w="2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81</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920" w:type="dxa"/>
            <w:vAlign w:val="bottom"/>
          </w:tcPr>
          <w:p>
            <w:pPr>
              <w:ind w:left="60"/>
              <w:spacing w:after="0"/>
              <w:rPr>
                <w:sz w:val="20"/>
                <w:szCs w:val="20"/>
                <w:color w:val="auto"/>
              </w:rPr>
            </w:pPr>
            <w:r>
              <w:rPr>
                <w:rFonts w:ascii="Arial" w:cs="Arial" w:eastAsia="Arial" w:hAnsi="Arial"/>
                <w:sz w:val="18"/>
                <w:szCs w:val="18"/>
                <w:color w:val="auto"/>
              </w:rPr>
              <w:t>Insurance, duties and other</w:t>
            </w:r>
          </w:p>
        </w:tc>
        <w:tc>
          <w:tcPr>
            <w:tcW w:w="2280" w:type="dxa"/>
            <w:vAlign w:val="bottom"/>
          </w:tcPr>
          <w:p>
            <w:pPr>
              <w:jc w:val="right"/>
              <w:ind w:right="90"/>
              <w:spacing w:after="0"/>
              <w:rPr>
                <w:sz w:val="20"/>
                <w:szCs w:val="20"/>
                <w:color w:val="auto"/>
              </w:rPr>
            </w:pPr>
            <w:r>
              <w:rPr>
                <w:rFonts w:ascii="Arial" w:cs="Arial" w:eastAsia="Arial" w:hAnsi="Arial"/>
                <w:sz w:val="18"/>
                <w:szCs w:val="18"/>
                <w:b w:val="1"/>
                <w:bCs w:val="1"/>
                <w:color w:val="auto"/>
              </w:rPr>
              <w:t>974</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3,565</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(2,591)</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Travel, motor vehicle and meals</w:t>
            </w:r>
          </w:p>
        </w:tc>
        <w:tc>
          <w:tcPr>
            <w:tcW w:w="2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178</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315</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Hosting and telecommunications</w:t>
            </w:r>
          </w:p>
        </w:tc>
        <w:tc>
          <w:tcPr>
            <w:tcW w:w="2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92</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130</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9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8,360</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13,843</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(5,483)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Q1 2023 v. Q1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Bitfarms’ general and administrative (“G&amp;A”) expenses were $8.4 million in Q1 2023 compared to $13.8 million for Q1 2022. The decrease of $5.5 million, or 39%, in G&amp;A expense was largely due to:</w:t>
      </w:r>
    </w:p>
    <w:p>
      <w:pPr>
        <w:spacing w:after="0" w:line="170"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$3.6 million decrease in non-cash share-based payment expense in connection with:</w:t>
      </w:r>
    </w:p>
    <w:p>
      <w:pPr>
        <w:spacing w:after="0" w:line="23" w:lineRule="exact"/>
        <w:rPr>
          <w:rFonts w:ascii="Arial" w:cs="Arial" w:eastAsia="Arial" w:hAnsi="Arial"/>
          <w:sz w:val="18"/>
          <w:szCs w:val="18"/>
          <w:color w:val="auto"/>
        </w:rPr>
      </w:pPr>
    </w:p>
    <w:p>
      <w:pPr>
        <w:ind w:left="900" w:hanging="244"/>
        <w:spacing w:after="0" w:line="265" w:lineRule="auto"/>
        <w:tabs>
          <w:tab w:leader="none" w:pos="9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Stock options granted in 2021 with a fair market value between $3.16 to $5.97 had a higher share-based payment expense in Q1 2022 than Q1 2023 due to the graded vesting method, which resulted in an accelerated recognition of share-based expense in earlier periods.</w:t>
      </w:r>
    </w:p>
    <w:p>
      <w:pPr>
        <w:ind w:left="900" w:hanging="244"/>
        <w:spacing w:after="0"/>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Company not granting any stock options during Q1 2023 compared to granting 120,000 stock options for the same period in Q1 2022.</w:t>
      </w:r>
    </w:p>
    <w:p>
      <w:pPr>
        <w:spacing w:after="0" w:line="32" w:lineRule="exact"/>
        <w:rPr>
          <w:rFonts w:ascii="Arial" w:cs="Arial" w:eastAsia="Arial" w:hAnsi="Arial"/>
          <w:sz w:val="16"/>
          <w:szCs w:val="16"/>
          <w:color w:val="auto"/>
        </w:rPr>
      </w:pPr>
    </w:p>
    <w:p>
      <w:pPr>
        <w:ind w:left="900" w:hanging="244"/>
        <w:spacing w:after="0" w:line="250" w:lineRule="auto"/>
        <w:tabs>
          <w:tab w:leader="none" w:pos="90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This is partially offset by the cancellation of 10,535,000 options, which resulted in accelerated share-based payment expense of $0.9 million during Q1 2023. Refer to Note 18 to the Financial Statements for more details.</w:t>
      </w:r>
    </w:p>
    <w:p>
      <w:pPr>
        <w:ind w:left="260" w:hanging="252"/>
        <w:spacing w:after="0" w:line="250" w:lineRule="auto"/>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inclusion of $1.8 million of shipping costs and duties in Q1 2022 from transferring older generation Miners from Canada to Paraguay which did not occur in Q1 2023.</w:t>
      </w: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$0.2 million decrease in the Company’s insurance expense mostly due to refunds from insurers after reviewing the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260" w:hanging="252"/>
        <w:spacing w:after="0" w:line="260" w:lineRule="auto"/>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$1.1 million increase in salaries and wages expense due to the increase in the Company’s headcount in Q1 2023 compared to Q1 2022 to support the global project expansions as well as cost of living salary increases.</w:t>
      </w:r>
    </w:p>
    <w:p>
      <w:pPr>
        <w:spacing w:after="0" w:line="200" w:lineRule="exact"/>
        <w:rPr>
          <w:sz w:val="20"/>
          <w:szCs w:val="20"/>
          <w:color w:val="auto"/>
        </w:rPr>
      </w:pPr>
    </w:p>
    <w:p>
      <w:pPr>
        <w:spacing w:after="0" w:line="20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17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D.</w:t>
            </w:r>
          </w:p>
        </w:tc>
        <w:tc>
          <w:tcPr>
            <w:tcW w:w="5060" w:type="dxa"/>
            <w:vAlign w:val="bottom"/>
          </w:tcPr>
          <w:p>
            <w:pPr>
              <w:ind w:left="240"/>
              <w:spacing w:after="0"/>
              <w:rPr>
                <w:sz w:val="20"/>
                <w:szCs w:val="20"/>
                <w:color w:val="auto"/>
              </w:rPr>
            </w:pPr>
            <w:r>
              <w:rPr>
                <w:rFonts w:ascii="Arial" w:cs="Arial" w:eastAsia="Arial" w:hAnsi="Arial"/>
                <w:sz w:val="18"/>
                <w:szCs w:val="18"/>
                <w:b w:val="1"/>
                <w:bCs w:val="1"/>
                <w:color w:val="auto"/>
              </w:rPr>
              <w:t>Net financial income</w:t>
            </w:r>
          </w:p>
        </w:tc>
        <w:tc>
          <w:tcPr>
            <w:tcW w:w="1740" w:type="dxa"/>
            <w:vAlign w:val="bottom"/>
          </w:tcPr>
          <w:p>
            <w:pPr>
              <w:spacing w:after="0"/>
              <w:rPr>
                <w:sz w:val="24"/>
                <w:szCs w:val="24"/>
                <w:color w:val="auto"/>
              </w:rPr>
            </w:pPr>
          </w:p>
        </w:tc>
        <w:tc>
          <w:tcPr>
            <w:tcW w:w="280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w w:val="95"/>
              </w:rPr>
              <w:t>Three months ended March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2"/>
            <w:vMerge w:val="continue"/>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(U.S.$ in thousands except where indicated)</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0"/>
        </w:trPr>
        <w:tc>
          <w:tcPr>
            <w:tcW w:w="5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Gain on disposition of marketable securities</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(2,171)</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(10,937)</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8,766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480" w:type="dxa"/>
            <w:vAlign w:val="bottom"/>
            <w:gridSpan w:val="2"/>
          </w:tcPr>
          <w:p>
            <w:pPr>
              <w:ind w:left="60"/>
              <w:spacing w:after="0"/>
              <w:rPr>
                <w:sz w:val="20"/>
                <w:szCs w:val="20"/>
                <w:color w:val="auto"/>
              </w:rPr>
            </w:pPr>
            <w:r>
              <w:rPr>
                <w:rFonts w:ascii="Arial" w:cs="Arial" w:eastAsia="Arial" w:hAnsi="Arial"/>
                <w:sz w:val="18"/>
                <w:szCs w:val="18"/>
                <w:color w:val="auto"/>
              </w:rPr>
              <w:t>Gain on extinguishment of long-term debt and lease liabilities</w:t>
            </w: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(12,835)</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(12,835)</w:t>
            </w: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Loss on currency exchange</w:t>
            </w:r>
          </w:p>
        </w:tc>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270</w:t>
            </w:r>
          </w:p>
        </w:tc>
        <w:tc>
          <w:tcPr>
            <w:tcW w:w="1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858</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480" w:type="dxa"/>
            <w:vAlign w:val="bottom"/>
            <w:gridSpan w:val="2"/>
          </w:tcPr>
          <w:p>
            <w:pPr>
              <w:ind w:left="60"/>
              <w:spacing w:after="0"/>
              <w:rPr>
                <w:sz w:val="20"/>
                <w:szCs w:val="20"/>
                <w:color w:val="auto"/>
              </w:rPr>
            </w:pPr>
            <w:r>
              <w:rPr>
                <w:rFonts w:ascii="Arial" w:cs="Arial" w:eastAsia="Arial" w:hAnsi="Arial"/>
                <w:sz w:val="18"/>
                <w:szCs w:val="18"/>
                <w:color w:val="auto"/>
              </w:rPr>
              <w:t>Interest on credit facility and long-term debt</w:t>
            </w:r>
          </w:p>
        </w:tc>
        <w:tc>
          <w:tcPr>
            <w:tcW w:w="1740" w:type="dxa"/>
            <w:vAlign w:val="bottom"/>
          </w:tcPr>
          <w:p>
            <w:pPr>
              <w:jc w:val="right"/>
              <w:ind w:right="110"/>
              <w:spacing w:after="0"/>
              <w:rPr>
                <w:sz w:val="20"/>
                <w:szCs w:val="20"/>
                <w:color w:val="auto"/>
              </w:rPr>
            </w:pPr>
            <w:r>
              <w:rPr>
                <w:rFonts w:ascii="Arial" w:cs="Arial" w:eastAsia="Arial" w:hAnsi="Arial"/>
                <w:sz w:val="18"/>
                <w:szCs w:val="18"/>
                <w:b w:val="1"/>
                <w:bCs w:val="1"/>
                <w:color w:val="auto"/>
              </w:rPr>
              <w:t>1,251</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2,705</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(1,454)</w:t>
            </w: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Interest on lease liabilities</w:t>
            </w:r>
          </w:p>
        </w:tc>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369</w:t>
            </w:r>
          </w:p>
        </w:tc>
        <w:tc>
          <w:tcPr>
            <w:tcW w:w="1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305</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480" w:type="dxa"/>
            <w:vAlign w:val="bottom"/>
            <w:gridSpan w:val="2"/>
          </w:tcPr>
          <w:p>
            <w:pPr>
              <w:ind w:left="60"/>
              <w:spacing w:after="0"/>
              <w:rPr>
                <w:sz w:val="20"/>
                <w:szCs w:val="20"/>
                <w:color w:val="auto"/>
              </w:rPr>
            </w:pPr>
            <w:r>
              <w:rPr>
                <w:rFonts w:ascii="Arial" w:cs="Arial" w:eastAsia="Arial" w:hAnsi="Arial"/>
                <w:sz w:val="18"/>
                <w:szCs w:val="18"/>
                <w:color w:val="auto"/>
              </w:rPr>
              <w:t>Discount expense on VAT receivable</w:t>
            </w:r>
          </w:p>
        </w:tc>
        <w:tc>
          <w:tcPr>
            <w:tcW w:w="1740" w:type="dxa"/>
            <w:vAlign w:val="bottom"/>
          </w:tcPr>
          <w:p>
            <w:pPr>
              <w:jc w:val="right"/>
              <w:ind w:right="110"/>
              <w:spacing w:after="0"/>
              <w:rPr>
                <w:sz w:val="20"/>
                <w:szCs w:val="20"/>
                <w:color w:val="auto"/>
              </w:rPr>
            </w:pPr>
            <w:r>
              <w:rPr>
                <w:rFonts w:ascii="Arial" w:cs="Arial" w:eastAsia="Arial" w:hAnsi="Arial"/>
                <w:sz w:val="18"/>
                <w:szCs w:val="18"/>
                <w:b w:val="1"/>
                <w:bCs w:val="1"/>
                <w:color w:val="auto"/>
              </w:rPr>
              <w:t>1,009</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2,919</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(1,910)</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Other financial (income) expenses</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(81)</w:t>
            </w:r>
          </w:p>
        </w:tc>
        <w:tc>
          <w:tcPr>
            <w:tcW w:w="1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67</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(12,188)</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(4,083)</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(8,105)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Q1 2023 v. Q1 2022</w:t>
            </w: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Bitfarms’ net financial income for Q1 2023 was $12.2 million compared to $4.1 million for Q1 2022. The $8.1 million increase was primarily related to:</w:t>
      </w:r>
    </w:p>
    <w:p>
      <w:pPr>
        <w:spacing w:after="0" w:line="237"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$12.8 million gain on extinguishment of long-term debt and lease liabilities during Q1 2023. In February 2023:</w:t>
      </w:r>
    </w:p>
    <w:p>
      <w:pPr>
        <w:spacing w:after="0" w:line="23" w:lineRule="exact"/>
        <w:rPr>
          <w:rFonts w:ascii="Arial" w:cs="Arial" w:eastAsia="Arial" w:hAnsi="Arial"/>
          <w:sz w:val="18"/>
          <w:szCs w:val="18"/>
          <w:color w:val="auto"/>
        </w:rPr>
      </w:pPr>
    </w:p>
    <w:p>
      <w:pPr>
        <w:ind w:left="900" w:hanging="244"/>
        <w:spacing w:after="0" w:line="250"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BlockFi and the Company negotiated a settlement of the loan in its entirety for cash consideration of $7.8 million, resulting in a gain on extinguishment of long-term debt of $12.6 million; and</w:t>
      </w:r>
    </w:p>
    <w:p>
      <w:pPr>
        <w:jc w:val="both"/>
        <w:ind w:left="900" w:hanging="244"/>
        <w:spacing w:after="0" w:line="250"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negotiated a modification to its lease agreement with Reliz Ltd. (where BlockFi was the lender to Reliz Ltd.) in order to settle its outstanding lease liability of $0.4 million for a payment of $0.1 million. As a result, a gain on extinguishment of lease liabilities was recognized in the amount of $0.3 million.</w:t>
      </w:r>
    </w:p>
    <w:p>
      <w:pPr>
        <w:spacing w:after="0" w:line="1" w:lineRule="exact"/>
        <w:rPr>
          <w:rFonts w:ascii="Arial" w:cs="Arial" w:eastAsia="Arial" w:hAnsi="Arial"/>
          <w:sz w:val="18"/>
          <w:szCs w:val="18"/>
          <w:color w:val="auto"/>
        </w:rPr>
      </w:pPr>
    </w:p>
    <w:p>
      <w:pPr>
        <w:jc w:val="both"/>
        <w:ind w:left="260" w:hanging="252"/>
        <w:spacing w:after="0" w:line="250" w:lineRule="auto"/>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$1.4 million decrease in interest expense on (i) the $100 million credit facility which commenced on December 30, 2021 and was fully repaid and extinguished in December 2022, (ii) the BlockFi Loan which commenced on February 18, 2022 and was extinguished in February 2023 as described above and (iii) the NYDIG Loan which commented on June 15, 2022. The NYDIG Loan was classified as long-term debt in the statements of financial position.</w:t>
      </w:r>
    </w:p>
    <w:p>
      <w:pPr>
        <w:spacing w:after="0" w:line="1" w:lineRule="exact"/>
        <w:rPr>
          <w:rFonts w:ascii="Arial" w:cs="Arial" w:eastAsia="Arial" w:hAnsi="Arial"/>
          <w:sz w:val="18"/>
          <w:szCs w:val="18"/>
          <w:color w:val="auto"/>
        </w:rPr>
      </w:pPr>
    </w:p>
    <w:p>
      <w:pPr>
        <w:jc w:val="both"/>
        <w:ind w:left="260" w:hanging="252"/>
        <w:spacing w:after="0" w:line="253" w:lineRule="auto"/>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discounting expense on the Argentina VAT receivable of $2.9 million during Q1 2022 relates to the country’s historically high rate of inflation and length of time before the VAT receivable is refunded and reflects the accounting under the effective interest rate method. During Q1 2023, new additions to the VAT receivable were discounted, which had a lesser balance than the amount discounted in Q1 2022, resulting in lesser expense. The discounting expense was partially offset by increasing accretion income from the passage of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jc w:val="both"/>
        <w:ind w:left="260" w:hanging="252"/>
        <w:spacing w:after="0" w:line="292" w:lineRule="auto"/>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$8.7 million decrease in gain on disposition of marketable securities related to the mechanism used to fund the Argentina Expansion that began in Q3 2021. The Company has been funding its expansion in Argentina through the acquisition of marketable securities and in-kind contribution of these securities to a company in Argentina that it controls. The subsequent disposition of these marketable securities in exchange for Argentine Pesos gave rise to a gain as the equivalent amount received in Argentine Pesos exceeded the amount of Argentine Pesos the Company would have received from a direct foreign currency exchange. The decrease was due to less funds being sent to Argentina in Q1 2023 compared to Q1 2022.</w:t>
      </w:r>
    </w:p>
    <w:p>
      <w:pPr>
        <w:spacing w:after="0" w:line="37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18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SELECTED QUARTERLY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(U.S. $ in thousands except</w:t>
            </w:r>
          </w:p>
        </w:tc>
        <w:tc>
          <w:tcPr>
            <w:tcW w:w="11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Q1 2023</w:t>
            </w:r>
          </w:p>
        </w:tc>
        <w:tc>
          <w:tcPr>
            <w:tcW w:w="1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earnings per share)</w:t>
            </w:r>
          </w:p>
        </w:tc>
        <w:tc>
          <w:tcPr>
            <w:tcW w:w="11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Q4 2022</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Q3 2022</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Q2 2022</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Q1 2022</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Q4 2021</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Q3 2021</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Q2 2021</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30,050</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27,037</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33,247</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41,815</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40,329</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59,598</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44,774</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36,687</w:t>
            </w:r>
          </w:p>
        </w:tc>
        <w:tc>
          <w:tcPr>
            <w:tcW w:w="0" w:type="dxa"/>
            <w:vAlign w:val="bottom"/>
          </w:tcPr>
          <w:p>
            <w:pPr>
              <w:spacing w:after="0"/>
              <w:rPr>
                <w:sz w:val="1"/>
                <w:szCs w:val="1"/>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Net (loss) income</w:t>
            </w: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(2,479)</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(16,843)</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(84,808)</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(141,918)</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4,519</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9,677</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23,733</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Basic net (loss) earnings per</w:t>
            </w:r>
          </w:p>
        </w:tc>
        <w:tc>
          <w:tcPr>
            <w:tcW w:w="11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(0.01)</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share</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(0.08)</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(0.40)</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(0.70)</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0.02</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0.05</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0.14</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9"/>
        </w:trPr>
        <w:tc>
          <w:tcPr>
            <w:tcW w:w="2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60"/>
              <w:spacing w:after="0" w:line="191" w:lineRule="exact"/>
              <w:rPr>
                <w:sz w:val="20"/>
                <w:szCs w:val="20"/>
                <w:color w:val="auto"/>
              </w:rPr>
            </w:pPr>
            <w:r>
              <w:rPr>
                <w:rFonts w:ascii="Arial" w:cs="Arial" w:eastAsia="Arial" w:hAnsi="Arial"/>
                <w:sz w:val="18"/>
                <w:szCs w:val="18"/>
                <w:b w:val="1"/>
                <w:bCs w:val="1"/>
                <w:color w:val="auto"/>
              </w:rPr>
              <w:t>Net (loss) income before</w:t>
            </w: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income taxes</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(2,809)</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(16,652)</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(89,533)</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(161,234)</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10,957</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17,937</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34,706</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09"/>
        </w:trPr>
        <w:tc>
          <w:tcPr>
            <w:tcW w:w="230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1,620</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3,271</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3,394</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4,546</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3,010</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837</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788</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Depreciation and</w:t>
            </w:r>
          </w:p>
        </w:tc>
        <w:tc>
          <w:tcPr>
            <w:tcW w:w="11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20,700</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amortization expense</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20,777</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20,720</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17,857</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13,066</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10,287</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6,261</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09"/>
        </w:trPr>
        <w:tc>
          <w:tcPr>
            <w:tcW w:w="2300" w:type="dxa"/>
            <w:vAlign w:val="bottom"/>
          </w:tcPr>
          <w:p>
            <w:pPr>
              <w:ind w:left="60"/>
              <w:spacing w:after="0"/>
              <w:rPr>
                <w:sz w:val="20"/>
                <w:szCs w:val="20"/>
                <w:color w:val="auto"/>
              </w:rPr>
            </w:pPr>
            <w:r>
              <w:rPr>
                <w:rFonts w:ascii="Arial" w:cs="Arial" w:eastAsia="Arial" w:hAnsi="Arial"/>
                <w:sz w:val="18"/>
                <w:szCs w:val="18"/>
                <w:b w:val="1"/>
                <w:bCs w:val="1"/>
                <w:color w:val="auto"/>
              </w:rPr>
              <w:t>EBITDA</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19,511</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7,396</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(65,419)</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(138,831)</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27,033</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29,061</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41,755</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EBITDA margin</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65%</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(197)%</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(332)%</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300" w:type="dxa"/>
            <w:vAlign w:val="bottom"/>
          </w:tcPr>
          <w:p>
            <w:pPr>
              <w:ind w:left="60"/>
              <w:spacing w:after="0"/>
              <w:rPr>
                <w:sz w:val="20"/>
                <w:szCs w:val="20"/>
                <w:color w:val="auto"/>
              </w:rPr>
            </w:pPr>
            <w:r>
              <w:rPr>
                <w:rFonts w:ascii="Arial" w:cs="Arial" w:eastAsia="Arial" w:hAnsi="Arial"/>
                <w:sz w:val="18"/>
                <w:szCs w:val="18"/>
                <w:color w:val="auto"/>
              </w:rPr>
              <w:t>Share-based payment</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2,536</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3,795</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3,961</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7,927</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6,105</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10,036</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5,787</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6,342</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Realized (gain) loss on</w:t>
            </w:r>
          </w:p>
        </w:tc>
        <w:tc>
          <w:tcPr>
            <w:tcW w:w="11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(587)</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disposition of digital assets</w:t>
            </w:r>
          </w:p>
        </w:tc>
        <w:tc>
          <w:tcPr>
            <w:tcW w:w="116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28,567</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44,329</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77,880</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137</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177</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300" w:type="dxa"/>
            <w:vAlign w:val="bottom"/>
          </w:tcPr>
          <w:p>
            <w:pPr>
              <w:ind w:left="60"/>
              <w:spacing w:after="0" w:line="201" w:lineRule="exact"/>
              <w:rPr>
                <w:sz w:val="20"/>
                <w:szCs w:val="20"/>
                <w:color w:val="auto"/>
              </w:rPr>
            </w:pPr>
            <w:r>
              <w:rPr>
                <w:rFonts w:ascii="Arial" w:cs="Arial" w:eastAsia="Arial" w:hAnsi="Arial"/>
                <w:sz w:val="18"/>
                <w:szCs w:val="18"/>
                <w:color w:val="auto"/>
              </w:rPr>
              <w:t>(Reversal of) revaluation</w:t>
            </w:r>
          </w:p>
        </w:tc>
        <w:tc>
          <w:tcPr>
            <w:tcW w:w="11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(2,695)</w:t>
            </w: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60"/>
              <w:spacing w:after="0"/>
              <w:rPr>
                <w:sz w:val="20"/>
                <w:szCs w:val="20"/>
                <w:color w:val="auto"/>
              </w:rPr>
            </w:pPr>
            <w:r>
              <w:rPr>
                <w:rFonts w:ascii="Arial" w:cs="Arial" w:eastAsia="Arial" w:hAnsi="Arial"/>
                <w:sz w:val="18"/>
                <w:szCs w:val="18"/>
                <w:color w:val="auto"/>
              </w:rPr>
              <w:t>loss on digital assets</w:t>
            </w:r>
          </w:p>
        </w:tc>
        <w:tc>
          <w:tcPr>
            <w:tcW w:w="1160" w:type="dxa"/>
            <w:vAlign w:val="bottom"/>
            <w:vMerge w:val="continue"/>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(23,284)</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(45,655)</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70,475</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(3,702)</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3,869</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(13,893)</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Gain on extinguishment of</w:t>
            </w: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long-term debt and lease</w:t>
            </w:r>
          </w:p>
        </w:tc>
        <w:tc>
          <w:tcPr>
            <w:tcW w:w="11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(12,835)</w:t>
            </w: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liabilities</w:t>
            </w:r>
          </w:p>
        </w:tc>
        <w:tc>
          <w:tcPr>
            <w:tcW w:w="116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00" w:type="dxa"/>
            <w:vAlign w:val="bottom"/>
          </w:tcPr>
          <w:p>
            <w:pPr>
              <w:ind w:left="60"/>
              <w:spacing w:after="0" w:line="201" w:lineRule="exact"/>
              <w:rPr>
                <w:sz w:val="20"/>
                <w:szCs w:val="20"/>
                <w:color w:val="auto"/>
              </w:rPr>
            </w:pPr>
            <w:r>
              <w:rPr>
                <w:rFonts w:ascii="Arial" w:cs="Arial" w:eastAsia="Arial" w:hAnsi="Arial"/>
                <w:sz w:val="18"/>
                <w:szCs w:val="18"/>
                <w:color w:val="auto"/>
              </w:rPr>
              <w:t>Impairment (reversal) on</w:t>
            </w: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equipment and construction</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w w:val="96"/>
              </w:rPr>
              <w:t>prepayments, property, plant</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and equipment and right-of-</w:t>
            </w:r>
          </w:p>
        </w:tc>
        <w:tc>
          <w:tcPr>
            <w:tcW w:w="11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60"/>
              <w:spacing w:after="0"/>
              <w:rPr>
                <w:sz w:val="20"/>
                <w:szCs w:val="20"/>
                <w:color w:val="auto"/>
              </w:rPr>
            </w:pPr>
            <w:r>
              <w:rPr>
                <w:rFonts w:ascii="Arial" w:cs="Arial" w:eastAsia="Arial" w:hAnsi="Arial"/>
                <w:sz w:val="18"/>
                <w:szCs w:val="18"/>
                <w:color w:val="auto"/>
              </w:rPr>
              <w:t>use assets</w:t>
            </w:r>
          </w:p>
        </w:tc>
        <w:tc>
          <w:tcPr>
            <w:tcW w:w="1160" w:type="dxa"/>
            <w:vAlign w:val="bottom"/>
            <w:vMerge w:val="continue"/>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(8,903)</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84,116</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1,800</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Impairment reversal on</w:t>
            </w: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 plant and</w:t>
            </w:r>
          </w:p>
        </w:tc>
        <w:tc>
          <w:tcPr>
            <w:tcW w:w="11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equipment</w:t>
            </w:r>
          </w:p>
        </w:tc>
        <w:tc>
          <w:tcPr>
            <w:tcW w:w="116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(1,860)</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8"/>
                <w:szCs w:val="18"/>
                <w:color w:val="auto"/>
              </w:rPr>
              <w:t>Impairment on goodwill</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17,900</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Net financial (income)</w:t>
            </w:r>
          </w:p>
        </w:tc>
        <w:tc>
          <w:tcPr>
            <w:tcW w:w="11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404</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expenses and other</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(6,445)</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(11,015)</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(16,666)</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(8,030)</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(4,628)</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(2,204)</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2300" w:type="dxa"/>
            <w:vAlign w:val="bottom"/>
          </w:tcPr>
          <w:p>
            <w:pPr>
              <w:ind w:left="60"/>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6,334</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1,126</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10,317</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18,685</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21,440</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40,275</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29,762</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23,780</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Adjusted EBITDA margin</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21%</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the BTC Mining industry experiences volatility, it is typically not generally subject to seasonality or seasonal effects. Seasonal fluctuations in energy supply, however, may impact the Company’s operations. The majority of the Company’s operations during the above periods were in Quebec, where power was sourced directly from Hydro-Quebec, Hydro-Magog and Hydro-Sherbrooke. The Company also had operations in Washington State that were powered by the Grant County Power Utility District as well as operations in Paraguay that were powered by CLYFSA. In Q3 2022, the Company began operations in Argentina. The production facility in Argentina was temporarily connected to the power grid until the private power producer obtained the requisite permits to provide power to the Company in April 2023. Among other phenomena, changing weather in Quebec, Washington State, Paraguay or Argentina may impact seasonal electricity needs, and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and other external factors unduly affecting the Company’s overall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Q1 2023 details, refer to Section 7A - </w:t>
      </w:r>
      <w:r>
        <w:rPr>
          <w:rFonts w:ascii="Arial" w:cs="Arial" w:eastAsia="Arial" w:hAnsi="Arial"/>
          <w:sz w:val="16"/>
          <w:szCs w:val="16"/>
          <w:i w:val="1"/>
          <w:iCs w:val="1"/>
          <w:color w:val="auto"/>
        </w:rPr>
        <w:t>Financial 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Revenues);</w:t>
      </w:r>
      <w:r>
        <w:rPr>
          <w:rFonts w:ascii="Arial" w:cs="Arial" w:eastAsia="Arial" w:hAnsi="Arial"/>
          <w:sz w:val="16"/>
          <w:szCs w:val="16"/>
          <w:color w:val="auto"/>
        </w:rPr>
        <w:t xml:space="preserve"> Section 10A - </w:t>
      </w:r>
      <w:r>
        <w:rPr>
          <w:rFonts w:ascii="Arial" w:cs="Arial" w:eastAsia="Arial" w:hAnsi="Arial"/>
          <w:sz w:val="16"/>
          <w:szCs w:val="16"/>
          <w:i w:val="1"/>
          <w:iCs w:val="1"/>
          <w:color w:val="auto"/>
        </w:rPr>
        <w:t>Liquidity and Capital Resources (Cash Flows);</w:t>
      </w:r>
      <w:r>
        <w:rPr>
          <w:rFonts w:ascii="Arial" w:cs="Arial" w:eastAsia="Arial" w:hAnsi="Arial"/>
          <w:sz w:val="16"/>
          <w:szCs w:val="16"/>
          <w:color w:val="auto"/>
        </w:rPr>
        <w:t xml:space="preserve"> and Section 6</w:t>
      </w:r>
    </w:p>
    <w:p>
      <w:pPr>
        <w:spacing w:after="0" w:line="46" w:lineRule="exact"/>
        <w:rPr>
          <w:sz w:val="20"/>
          <w:szCs w:val="20"/>
          <w:color w:val="auto"/>
        </w:rPr>
      </w:pPr>
    </w:p>
    <w:p>
      <w:pPr>
        <w:ind w:left="120" w:hanging="112"/>
        <w:spacing w:after="0"/>
        <w:tabs>
          <w:tab w:leader="none" w:pos="1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Expansion Projects </w:t>
      </w:r>
      <w:r>
        <w:rPr>
          <w:rFonts w:ascii="Arial" w:cs="Arial" w:eastAsia="Arial" w:hAnsi="Arial"/>
          <w:sz w:val="18"/>
          <w:szCs w:val="18"/>
          <w:color w:val="auto"/>
        </w:rPr>
        <w:t>(</w:t>
      </w:r>
      <w:r>
        <w:rPr>
          <w:rFonts w:ascii="Arial" w:cs="Arial" w:eastAsia="Arial" w:hAnsi="Arial"/>
          <w:sz w:val="18"/>
          <w:szCs w:val="18"/>
          <w:i w:val="1"/>
          <w:iCs w:val="1"/>
          <w:color w:val="auto"/>
        </w:rPr>
        <w:t>Washington Expansion, Paraguay Expansion, Argentina Expansion and Baie-Comeau Expansion</w:t>
      </w:r>
      <w:r>
        <w:rPr>
          <w:rFonts w:ascii="Arial" w:cs="Arial" w:eastAsia="Arial" w:hAnsi="Arial"/>
          <w:sz w:val="18"/>
          <w:szCs w:val="18"/>
          <w:color w:val="auto"/>
        </w:rPr>
        <w:t>) of this MD&amp;A.</w:t>
      </w:r>
    </w:p>
    <w:p>
      <w:pPr>
        <w:spacing w:after="0" w:line="200" w:lineRule="exact"/>
        <w:rPr>
          <w:sz w:val="20"/>
          <w:szCs w:val="20"/>
          <w:color w:val="auto"/>
        </w:rPr>
      </w:pPr>
    </w:p>
    <w:p>
      <w:pPr>
        <w:spacing w:after="0" w:line="22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19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NON-IFRS FINANCIAL MEASURES AND RATIOS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21 - </w:t>
      </w:r>
      <w:r>
        <w:rPr>
          <w:rFonts w:ascii="Arial" w:cs="Arial" w:eastAsia="Arial" w:hAnsi="Arial"/>
          <w:sz w:val="18"/>
          <w:szCs w:val="18"/>
          <w:i w:val="1"/>
          <w:iCs w:val="1"/>
          <w:color w:val="auto"/>
        </w:rPr>
        <w:t>Cautionary Note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Non-IFRS Financial Measures and Ratios </w:t>
      </w:r>
      <w:r>
        <w:rPr>
          <w:rFonts w:ascii="Arial" w:cs="Arial" w:eastAsia="Arial" w:hAnsi="Arial"/>
          <w:sz w:val="18"/>
          <w:szCs w:val="18"/>
          <w:color w:val="auto"/>
        </w:rPr>
        <w:t>of this MD&amp;A.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Measures</w:t>
            </w:r>
          </w:p>
        </w:tc>
        <w:tc>
          <w:tcPr>
            <w:tcW w:w="1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Definition</w:t>
            </w: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56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Purpose</w:t>
            </w:r>
          </w:p>
        </w:tc>
      </w:tr>
      <w:tr>
        <w:trPr>
          <w:trHeight w:val="195"/>
        </w:trPr>
        <w:tc>
          <w:tcPr>
            <w:tcW w:w="1900" w:type="dxa"/>
            <w:vAlign w:val="bottom"/>
          </w:tcPr>
          <w:p>
            <w:pPr>
              <w:spacing w:after="0" w:line="195" w:lineRule="exact"/>
              <w:rPr>
                <w:sz w:val="20"/>
                <w:szCs w:val="20"/>
                <w:color w:val="auto"/>
              </w:rPr>
            </w:pPr>
            <w:r>
              <w:rPr>
                <w:rFonts w:ascii="Arial" w:cs="Arial" w:eastAsia="Arial" w:hAnsi="Arial"/>
                <w:sz w:val="18"/>
                <w:szCs w:val="18"/>
                <w:b w:val="1"/>
                <w:bCs w:val="1"/>
                <w:color w:val="auto"/>
              </w:rPr>
              <w:t>Gross Mining profit</w:t>
            </w:r>
          </w:p>
        </w:tc>
        <w:tc>
          <w:tcPr>
            <w:tcW w:w="3660" w:type="dxa"/>
            <w:vAlign w:val="bottom"/>
            <w:gridSpan w:val="4"/>
          </w:tcPr>
          <w:p>
            <w:pPr>
              <w:ind w:left="360"/>
              <w:spacing w:after="0" w:line="195" w:lineRule="exact"/>
              <w:rPr>
                <w:sz w:val="20"/>
                <w:szCs w:val="20"/>
                <w:color w:val="auto"/>
              </w:rPr>
            </w:pPr>
            <w:r>
              <w:rPr>
                <w:rFonts w:ascii="Arial" w:cs="Arial" w:eastAsia="Arial" w:hAnsi="Arial"/>
                <w:sz w:val="18"/>
                <w:szCs w:val="18"/>
                <w:color w:val="auto"/>
              </w:rPr>
              <w:t>Gross   Profit   before:   (i)   non-Mining</w:t>
            </w:r>
          </w:p>
        </w:tc>
        <w:tc>
          <w:tcPr>
            <w:tcW w:w="5680" w:type="dxa"/>
            <w:vAlign w:val="bottom"/>
            <w:gridSpan w:val="2"/>
          </w:tcPr>
          <w:p>
            <w:pPr>
              <w:ind w:left="60"/>
              <w:spacing w:after="0" w:line="195" w:lineRule="exact"/>
              <w:rPr>
                <w:sz w:val="20"/>
                <w:szCs w:val="20"/>
                <w:color w:val="auto"/>
              </w:rPr>
            </w:pPr>
            <w:r>
              <w:rPr>
                <w:rFonts w:ascii="Arial" w:cs="Arial" w:eastAsia="Arial" w:hAnsi="Arial"/>
                <w:sz w:val="18"/>
                <w:szCs w:val="18"/>
                <w:color w:val="auto"/>
                <w:w w:val="92"/>
              </w:rPr>
              <w:t>●  To assess profitability after power costs in cryptocurrency production and</w:t>
            </w: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3"/>
              </w:rPr>
              <w:t>revenues; (ii) depreciation and amortization;</w:t>
            </w: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0"/>
              </w:rPr>
              <w:t>other infrastructure costs. Power costs are the largest variable expense in</w:t>
            </w: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7"/>
              </w:rPr>
              <w:t>(iii) purchase of electrical components and</w:t>
            </w: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Mining.</w:t>
            </w: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4"/>
              </w:rPr>
              <w:t>other expenses; and (iv) electrician salaries</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5400" w:type="dxa"/>
            <w:vAlign w:val="bottom"/>
          </w:tcPr>
          <w:p>
            <w:pPr>
              <w:jc w:val="right"/>
              <w:spacing w:after="0"/>
              <w:rPr>
                <w:sz w:val="20"/>
                <w:szCs w:val="20"/>
                <w:color w:val="auto"/>
              </w:rPr>
            </w:pPr>
            <w:r>
              <w:rPr>
                <w:rFonts w:ascii="Arial" w:cs="Arial" w:eastAsia="Arial" w:hAnsi="Arial"/>
                <w:sz w:val="18"/>
                <w:szCs w:val="18"/>
                <w:color w:val="auto"/>
              </w:rPr>
              <w:t>To provide the users of the MD&amp;A the ability to assess the gross</w:t>
            </w:r>
          </w:p>
        </w:tc>
      </w:tr>
      <w:tr>
        <w:trPr>
          <w:trHeight w:val="230"/>
        </w:trPr>
        <w:tc>
          <w:tcPr>
            <w:tcW w:w="19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0"/>
              </w:rPr>
              <w:t>and payroll taxes.</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profitability of the Company’s core digital asset Mining operations.</w:t>
            </w:r>
          </w:p>
        </w:tc>
      </w:tr>
      <w:tr>
        <w:trPr>
          <w:trHeight w:val="195"/>
        </w:trPr>
        <w:tc>
          <w:tcPr>
            <w:tcW w:w="1900" w:type="dxa"/>
            <w:vAlign w:val="bottom"/>
          </w:tcPr>
          <w:p>
            <w:pPr>
              <w:spacing w:after="0" w:line="195" w:lineRule="exact"/>
              <w:rPr>
                <w:sz w:val="20"/>
                <w:szCs w:val="20"/>
                <w:color w:val="auto"/>
              </w:rPr>
            </w:pPr>
            <w:r>
              <w:rPr>
                <w:rFonts w:ascii="Arial" w:cs="Arial" w:eastAsia="Arial" w:hAnsi="Arial"/>
                <w:sz w:val="18"/>
                <w:szCs w:val="18"/>
                <w:b w:val="1"/>
                <w:bCs w:val="1"/>
                <w:color w:val="auto"/>
              </w:rPr>
              <w:t>EBITDA</w:t>
            </w:r>
          </w:p>
        </w:tc>
        <w:tc>
          <w:tcPr>
            <w:tcW w:w="3660" w:type="dxa"/>
            <w:vAlign w:val="bottom"/>
            <w:gridSpan w:val="4"/>
          </w:tcPr>
          <w:p>
            <w:pPr>
              <w:ind w:left="360"/>
              <w:spacing w:after="0" w:line="195" w:lineRule="exact"/>
              <w:rPr>
                <w:sz w:val="20"/>
                <w:szCs w:val="20"/>
                <w:color w:val="auto"/>
              </w:rPr>
            </w:pPr>
            <w:r>
              <w:rPr>
                <w:rFonts w:ascii="Arial" w:cs="Arial" w:eastAsia="Arial" w:hAnsi="Arial"/>
                <w:sz w:val="18"/>
                <w:szCs w:val="18"/>
                <w:color w:val="auto"/>
              </w:rPr>
              <w:t>Net  income  (loss)  before:  (i)  interest</w:t>
            </w:r>
          </w:p>
        </w:tc>
        <w:tc>
          <w:tcPr>
            <w:tcW w:w="5680" w:type="dxa"/>
            <w:vAlign w:val="bottom"/>
            <w:gridSpan w:val="2"/>
          </w:tcPr>
          <w:p>
            <w:pPr>
              <w:ind w:left="60"/>
              <w:spacing w:after="0" w:line="195" w:lineRule="exact"/>
              <w:rPr>
                <w:sz w:val="20"/>
                <w:szCs w:val="20"/>
                <w:color w:val="auto"/>
              </w:rPr>
            </w:pPr>
            <w:r>
              <w:rPr>
                <w:rFonts w:ascii="Arial" w:cs="Arial" w:eastAsia="Arial" w:hAnsi="Arial"/>
                <w:sz w:val="18"/>
                <w:szCs w:val="18"/>
                <w:color w:val="auto"/>
                <w:w w:val="95"/>
              </w:rPr>
              <w:t>●   To assess profitability before the impact of different financing methods,</w:t>
            </w: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8"/>
              </w:rPr>
              <w:t>expense; (ii) income tax expense; and (iii)</w:t>
            </w: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6"/>
              </w:rPr>
              <w:t>income  taxes,  depreciation  of  capital  assets  and  amortization  of</w:t>
            </w:r>
          </w:p>
        </w:tc>
      </w:tr>
      <w:tr>
        <w:trPr>
          <w:trHeight w:val="216"/>
        </w:trPr>
        <w:tc>
          <w:tcPr>
            <w:tcW w:w="1900" w:type="dxa"/>
            <w:vAlign w:val="bottom"/>
          </w:tcPr>
          <w:p>
            <w:pPr>
              <w:spacing w:after="0"/>
              <w:rPr>
                <w:sz w:val="18"/>
                <w:szCs w:val="18"/>
                <w:color w:val="auto"/>
              </w:rPr>
            </w:pPr>
          </w:p>
        </w:tc>
        <w:tc>
          <w:tcPr>
            <w:tcW w:w="2980" w:type="dxa"/>
            <w:vAlign w:val="bottom"/>
            <w:gridSpan w:val="3"/>
          </w:tcPr>
          <w:p>
            <w:pPr>
              <w:ind w:left="36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intangible assets.</w:t>
            </w:r>
          </w:p>
        </w:tc>
      </w:tr>
      <w:tr>
        <w:trPr>
          <w:trHeight w:val="216"/>
        </w:trPr>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80" w:type="dxa"/>
            <w:vAlign w:val="bottom"/>
            <w:gridSpan w:val="2"/>
          </w:tcPr>
          <w:p>
            <w:pPr>
              <w:ind w:left="60"/>
              <w:spacing w:after="0"/>
              <w:rPr>
                <w:sz w:val="20"/>
                <w:szCs w:val="20"/>
                <w:color w:val="auto"/>
              </w:rPr>
            </w:pPr>
            <w:r>
              <w:rPr>
                <w:rFonts w:ascii="Arial" w:cs="Arial" w:eastAsia="Arial" w:hAnsi="Arial"/>
                <w:sz w:val="18"/>
                <w:szCs w:val="18"/>
                <w:color w:val="auto"/>
                <w:w w:val="92"/>
              </w:rPr>
              <w:t>●   Used by management to facilitate comparisons of operating performance</w:t>
            </w:r>
          </w:p>
        </w:tc>
      </w:tr>
      <w:tr>
        <w:trPr>
          <w:trHeight w:val="216"/>
        </w:trPr>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9"/>
              </w:rPr>
              <w:t>from period to period and to prepare annual operating budgets and</w:t>
            </w:r>
          </w:p>
        </w:tc>
      </w:tr>
      <w:tr>
        <w:trPr>
          <w:trHeight w:val="216"/>
        </w:trPr>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forecasts.</w:t>
            </w:r>
          </w:p>
        </w:tc>
      </w:tr>
      <w:tr>
        <w:trPr>
          <w:trHeight w:val="216"/>
        </w:trPr>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80" w:type="dxa"/>
            <w:vAlign w:val="bottom"/>
            <w:gridSpan w:val="2"/>
          </w:tcPr>
          <w:p>
            <w:pPr>
              <w:ind w:left="60"/>
              <w:spacing w:after="0"/>
              <w:rPr>
                <w:sz w:val="20"/>
                <w:szCs w:val="20"/>
                <w:color w:val="auto"/>
              </w:rPr>
            </w:pPr>
            <w:r>
              <w:rPr>
                <w:rFonts w:ascii="Arial" w:cs="Arial" w:eastAsia="Arial" w:hAnsi="Arial"/>
                <w:sz w:val="18"/>
                <w:szCs w:val="18"/>
                <w:color w:val="auto"/>
                <w:w w:val="98"/>
              </w:rPr>
              <w:t>●   Useful for providing users of the MD&amp;A with additional information to</w:t>
            </w:r>
          </w:p>
        </w:tc>
      </w:tr>
      <w:tr>
        <w:trPr>
          <w:trHeight w:val="216"/>
        </w:trPr>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6"/>
              </w:rPr>
              <w:t>assist  them  in  understanding  components  of  its  financial  results,</w:t>
            </w:r>
          </w:p>
        </w:tc>
      </w:tr>
      <w:tr>
        <w:trPr>
          <w:trHeight w:val="216"/>
        </w:trPr>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2"/>
              </w:rPr>
              <w:t>including a more complete understanding of factors and trends affecting</w:t>
            </w:r>
          </w:p>
        </w:tc>
      </w:tr>
      <w:tr>
        <w:trPr>
          <w:trHeight w:val="230"/>
        </w:trPr>
        <w:tc>
          <w:tcPr>
            <w:tcW w:w="19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the Company’s performance.</w:t>
            </w:r>
          </w:p>
        </w:tc>
      </w:tr>
      <w:tr>
        <w:trPr>
          <w:trHeight w:val="195"/>
        </w:trPr>
        <w:tc>
          <w:tcPr>
            <w:tcW w:w="1900" w:type="dxa"/>
            <w:vAlign w:val="bottom"/>
          </w:tcPr>
          <w:p>
            <w:pPr>
              <w:spacing w:after="0" w:line="195" w:lineRule="exact"/>
              <w:rPr>
                <w:sz w:val="20"/>
                <w:szCs w:val="20"/>
                <w:color w:val="auto"/>
              </w:rPr>
            </w:pPr>
            <w:r>
              <w:rPr>
                <w:rFonts w:ascii="Arial" w:cs="Arial" w:eastAsia="Arial" w:hAnsi="Arial"/>
                <w:sz w:val="18"/>
                <w:szCs w:val="18"/>
                <w:b w:val="1"/>
                <w:bCs w:val="1"/>
                <w:color w:val="auto"/>
              </w:rPr>
              <w:t>Adjusted EBITDA</w:t>
            </w:r>
          </w:p>
        </w:tc>
        <w:tc>
          <w:tcPr>
            <w:tcW w:w="3660" w:type="dxa"/>
            <w:vAlign w:val="bottom"/>
            <w:gridSpan w:val="4"/>
          </w:tcPr>
          <w:p>
            <w:pPr>
              <w:ind w:left="360"/>
              <w:spacing w:after="0" w:line="195" w:lineRule="exact"/>
              <w:rPr>
                <w:sz w:val="20"/>
                <w:szCs w:val="20"/>
                <w:color w:val="auto"/>
              </w:rPr>
            </w:pPr>
            <w:r>
              <w:rPr>
                <w:rFonts w:ascii="Arial" w:cs="Arial" w:eastAsia="Arial" w:hAnsi="Arial"/>
                <w:sz w:val="18"/>
                <w:szCs w:val="18"/>
                <w:color w:val="auto"/>
                <w:w w:val="92"/>
              </w:rPr>
              <w:t>EBITDA adjusted to exclude: (i) share-based</w:t>
            </w:r>
          </w:p>
        </w:tc>
        <w:tc>
          <w:tcPr>
            <w:tcW w:w="5680" w:type="dxa"/>
            <w:vAlign w:val="bottom"/>
            <w:gridSpan w:val="2"/>
          </w:tcPr>
          <w:p>
            <w:pPr>
              <w:ind w:left="60"/>
              <w:spacing w:after="0" w:line="195" w:lineRule="exact"/>
              <w:rPr>
                <w:sz w:val="20"/>
                <w:szCs w:val="20"/>
                <w:color w:val="auto"/>
              </w:rPr>
            </w:pPr>
            <w:r>
              <w:rPr>
                <w:rFonts w:ascii="Arial" w:cs="Arial" w:eastAsia="Arial" w:hAnsi="Arial"/>
                <w:sz w:val="18"/>
                <w:szCs w:val="18"/>
                <w:color w:val="auto"/>
                <w:w w:val="94"/>
              </w:rPr>
              <w:t>●   To assess profitability before the impact of all of the items in calculating</w:t>
            </w:r>
          </w:p>
        </w:tc>
      </w:tr>
      <w:tr>
        <w:trPr>
          <w:trHeight w:val="216"/>
        </w:trPr>
        <w:tc>
          <w:tcPr>
            <w:tcW w:w="1900" w:type="dxa"/>
            <w:vAlign w:val="bottom"/>
          </w:tcPr>
          <w:p>
            <w:pPr>
              <w:spacing w:after="0"/>
              <w:rPr>
                <w:sz w:val="18"/>
                <w:szCs w:val="18"/>
                <w:color w:val="auto"/>
              </w:rPr>
            </w:pPr>
          </w:p>
        </w:tc>
        <w:tc>
          <w:tcPr>
            <w:tcW w:w="1660" w:type="dxa"/>
            <w:vAlign w:val="bottom"/>
          </w:tcPr>
          <w:p>
            <w:pPr>
              <w:ind w:left="360"/>
              <w:spacing w:after="0"/>
              <w:rPr>
                <w:sz w:val="20"/>
                <w:szCs w:val="20"/>
                <w:color w:val="auto"/>
              </w:rPr>
            </w:pPr>
            <w:r>
              <w:rPr>
                <w:rFonts w:ascii="Arial" w:cs="Arial" w:eastAsia="Arial" w:hAnsi="Arial"/>
                <w:sz w:val="18"/>
                <w:szCs w:val="18"/>
                <w:color w:val="auto"/>
              </w:rPr>
              <w:t>compensation;</w:t>
            </w:r>
          </w:p>
        </w:tc>
        <w:tc>
          <w:tcPr>
            <w:tcW w:w="380" w:type="dxa"/>
            <w:vAlign w:val="bottom"/>
          </w:tcPr>
          <w:p>
            <w:pPr>
              <w:ind w:left="20"/>
              <w:spacing w:after="0"/>
              <w:rPr>
                <w:sz w:val="20"/>
                <w:szCs w:val="20"/>
                <w:color w:val="auto"/>
              </w:rPr>
            </w:pPr>
            <w:r>
              <w:rPr>
                <w:rFonts w:ascii="Arial" w:cs="Arial" w:eastAsia="Arial" w:hAnsi="Arial"/>
                <w:sz w:val="18"/>
                <w:szCs w:val="18"/>
                <w:color w:val="auto"/>
              </w:rPr>
              <w:t>(ii)</w:t>
            </w:r>
          </w:p>
        </w:tc>
        <w:tc>
          <w:tcPr>
            <w:tcW w:w="940" w:type="dxa"/>
            <w:vAlign w:val="bottom"/>
          </w:tcPr>
          <w:p>
            <w:pPr>
              <w:ind w:left="120"/>
              <w:spacing w:after="0"/>
              <w:rPr>
                <w:sz w:val="20"/>
                <w:szCs w:val="20"/>
                <w:color w:val="auto"/>
              </w:rPr>
            </w:pPr>
            <w:r>
              <w:rPr>
                <w:rFonts w:ascii="Arial" w:cs="Arial" w:eastAsia="Arial" w:hAnsi="Arial"/>
                <w:sz w:val="18"/>
                <w:szCs w:val="18"/>
                <w:color w:val="auto"/>
              </w:rPr>
              <w:t>non-cash</w:t>
            </w:r>
          </w:p>
        </w:tc>
        <w:tc>
          <w:tcPr>
            <w:tcW w:w="680" w:type="dxa"/>
            <w:vAlign w:val="bottom"/>
          </w:tcPr>
          <w:p>
            <w:pPr>
              <w:ind w:left="100"/>
              <w:spacing w:after="0"/>
              <w:rPr>
                <w:sz w:val="20"/>
                <w:szCs w:val="20"/>
                <w:color w:val="auto"/>
              </w:rPr>
            </w:pPr>
            <w:r>
              <w:rPr>
                <w:rFonts w:ascii="Arial" w:cs="Arial" w:eastAsia="Arial" w:hAnsi="Arial"/>
                <w:sz w:val="18"/>
                <w:szCs w:val="18"/>
                <w:color w:val="auto"/>
                <w:w w:val="96"/>
              </w:rPr>
              <w:t>finance</w:t>
            </w: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EBITDA in addition to certain other non-cash expenses.</w:t>
            </w: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1"/>
              </w:rPr>
              <w:t>expenses; (iii) asset impairment charges; (iv)</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5400" w:type="dxa"/>
            <w:vAlign w:val="bottom"/>
          </w:tcPr>
          <w:p>
            <w:pPr>
              <w:jc w:val="right"/>
              <w:spacing w:after="0"/>
              <w:rPr>
                <w:sz w:val="20"/>
                <w:szCs w:val="20"/>
                <w:color w:val="auto"/>
              </w:rPr>
            </w:pPr>
            <w:r>
              <w:rPr>
                <w:rFonts w:ascii="Arial" w:cs="Arial" w:eastAsia="Arial" w:hAnsi="Arial"/>
                <w:sz w:val="18"/>
                <w:szCs w:val="18"/>
                <w:color w:val="auto"/>
              </w:rPr>
              <w:t>To provide a consistent comparable metric for profitability of the</w:t>
            </w: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rPr>
              <w:t>realized gains or losses on disposition of</w:t>
            </w: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Company’s core performance across time periods.</w:t>
            </w: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8"/>
              </w:rPr>
              <w:t>digital assets and (reversal of) revaluation</w:t>
            </w:r>
          </w:p>
        </w:tc>
        <w:tc>
          <w:tcPr>
            <w:tcW w:w="5680" w:type="dxa"/>
            <w:vAlign w:val="bottom"/>
            <w:gridSpan w:val="2"/>
          </w:tcPr>
          <w:p>
            <w:pPr>
              <w:ind w:left="60"/>
              <w:spacing w:after="0"/>
              <w:rPr>
                <w:sz w:val="20"/>
                <w:szCs w:val="20"/>
                <w:color w:val="auto"/>
              </w:rPr>
            </w:pPr>
            <w:r>
              <w:rPr>
                <w:rFonts w:ascii="Arial" w:cs="Arial" w:eastAsia="Arial" w:hAnsi="Arial"/>
                <w:sz w:val="18"/>
                <w:szCs w:val="18"/>
                <w:color w:val="auto"/>
                <w:w w:val="92"/>
              </w:rPr>
              <w:t>●   Used by management to facilitate comparisons of operating performance</w:t>
            </w: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3"/>
              </w:rPr>
              <w:t>loss on digital assets; (v) gain on disposition</w:t>
            </w: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9"/>
              </w:rPr>
              <w:t>from period to period and to prepare annual operating budgets and</w:t>
            </w: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5"/>
              </w:rPr>
              <w:t>of marketable securities, gains or losses on</w:t>
            </w:r>
          </w:p>
        </w:tc>
        <w:tc>
          <w:tcPr>
            <w:tcW w:w="28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forecasts.</w:t>
            </w: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3"/>
              </w:rPr>
              <w:t>derivative assets and liabilities and discount</w:t>
            </w:r>
          </w:p>
        </w:tc>
        <w:tc>
          <w:tcPr>
            <w:tcW w:w="28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7"/>
              </w:rPr>
              <w:t>expense on VAT receivable; and (vi) other</w:t>
            </w:r>
          </w:p>
        </w:tc>
        <w:tc>
          <w:tcPr>
            <w:tcW w:w="28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9"/>
              </w:rPr>
              <w:t>non-recurring items that do not reflect the</w:t>
            </w:r>
          </w:p>
        </w:tc>
        <w:tc>
          <w:tcPr>
            <w:tcW w:w="28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30"/>
        </w:trPr>
        <w:tc>
          <w:tcPr>
            <w:tcW w:w="19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w w:val="93"/>
              </w:rPr>
              <w:t>core performance of the Company.</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20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ratios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Ratios</w:t>
            </w:r>
          </w:p>
        </w:tc>
        <w:tc>
          <w:tcPr>
            <w:tcW w:w="36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Definition</w:t>
            </w:r>
          </w:p>
        </w:tc>
        <w:tc>
          <w:tcPr>
            <w:tcW w:w="56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Purpose</w:t>
            </w: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b w:val="1"/>
                <w:bCs w:val="1"/>
                <w:color w:val="auto"/>
              </w:rPr>
              <w:t>Gross margin</w:t>
            </w:r>
          </w:p>
        </w:tc>
        <w:tc>
          <w:tcPr>
            <w:tcW w:w="3600" w:type="dxa"/>
            <w:vAlign w:val="bottom"/>
          </w:tcPr>
          <w:p>
            <w:pPr>
              <w:ind w:left="300"/>
              <w:spacing w:after="0" w:line="195" w:lineRule="exact"/>
              <w:rPr>
                <w:sz w:val="20"/>
                <w:szCs w:val="20"/>
                <w:color w:val="auto"/>
              </w:rPr>
            </w:pPr>
            <w:r>
              <w:rPr>
                <w:rFonts w:ascii="Arial" w:cs="Arial" w:eastAsia="Arial" w:hAnsi="Arial"/>
                <w:sz w:val="18"/>
                <w:szCs w:val="18"/>
                <w:color w:val="auto"/>
                <w:w w:val="98"/>
              </w:rPr>
              <w:t>The  percentage  obtained  when  dividing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40" w:type="dxa"/>
            <w:vAlign w:val="bottom"/>
          </w:tcPr>
          <w:p>
            <w:pPr>
              <w:ind w:left="180"/>
              <w:spacing w:after="0" w:line="195" w:lineRule="exact"/>
              <w:rPr>
                <w:sz w:val="20"/>
                <w:szCs w:val="20"/>
                <w:color w:val="auto"/>
              </w:rPr>
            </w:pPr>
            <w:r>
              <w:rPr>
                <w:rFonts w:ascii="Arial" w:cs="Arial" w:eastAsia="Arial" w:hAnsi="Arial"/>
                <w:sz w:val="18"/>
                <w:szCs w:val="18"/>
                <w:color w:val="auto"/>
              </w:rPr>
              <w:t>To assess profitability of the Company across time periods.</w:t>
            </w:r>
          </w:p>
        </w:tc>
      </w:tr>
      <w:tr>
        <w:trPr>
          <w:trHeight w:val="230"/>
        </w:trPr>
        <w:tc>
          <w:tcPr>
            <w:tcW w:w="19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Gross profit by Revenues.</w:t>
            </w: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spacing w:after="0"/>
              <w:rPr>
                <w:sz w:val="20"/>
                <w:szCs w:val="20"/>
                <w:color w:val="auto"/>
              </w:rPr>
            </w:pP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b w:val="1"/>
                <w:bCs w:val="1"/>
                <w:color w:val="auto"/>
              </w:rPr>
              <w:t>Gross Mining margin</w:t>
            </w:r>
          </w:p>
        </w:tc>
        <w:tc>
          <w:tcPr>
            <w:tcW w:w="3600" w:type="dxa"/>
            <w:vAlign w:val="bottom"/>
          </w:tcPr>
          <w:p>
            <w:pPr>
              <w:ind w:left="300"/>
              <w:spacing w:after="0" w:line="195" w:lineRule="exact"/>
              <w:rPr>
                <w:sz w:val="20"/>
                <w:szCs w:val="20"/>
                <w:color w:val="auto"/>
              </w:rPr>
            </w:pPr>
            <w:r>
              <w:rPr>
                <w:rFonts w:ascii="Arial" w:cs="Arial" w:eastAsia="Arial" w:hAnsi="Arial"/>
                <w:sz w:val="18"/>
                <w:szCs w:val="18"/>
                <w:color w:val="auto"/>
                <w:w w:val="98"/>
              </w:rPr>
              <w:t>The  percentage  obtained  when  dividing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40" w:type="dxa"/>
            <w:vAlign w:val="bottom"/>
          </w:tcPr>
          <w:p>
            <w:pPr>
              <w:ind w:left="180"/>
              <w:spacing w:after="0" w:line="195" w:lineRule="exact"/>
              <w:rPr>
                <w:sz w:val="20"/>
                <w:szCs w:val="20"/>
                <w:color w:val="auto"/>
              </w:rPr>
            </w:pPr>
            <w:r>
              <w:rPr>
                <w:rFonts w:ascii="Arial" w:cs="Arial" w:eastAsia="Arial" w:hAnsi="Arial"/>
                <w:sz w:val="18"/>
                <w:szCs w:val="18"/>
                <w:color w:val="auto"/>
                <w:w w:val="93"/>
              </w:rPr>
              <w:t>To assess profitability after power costs in cryptocurrency production,</w:t>
            </w:r>
          </w:p>
        </w:tc>
      </w:tr>
      <w:tr>
        <w:trPr>
          <w:trHeight w:val="216"/>
        </w:trPr>
        <w:tc>
          <w:tcPr>
            <w:tcW w:w="1960" w:type="dxa"/>
            <w:vAlign w:val="bottom"/>
          </w:tcPr>
          <w:p>
            <w:pPr>
              <w:spacing w:after="0"/>
              <w:rPr>
                <w:sz w:val="18"/>
                <w:szCs w:val="18"/>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Gross  Mining  profit  by  Mining  related</w:t>
            </w: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the largest variable expense in Mining.</w:t>
            </w:r>
          </w:p>
        </w:tc>
      </w:tr>
      <w:tr>
        <w:trPr>
          <w:trHeight w:val="216"/>
        </w:trPr>
        <w:tc>
          <w:tcPr>
            <w:tcW w:w="1960" w:type="dxa"/>
            <w:vAlign w:val="bottom"/>
          </w:tcPr>
          <w:p>
            <w:pPr>
              <w:spacing w:after="0"/>
              <w:rPr>
                <w:sz w:val="18"/>
                <w:szCs w:val="18"/>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revenues.</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ind w:left="180"/>
              <w:spacing w:after="0"/>
              <w:rPr>
                <w:sz w:val="20"/>
                <w:szCs w:val="20"/>
                <w:color w:val="auto"/>
              </w:rPr>
            </w:pPr>
            <w:r>
              <w:rPr>
                <w:rFonts w:ascii="Arial" w:cs="Arial" w:eastAsia="Arial" w:hAnsi="Arial"/>
                <w:sz w:val="18"/>
                <w:szCs w:val="18"/>
                <w:color w:val="auto"/>
                <w:w w:val="92"/>
              </w:rPr>
              <w:t>To provide the users of the MD&amp;A the ability to assess the profitability</w:t>
            </w: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6"/>
              </w:rPr>
              <w:t>of the Company’s core digital asset Mining operations, exclusive of</w:t>
            </w:r>
          </w:p>
        </w:tc>
      </w:tr>
      <w:tr>
        <w:trPr>
          <w:trHeight w:val="230"/>
        </w:trPr>
        <w:tc>
          <w:tcPr>
            <w:tcW w:w="19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certain general and administrative expenses.</w:t>
            </w: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margin</w:t>
            </w:r>
          </w:p>
        </w:tc>
        <w:tc>
          <w:tcPr>
            <w:tcW w:w="3600" w:type="dxa"/>
            <w:vAlign w:val="bottom"/>
          </w:tcPr>
          <w:p>
            <w:pPr>
              <w:ind w:left="300"/>
              <w:spacing w:after="0" w:line="195" w:lineRule="exact"/>
              <w:rPr>
                <w:sz w:val="20"/>
                <w:szCs w:val="20"/>
                <w:color w:val="auto"/>
              </w:rPr>
            </w:pPr>
            <w:r>
              <w:rPr>
                <w:rFonts w:ascii="Arial" w:cs="Arial" w:eastAsia="Arial" w:hAnsi="Arial"/>
                <w:sz w:val="18"/>
                <w:szCs w:val="18"/>
                <w:color w:val="auto"/>
                <w:w w:val="98"/>
              </w:rPr>
              <w:t>The  percentage  obtained  when  dividing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40" w:type="dxa"/>
            <w:vAlign w:val="bottom"/>
          </w:tcPr>
          <w:p>
            <w:pPr>
              <w:ind w:left="180"/>
              <w:spacing w:after="0" w:line="195" w:lineRule="exact"/>
              <w:rPr>
                <w:sz w:val="20"/>
                <w:szCs w:val="20"/>
                <w:color w:val="auto"/>
              </w:rPr>
            </w:pPr>
            <w:r>
              <w:rPr>
                <w:rFonts w:ascii="Arial" w:cs="Arial" w:eastAsia="Arial" w:hAnsi="Arial"/>
                <w:sz w:val="18"/>
                <w:szCs w:val="18"/>
                <w:color w:val="auto"/>
                <w:w w:val="90"/>
              </w:rPr>
              <w:t>To assess operational profitability of the Company across time periods.</w:t>
            </w:r>
          </w:p>
        </w:tc>
      </w:tr>
      <w:tr>
        <w:trPr>
          <w:trHeight w:val="230"/>
        </w:trPr>
        <w:tc>
          <w:tcPr>
            <w:tcW w:w="19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Operating income by Revenues.</w:t>
            </w: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spacing w:after="0"/>
              <w:rPr>
                <w:sz w:val="20"/>
                <w:szCs w:val="20"/>
                <w:color w:val="auto"/>
              </w:rPr>
            </w:pP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b w:val="1"/>
                <w:bCs w:val="1"/>
                <w:color w:val="auto"/>
              </w:rPr>
              <w:t>EBITDA margin</w:t>
            </w:r>
          </w:p>
        </w:tc>
        <w:tc>
          <w:tcPr>
            <w:tcW w:w="3600" w:type="dxa"/>
            <w:vAlign w:val="bottom"/>
          </w:tcPr>
          <w:p>
            <w:pPr>
              <w:ind w:left="300"/>
              <w:spacing w:after="0" w:line="195" w:lineRule="exact"/>
              <w:rPr>
                <w:sz w:val="20"/>
                <w:szCs w:val="20"/>
                <w:color w:val="auto"/>
              </w:rPr>
            </w:pPr>
            <w:r>
              <w:rPr>
                <w:rFonts w:ascii="Arial" w:cs="Arial" w:eastAsia="Arial" w:hAnsi="Arial"/>
                <w:sz w:val="18"/>
                <w:szCs w:val="18"/>
                <w:color w:val="auto"/>
                <w:w w:val="98"/>
              </w:rPr>
              <w:t>The  percentage  obtained  when  dividing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40" w:type="dxa"/>
            <w:vAlign w:val="bottom"/>
          </w:tcPr>
          <w:p>
            <w:pPr>
              <w:ind w:left="180"/>
              <w:spacing w:after="0" w:line="195" w:lineRule="exact"/>
              <w:rPr>
                <w:sz w:val="20"/>
                <w:szCs w:val="20"/>
                <w:color w:val="auto"/>
              </w:rPr>
            </w:pPr>
            <w:r>
              <w:rPr>
                <w:rFonts w:ascii="Arial" w:cs="Arial" w:eastAsia="Arial" w:hAnsi="Arial"/>
                <w:sz w:val="18"/>
                <w:szCs w:val="18"/>
                <w:color w:val="auto"/>
                <w:w w:val="91"/>
              </w:rPr>
              <w:t>To assess profitability before the impact of different financing methods,</w:t>
            </w:r>
          </w:p>
        </w:tc>
      </w:tr>
      <w:tr>
        <w:trPr>
          <w:trHeight w:val="216"/>
        </w:trPr>
        <w:tc>
          <w:tcPr>
            <w:tcW w:w="1960" w:type="dxa"/>
            <w:vAlign w:val="bottom"/>
          </w:tcPr>
          <w:p>
            <w:pPr>
              <w:spacing w:after="0"/>
              <w:rPr>
                <w:sz w:val="18"/>
                <w:szCs w:val="18"/>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EBITDA by Revenues.</w:t>
            </w: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4"/>
              </w:rPr>
              <w:t>income  taxes,  depreciation  of  capital  assets  and  amortization  of</w:t>
            </w:r>
          </w:p>
        </w:tc>
      </w:tr>
      <w:tr>
        <w:trPr>
          <w:trHeight w:val="230"/>
        </w:trPr>
        <w:tc>
          <w:tcPr>
            <w:tcW w:w="19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intangible assets.</w:t>
            </w: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ind w:left="180"/>
              <w:spacing w:after="0"/>
              <w:rPr>
                <w:sz w:val="20"/>
                <w:szCs w:val="20"/>
                <w:color w:val="auto"/>
              </w:rPr>
            </w:pPr>
            <w:r>
              <w:rPr>
                <w:rFonts w:ascii="Arial" w:cs="Arial" w:eastAsia="Arial" w:hAnsi="Arial"/>
                <w:sz w:val="18"/>
                <w:szCs w:val="18"/>
                <w:color w:val="auto"/>
              </w:rPr>
              <w:t>Used  by  management  to  facilitate  comparisons  of  operating</w:t>
            </w: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6"/>
              </w:rPr>
              <w:t>performance from period to period and to prepare annual operating</w:t>
            </w: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budgets and forecasts.</w:t>
            </w: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ind w:left="180"/>
              <w:spacing w:after="0"/>
              <w:rPr>
                <w:sz w:val="20"/>
                <w:szCs w:val="20"/>
                <w:color w:val="auto"/>
              </w:rPr>
            </w:pPr>
            <w:r>
              <w:rPr>
                <w:rFonts w:ascii="Arial" w:cs="Arial" w:eastAsia="Arial" w:hAnsi="Arial"/>
                <w:sz w:val="18"/>
                <w:szCs w:val="18"/>
                <w:color w:val="auto"/>
                <w:w w:val="94"/>
              </w:rPr>
              <w:t>Useful for providing users of the MD&amp;A with additional information to</w:t>
            </w: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3"/>
              </w:rPr>
              <w:t>assist  them  in  understanding  components  of  its  financial  results,</w:t>
            </w: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5"/>
              </w:rPr>
              <w:t>including  a  more  complete  understanding  of  factors  and  trends</w:t>
            </w:r>
          </w:p>
        </w:tc>
      </w:tr>
      <w:tr>
        <w:trPr>
          <w:trHeight w:val="230"/>
        </w:trPr>
        <w:tc>
          <w:tcPr>
            <w:tcW w:w="19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affecting the Company’s performance.</w:t>
            </w:r>
          </w:p>
        </w:tc>
      </w:tr>
      <w:tr>
        <w:trPr>
          <w:trHeight w:val="191"/>
        </w:trPr>
        <w:tc>
          <w:tcPr>
            <w:tcW w:w="1960" w:type="dxa"/>
            <w:vAlign w:val="bottom"/>
          </w:tcPr>
          <w:p>
            <w:pPr>
              <w:spacing w:after="0" w:line="191" w:lineRule="exact"/>
              <w:rPr>
                <w:sz w:val="20"/>
                <w:szCs w:val="20"/>
                <w:color w:val="auto"/>
              </w:rPr>
            </w:pPr>
            <w:r>
              <w:rPr>
                <w:rFonts w:ascii="Arial" w:cs="Arial" w:eastAsia="Arial" w:hAnsi="Arial"/>
                <w:sz w:val="18"/>
                <w:szCs w:val="18"/>
                <w:b w:val="1"/>
                <w:bCs w:val="1"/>
                <w:color w:val="auto"/>
              </w:rPr>
              <w:t>Adjusted EBITDA</w:t>
            </w:r>
          </w:p>
        </w:tc>
        <w:tc>
          <w:tcPr>
            <w:tcW w:w="3600" w:type="dxa"/>
            <w:vAlign w:val="bottom"/>
          </w:tcPr>
          <w:p>
            <w:pPr>
              <w:ind w:left="300"/>
              <w:spacing w:after="0" w:line="191" w:lineRule="exact"/>
              <w:rPr>
                <w:sz w:val="20"/>
                <w:szCs w:val="20"/>
                <w:color w:val="auto"/>
              </w:rPr>
            </w:pPr>
            <w:r>
              <w:rPr>
                <w:rFonts w:ascii="Arial" w:cs="Arial" w:eastAsia="Arial" w:hAnsi="Arial"/>
                <w:sz w:val="18"/>
                <w:szCs w:val="18"/>
                <w:color w:val="auto"/>
                <w:w w:val="98"/>
              </w:rPr>
              <w:t>The  percentage  obtained  when  dividing</w:t>
            </w:r>
          </w:p>
        </w:tc>
        <w:tc>
          <w:tcPr>
            <w:tcW w:w="340" w:type="dxa"/>
            <w:vAlign w:val="bottom"/>
          </w:tcPr>
          <w:p>
            <w:pPr>
              <w:ind w:left="60"/>
              <w:spacing w:after="0" w:line="191" w:lineRule="exact"/>
              <w:rPr>
                <w:sz w:val="20"/>
                <w:szCs w:val="20"/>
                <w:color w:val="auto"/>
              </w:rPr>
            </w:pPr>
            <w:r>
              <w:rPr>
                <w:rFonts w:ascii="Arial" w:cs="Arial" w:eastAsia="Arial" w:hAnsi="Arial"/>
                <w:sz w:val="18"/>
                <w:szCs w:val="18"/>
                <w:color w:val="auto"/>
              </w:rPr>
              <w:t>●</w:t>
            </w:r>
          </w:p>
        </w:tc>
        <w:tc>
          <w:tcPr>
            <w:tcW w:w="5340" w:type="dxa"/>
            <w:vAlign w:val="bottom"/>
          </w:tcPr>
          <w:p>
            <w:pPr>
              <w:ind w:left="180"/>
              <w:spacing w:after="0" w:line="191" w:lineRule="exact"/>
              <w:rPr>
                <w:sz w:val="20"/>
                <w:szCs w:val="20"/>
                <w:color w:val="auto"/>
              </w:rPr>
            </w:pPr>
            <w:r>
              <w:rPr>
                <w:rFonts w:ascii="Arial" w:cs="Arial" w:eastAsia="Arial" w:hAnsi="Arial"/>
                <w:sz w:val="18"/>
                <w:szCs w:val="18"/>
                <w:color w:val="auto"/>
                <w:w w:val="96"/>
              </w:rPr>
              <w:t>To  assess  profitability  before  the  impact  of  all  of  the  items  in</w:t>
            </w:r>
          </w:p>
        </w:tc>
      </w:tr>
      <w:tr>
        <w:trPr>
          <w:trHeight w:val="234"/>
        </w:trPr>
        <w:tc>
          <w:tcPr>
            <w:tcW w:w="1960" w:type="dxa"/>
            <w:vAlign w:val="bottom"/>
          </w:tcPr>
          <w:p>
            <w:pPr>
              <w:spacing w:after="0"/>
              <w:rPr>
                <w:sz w:val="20"/>
                <w:szCs w:val="20"/>
                <w:color w:val="auto"/>
              </w:rPr>
            </w:pPr>
            <w:r>
              <w:rPr>
                <w:rFonts w:ascii="Arial" w:cs="Arial" w:eastAsia="Arial" w:hAnsi="Arial"/>
                <w:sz w:val="18"/>
                <w:szCs w:val="18"/>
                <w:b w:val="1"/>
                <w:bCs w:val="1"/>
                <w:color w:val="auto"/>
              </w:rPr>
              <w:t>margin</w:t>
            </w:r>
          </w:p>
        </w:tc>
        <w:tc>
          <w:tcPr>
            <w:tcW w:w="3600" w:type="dxa"/>
            <w:vAlign w:val="bottom"/>
          </w:tcPr>
          <w:p>
            <w:pPr>
              <w:ind w:left="300"/>
              <w:spacing w:after="0"/>
              <w:rPr>
                <w:sz w:val="20"/>
                <w:szCs w:val="20"/>
                <w:color w:val="auto"/>
              </w:rPr>
            </w:pPr>
            <w:r>
              <w:rPr>
                <w:rFonts w:ascii="Arial" w:cs="Arial" w:eastAsia="Arial" w:hAnsi="Arial"/>
                <w:sz w:val="18"/>
                <w:szCs w:val="18"/>
                <w:color w:val="auto"/>
              </w:rPr>
              <w:t>Adjusted EBITDA by Revenues.</w:t>
            </w:r>
          </w:p>
        </w:tc>
        <w:tc>
          <w:tcPr>
            <w:tcW w:w="3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6"/>
              </w:rPr>
              <w:t>calculating EBITDA in addition to certain other non-cash expenses.</w:t>
            </w:r>
          </w:p>
        </w:tc>
      </w:tr>
      <w:tr>
        <w:trPr>
          <w:trHeight w:val="229"/>
        </w:trPr>
        <w:tc>
          <w:tcPr>
            <w:tcW w:w="19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ind w:left="180"/>
              <w:spacing w:after="0"/>
              <w:rPr>
                <w:sz w:val="20"/>
                <w:szCs w:val="20"/>
                <w:color w:val="auto"/>
              </w:rPr>
            </w:pPr>
            <w:r>
              <w:rPr>
                <w:rFonts w:ascii="Arial" w:cs="Arial" w:eastAsia="Arial" w:hAnsi="Arial"/>
                <w:sz w:val="18"/>
                <w:szCs w:val="18"/>
                <w:color w:val="auto"/>
              </w:rPr>
              <w:t>To provide a consistent comparable metric for profitability of the</w:t>
            </w: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Company’s core performance across time periods.</w:t>
            </w: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ind w:left="180"/>
              <w:spacing w:after="0"/>
              <w:rPr>
                <w:sz w:val="20"/>
                <w:szCs w:val="20"/>
                <w:color w:val="auto"/>
              </w:rPr>
            </w:pPr>
            <w:r>
              <w:rPr>
                <w:rFonts w:ascii="Arial" w:cs="Arial" w:eastAsia="Arial" w:hAnsi="Arial"/>
                <w:sz w:val="18"/>
                <w:szCs w:val="18"/>
                <w:color w:val="auto"/>
              </w:rPr>
              <w:t>Used  by  management  to  facilitate  comparisons  of  operating</w:t>
            </w: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6"/>
              </w:rPr>
              <w:t>performance from period to period and to prepare annual operating</w:t>
            </w:r>
          </w:p>
        </w:tc>
      </w:tr>
      <w:tr>
        <w:trPr>
          <w:trHeight w:val="230"/>
        </w:trPr>
        <w:tc>
          <w:tcPr>
            <w:tcW w:w="19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budgets and forecasts.</w:t>
            </w:r>
          </w:p>
        </w:tc>
      </w:tr>
    </w:tbl>
    <w:p>
      <w:pPr>
        <w:spacing w:after="0" w:line="200" w:lineRule="exact"/>
        <w:rPr>
          <w:sz w:val="20"/>
          <w:szCs w:val="20"/>
          <w:color w:val="auto"/>
        </w:rPr>
      </w:pPr>
    </w:p>
    <w:p>
      <w:pPr>
        <w:spacing w:after="0" w:line="21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21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Consolidated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4"/>
              </w:rPr>
              <w:t>Three months ended March 31,</w:t>
            </w:r>
          </w:p>
        </w:tc>
        <w:tc>
          <w:tcPr>
            <w:tcW w:w="1220" w:type="dxa"/>
            <w:vAlign w:val="bottom"/>
            <w:tcBorders>
              <w:bottom w:val="single" w:sz="8" w:color="auto"/>
            </w:tcBorders>
          </w:tcPr>
          <w:p>
            <w:pPr>
              <w:spacing w:after="0"/>
              <w:rPr>
                <w:sz w:val="20"/>
                <w:szCs w:val="20"/>
                <w:color w:val="auto"/>
              </w:rPr>
            </w:pPr>
          </w:p>
        </w:tc>
      </w:tr>
      <w:tr>
        <w:trPr>
          <w:trHeight w:val="209"/>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5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9"/>
        </w:trPr>
        <w:tc>
          <w:tcPr>
            <w:tcW w:w="5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Revenues</w:t>
            </w:r>
          </w:p>
        </w:tc>
        <w:tc>
          <w:tcPr>
            <w:tcW w:w="1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30,050</w:t>
            </w:r>
          </w:p>
        </w:tc>
        <w:tc>
          <w:tcPr>
            <w:tcW w:w="1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40,329</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(10,279)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5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9"/>
        </w:trPr>
        <w:tc>
          <w:tcPr>
            <w:tcW w:w="5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(loss) income before income taxes</w:t>
            </w: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(2,809)</w:t>
            </w:r>
          </w:p>
        </w:tc>
        <w:tc>
          <w:tcPr>
            <w:tcW w:w="1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10,957</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(13,766)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9"/>
        </w:trPr>
        <w:tc>
          <w:tcPr>
            <w:tcW w:w="544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1,620</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3,010</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(1,390)</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Depreciation and amortization expense</w:t>
            </w:r>
          </w:p>
        </w:tc>
        <w:tc>
          <w:tcPr>
            <w:tcW w:w="1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20,700</w:t>
            </w:r>
          </w:p>
        </w:tc>
        <w:tc>
          <w:tcPr>
            <w:tcW w:w="1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13,066</w:t>
            </w: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7,634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9"/>
        </w:trPr>
        <w:tc>
          <w:tcPr>
            <w:tcW w:w="5440" w:type="dxa"/>
            <w:vAlign w:val="bottom"/>
          </w:tcPr>
          <w:p>
            <w:pPr>
              <w:ind w:left="60"/>
              <w:spacing w:after="0"/>
              <w:rPr>
                <w:sz w:val="20"/>
                <w:szCs w:val="20"/>
                <w:color w:val="auto"/>
              </w:rPr>
            </w:pPr>
            <w:r>
              <w:rPr>
                <w:rFonts w:ascii="Arial" w:cs="Arial" w:eastAsia="Arial" w:hAnsi="Arial"/>
                <w:sz w:val="18"/>
                <w:szCs w:val="18"/>
                <w:b w:val="1"/>
                <w:bCs w:val="1"/>
                <w:color w:val="auto"/>
              </w:rPr>
              <w:t>EBITDA</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19,511</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27,033</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(7,522)</w:t>
            </w: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EBITDA margin</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w:t>
            </w: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67%</w:t>
            </w: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440" w:type="dxa"/>
            <w:vAlign w:val="bottom"/>
          </w:tcPr>
          <w:p>
            <w:pPr>
              <w:ind w:left="60"/>
              <w:spacing w:after="0"/>
              <w:rPr>
                <w:sz w:val="20"/>
                <w:szCs w:val="20"/>
                <w:color w:val="auto"/>
              </w:rPr>
            </w:pPr>
            <w:r>
              <w:rPr>
                <w:rFonts w:ascii="Arial" w:cs="Arial" w:eastAsia="Arial" w:hAnsi="Arial"/>
                <w:sz w:val="18"/>
                <w:szCs w:val="18"/>
                <w:color w:val="auto"/>
              </w:rPr>
              <w:t>Share-based payment</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2,536</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6,105</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(3,569)</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Realized (gain) loss on disposition of digital assets</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(587)</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34</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(621)</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216"/>
        </w:trPr>
        <w:tc>
          <w:tcPr>
            <w:tcW w:w="5440" w:type="dxa"/>
            <w:vAlign w:val="bottom"/>
          </w:tcPr>
          <w:p>
            <w:pPr>
              <w:ind w:left="60"/>
              <w:spacing w:after="0"/>
              <w:rPr>
                <w:sz w:val="20"/>
                <w:szCs w:val="20"/>
                <w:color w:val="auto"/>
              </w:rPr>
            </w:pPr>
            <w:r>
              <w:rPr>
                <w:rFonts w:ascii="Arial" w:cs="Arial" w:eastAsia="Arial" w:hAnsi="Arial"/>
                <w:sz w:val="18"/>
                <w:szCs w:val="18"/>
                <w:color w:val="auto"/>
              </w:rPr>
              <w:t>Reversal of revaluation loss on digital assets</w:t>
            </w:r>
          </w:p>
        </w:tc>
        <w:tc>
          <w:tcPr>
            <w:tcW w:w="1780" w:type="dxa"/>
            <w:vAlign w:val="bottom"/>
          </w:tcPr>
          <w:p>
            <w:pPr>
              <w:jc w:val="right"/>
              <w:ind w:right="130"/>
              <w:spacing w:after="0"/>
              <w:rPr>
                <w:sz w:val="20"/>
                <w:szCs w:val="20"/>
                <w:color w:val="auto"/>
              </w:rPr>
            </w:pPr>
            <w:r>
              <w:rPr>
                <w:rFonts w:ascii="Arial" w:cs="Arial" w:eastAsia="Arial" w:hAnsi="Arial"/>
                <w:sz w:val="18"/>
                <w:szCs w:val="18"/>
                <w:b w:val="1"/>
                <w:bCs w:val="1"/>
                <w:color w:val="auto"/>
              </w:rPr>
              <w:t>(2,695)</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(3,702)</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1,007</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Gain on extinguishment of long-term debt and lease liabilities</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(12,835)</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(12,835)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Net financial (income) expenses and other</w:t>
            </w: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404</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(8,030)</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8,434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10"/>
        </w:trPr>
        <w:tc>
          <w:tcPr>
            <w:tcW w:w="54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Adjusted EBITDA</w:t>
            </w:r>
          </w:p>
        </w:tc>
        <w:tc>
          <w:tcPr>
            <w:tcW w:w="17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6,334</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21,440</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(15,106)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Adjusted EBITDA margin</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53%</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p>
      <w:pPr>
        <w:spacing w:after="0" w:line="200" w:lineRule="exact"/>
        <w:rPr>
          <w:sz w:val="20"/>
          <w:szCs w:val="20"/>
          <w:color w:val="auto"/>
        </w:rPr>
      </w:pPr>
    </w:p>
    <w:p>
      <w:pPr>
        <w:spacing w:after="0" w:line="24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22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Gross Mining Profit and Gross Mining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4"/>
              </w:rPr>
              <w:t>Three months ended March 31,</w:t>
            </w:r>
          </w:p>
        </w:tc>
        <w:tc>
          <w:tcPr>
            <w:tcW w:w="1220" w:type="dxa"/>
            <w:vAlign w:val="bottom"/>
            <w:tcBorders>
              <w:bottom w:val="single" w:sz="8" w:color="auto"/>
            </w:tcBorders>
          </w:tcPr>
          <w:p>
            <w:pPr>
              <w:spacing w:after="0"/>
              <w:rPr>
                <w:sz w:val="20"/>
                <w:szCs w:val="20"/>
                <w:color w:val="auto"/>
              </w:rPr>
            </w:pPr>
          </w:p>
        </w:tc>
      </w:tr>
      <w:tr>
        <w:trPr>
          <w:trHeight w:val="209"/>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5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Gross (loss) profit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(8,353)</w:t>
            </w:r>
          </w:p>
        </w:tc>
        <w:tc>
          <w:tcPr>
            <w:tcW w:w="1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17,037</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(25,390)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09"/>
        </w:trPr>
        <w:tc>
          <w:tcPr>
            <w:tcW w:w="5860" w:type="dxa"/>
            <w:vAlign w:val="bottom"/>
          </w:tcPr>
          <w:p>
            <w:pPr>
              <w:ind w:left="60"/>
              <w:spacing w:after="0"/>
              <w:rPr>
                <w:sz w:val="20"/>
                <w:szCs w:val="20"/>
                <w:color w:val="auto"/>
              </w:rPr>
            </w:pPr>
            <w:r>
              <w:rPr>
                <w:rFonts w:ascii="Arial" w:cs="Arial" w:eastAsia="Arial" w:hAnsi="Arial"/>
                <w:sz w:val="18"/>
                <w:szCs w:val="18"/>
                <w:color w:val="auto"/>
              </w:rPr>
              <w:t>Non-Mining revenues (1)</w:t>
            </w: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(842)</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(604)</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(238)</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Depreciation and amortization expense</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20,700</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13,066</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7,634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860" w:type="dxa"/>
            <w:vAlign w:val="bottom"/>
          </w:tcPr>
          <w:p>
            <w:pPr>
              <w:ind w:left="60"/>
              <w:spacing w:after="0"/>
              <w:rPr>
                <w:sz w:val="20"/>
                <w:szCs w:val="20"/>
                <w:color w:val="auto"/>
              </w:rPr>
            </w:pPr>
            <w:r>
              <w:rPr>
                <w:rFonts w:ascii="Arial" w:cs="Arial" w:eastAsia="Arial" w:hAnsi="Arial"/>
                <w:sz w:val="18"/>
                <w:szCs w:val="18"/>
                <w:color w:val="auto"/>
              </w:rPr>
              <w:t>Purchases of electrical components and other</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324</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312</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Electrician salaries and payroll taxes</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356</w:t>
            </w:r>
          </w:p>
        </w:tc>
        <w:tc>
          <w:tcPr>
            <w:tcW w:w="1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329</w:t>
            </w: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9"/>
        </w:trPr>
        <w:tc>
          <w:tcPr>
            <w:tcW w:w="5860" w:type="dxa"/>
            <w:vAlign w:val="bottom"/>
          </w:tcPr>
          <w:p>
            <w:pPr>
              <w:ind w:left="60"/>
              <w:spacing w:after="0"/>
              <w:rPr>
                <w:sz w:val="20"/>
                <w:szCs w:val="20"/>
                <w:color w:val="auto"/>
              </w:rPr>
            </w:pPr>
            <w:r>
              <w:rPr>
                <w:rFonts w:ascii="Arial" w:cs="Arial" w:eastAsia="Arial" w:hAnsi="Arial"/>
                <w:sz w:val="18"/>
                <w:szCs w:val="18"/>
                <w:b w:val="1"/>
                <w:bCs w:val="1"/>
                <w:color w:val="auto"/>
              </w:rPr>
              <w:t>Gross Mining profit (2)</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12,185</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30,140</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(17,955)</w:t>
            </w: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5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Gross Mining margin</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76%</w:t>
            </w: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(1)  Non-Mining revenues reconciliation:</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58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5"/>
              </w:rPr>
              <w:t>Three months ended March 31,</w:t>
            </w:r>
          </w:p>
        </w:tc>
        <w:tc>
          <w:tcPr>
            <w:tcW w:w="1220" w:type="dxa"/>
            <w:vAlign w:val="bottom"/>
            <w:tcBorders>
              <w:bottom w:val="single" w:sz="8" w:color="auto"/>
            </w:tcBorders>
          </w:tcPr>
          <w:p>
            <w:pPr>
              <w:spacing w:after="0"/>
              <w:rPr>
                <w:sz w:val="24"/>
                <w:szCs w:val="24"/>
                <w:color w:val="auto"/>
              </w:rPr>
            </w:pPr>
          </w:p>
        </w:tc>
      </w:tr>
      <w:tr>
        <w:trPr>
          <w:trHeight w:val="209"/>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09"/>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30,050</w:t>
            </w: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40,329</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(10,279)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Less Mining related revenues for the purpose of calculating gross Mining</w:t>
            </w:r>
          </w:p>
        </w:tc>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margin:</w:t>
            </w: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Mining revenues</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(29,208)</w:t>
            </w:r>
          </w:p>
        </w:tc>
        <w:tc>
          <w:tcPr>
            <w:tcW w:w="1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(39,725)</w:t>
            </w: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10,517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7"/>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Non-Mining revenues</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842</w:t>
            </w: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604</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“Gross Mining profit” is defined as Gross profit excluding depreciation and amortization and other minor items included in cost of revenues that do not directly relate to Mining related activities. “Gross Mining margin” is defined as the percentage obtained when dividing Gross Mining profit by Revenues from Mining related activities.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23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below, the Company’s current financing strategy involves selling BTC mined and in treasury and utilizing short-term debt, long-term debt and equity instruments to fund its expansion activities, operating expenses and debt service requirements. The Company anticipates requiring additional funds to complete its growth plans discussed in Section 6 - </w:t>
      </w:r>
      <w:r>
        <w:rPr>
          <w:rFonts w:ascii="Arial" w:cs="Arial" w:eastAsia="Arial" w:hAnsi="Arial"/>
          <w:sz w:val="18"/>
          <w:szCs w:val="18"/>
          <w:i w:val="1"/>
          <w:iCs w:val="1"/>
          <w:color w:val="auto"/>
        </w:rPr>
        <w:t>Expansion Projects</w:t>
      </w:r>
      <w:r>
        <w:rPr>
          <w:rFonts w:ascii="Arial" w:cs="Arial" w:eastAsia="Arial" w:hAnsi="Arial"/>
          <w:sz w:val="18"/>
          <w:szCs w:val="18"/>
          <w:color w:val="auto"/>
        </w:rPr>
        <w:t xml:space="preserve"> of this MD&amp;A.</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The Company sends funds periodically to Argentina to fund its expansion based on supplier invoices that are paid by the Argentinian subsidiary. The Argentinian subsidiary provides Mining services to its Canadian parent which owns and records revenue from the BTC mined in Argentina and, accordingly, the Argentinian subsidiary is not structured or contemplated to generate substantial cash flows above its internal requirements. The Argentinian subsidiary earns a market-based return on the services it provides to its Canadian parent.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A.</w:t>
            </w:r>
          </w:p>
        </w:tc>
        <w:tc>
          <w:tcPr>
            <w:tcW w:w="4680" w:type="dxa"/>
            <w:vAlign w:val="bottom"/>
          </w:tcPr>
          <w:p>
            <w:pPr>
              <w:ind w:left="240"/>
              <w:spacing w:after="0"/>
              <w:rPr>
                <w:sz w:val="20"/>
                <w:szCs w:val="20"/>
                <w:color w:val="auto"/>
              </w:rPr>
            </w:pPr>
            <w:r>
              <w:rPr>
                <w:rFonts w:ascii="Arial" w:cs="Arial" w:eastAsia="Arial" w:hAnsi="Arial"/>
                <w:sz w:val="18"/>
                <w:szCs w:val="18"/>
                <w:b w:val="1"/>
                <w:bCs w:val="1"/>
                <w:color w:val="auto"/>
              </w:rPr>
              <w:t>Cash Flows</w:t>
            </w:r>
          </w:p>
        </w:tc>
        <w:tc>
          <w:tcPr>
            <w:tcW w:w="2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5"/>
              </w:rPr>
              <w:t>Three months ended March 31,</w:t>
            </w:r>
          </w:p>
        </w:tc>
        <w:tc>
          <w:tcPr>
            <w:tcW w:w="1220" w:type="dxa"/>
            <w:vAlign w:val="bottom"/>
            <w:tcBorders>
              <w:bottom w:val="single" w:sz="8" w:color="auto"/>
            </w:tcBorders>
          </w:tcPr>
          <w:p>
            <w:pPr>
              <w:spacing w:after="0"/>
              <w:rPr>
                <w:sz w:val="24"/>
                <w:szCs w:val="24"/>
                <w:color w:val="auto"/>
              </w:rPr>
            </w:pPr>
          </w:p>
        </w:tc>
      </w:tr>
      <w:tr>
        <w:trPr>
          <w:trHeight w:val="209"/>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(U.S. $ in thousands except where indicated)</w:t>
            </w:r>
          </w:p>
        </w:tc>
        <w:tc>
          <w:tcPr>
            <w:tcW w:w="2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51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Cash, beginning of the period</w:t>
            </w:r>
          </w:p>
        </w:tc>
        <w:tc>
          <w:tcPr>
            <w:tcW w:w="2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30,887</w:t>
            </w:r>
          </w:p>
        </w:tc>
        <w:tc>
          <w:tcPr>
            <w:tcW w:w="1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125,595</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(94,708)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9"/>
        </w:trPr>
        <w:tc>
          <w:tcPr>
            <w:tcW w:w="5100" w:type="dxa"/>
            <w:vAlign w:val="bottom"/>
            <w:gridSpan w:val="2"/>
          </w:tcPr>
          <w:p>
            <w:pPr>
              <w:ind w:left="60"/>
              <w:spacing w:after="0"/>
              <w:rPr>
                <w:sz w:val="20"/>
                <w:szCs w:val="20"/>
                <w:color w:val="auto"/>
              </w:rPr>
            </w:pPr>
            <w:r>
              <w:rPr>
                <w:rFonts w:ascii="Arial" w:cs="Arial" w:eastAsia="Arial" w:hAnsi="Arial"/>
                <w:sz w:val="18"/>
                <w:szCs w:val="18"/>
                <w:color w:val="auto"/>
              </w:rPr>
              <w:t>Cash flows from (used in):</w:t>
            </w:r>
          </w:p>
        </w:tc>
        <w:tc>
          <w:tcPr>
            <w:tcW w:w="2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21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1,029</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(40,169)</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41,198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100" w:type="dxa"/>
            <w:vAlign w:val="bottom"/>
            <w:gridSpan w:val="2"/>
          </w:tcPr>
          <w:p>
            <w:pPr>
              <w:ind w:left="120"/>
              <w:spacing w:after="0"/>
              <w:rPr>
                <w:sz w:val="20"/>
                <w:szCs w:val="20"/>
                <w:color w:val="auto"/>
              </w:rPr>
            </w:pPr>
            <w:r>
              <w:rPr>
                <w:rFonts w:ascii="Arial" w:cs="Arial" w:eastAsia="Arial" w:hAnsi="Arial"/>
                <w:sz w:val="18"/>
                <w:szCs w:val="18"/>
                <w:color w:val="auto"/>
              </w:rPr>
              <w:t>Investing activities</w:t>
            </w:r>
          </w:p>
        </w:tc>
        <w:tc>
          <w:tcPr>
            <w:tcW w:w="2120" w:type="dxa"/>
            <w:vAlign w:val="bottom"/>
          </w:tcPr>
          <w:p>
            <w:pPr>
              <w:jc w:val="right"/>
              <w:ind w:right="50"/>
              <w:spacing w:after="0"/>
              <w:rPr>
                <w:sz w:val="20"/>
                <w:szCs w:val="20"/>
                <w:color w:val="auto"/>
              </w:rPr>
            </w:pPr>
            <w:r>
              <w:rPr>
                <w:rFonts w:ascii="Arial" w:cs="Arial" w:eastAsia="Arial" w:hAnsi="Arial"/>
                <w:sz w:val="18"/>
                <w:szCs w:val="18"/>
                <w:b w:val="1"/>
                <w:bCs w:val="1"/>
                <w:color w:val="auto"/>
              </w:rPr>
              <w:t>(3,528)</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(100,073)</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96,545</w:t>
            </w: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21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943</w:t>
            </w:r>
          </w:p>
        </w:tc>
        <w:tc>
          <w:tcPr>
            <w:tcW w:w="1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91,940</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(90,997)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5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Exchange rate differences on currency translation</w:t>
            </w:r>
          </w:p>
        </w:tc>
        <w:tc>
          <w:tcPr>
            <w:tcW w:w="2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47</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46</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216"/>
        </w:trPr>
        <w:tc>
          <w:tcPr>
            <w:tcW w:w="51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Cash, end of the period</w:t>
            </w:r>
          </w:p>
        </w:tc>
        <w:tc>
          <w:tcPr>
            <w:tcW w:w="2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29,378</w:t>
            </w:r>
          </w:p>
        </w:tc>
        <w:tc>
          <w:tcPr>
            <w:tcW w:w="1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77,294</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(47,916)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Cash flows from operating activities increased by $41.2 million during Q1 2023 compared to Q1 2022. The increase in net cash flows from operating activities was primarily driven by:</w:t>
      </w:r>
    </w:p>
    <w:p>
      <w:pPr>
        <w:spacing w:after="0" w:line="1" w:lineRule="exact"/>
        <w:rPr>
          <w:sz w:val="20"/>
          <w:szCs w:val="20"/>
          <w:color w:val="auto"/>
        </w:rPr>
      </w:pPr>
    </w:p>
    <w:p>
      <w:pPr>
        <w:ind w:left="66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liquidation of 1,267 BTC for total operating proceeds of $28.5 million during Q1 2023, compared to 18 BTC for total proceeds of $0.7 million for the same period in 2022;</w:t>
      </w: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decline in income taxes paid with $12.0 million paid in Q1 2022, compared to nil in Q1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Other favorable working capital variances totaling $5.8 million that are explained in Section 11 - </w:t>
      </w:r>
      <w:r>
        <w:rPr>
          <w:rFonts w:ascii="Arial" w:cs="Arial" w:eastAsia="Arial" w:hAnsi="Arial"/>
          <w:sz w:val="18"/>
          <w:szCs w:val="18"/>
          <w:i w:val="1"/>
          <w:iCs w:val="1"/>
          <w:color w:val="auto"/>
        </w:rPr>
        <w:t>Financial Position</w:t>
      </w:r>
      <w:r>
        <w:rPr>
          <w:rFonts w:ascii="Arial" w:cs="Arial" w:eastAsia="Arial" w:hAnsi="Arial"/>
          <w:sz w:val="18"/>
          <w:szCs w:val="18"/>
          <w:color w:val="auto"/>
        </w:rPr>
        <w:t xml:space="preserve"> of this MD&amp;A;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cash G&amp;A expenses of $1.8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interest and financial expenses paid of $1.0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partially offset by:</w:t>
      </w:r>
    </w:p>
    <w:p>
      <w:pPr>
        <w:spacing w:after="0" w:line="23"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Higher energy and infrastructure costs of $7.4 million.</w:t>
      </w:r>
    </w:p>
    <w:p>
      <w:pPr>
        <w:spacing w:after="0" w:line="200" w:lineRule="exact"/>
        <w:rPr>
          <w:sz w:val="20"/>
          <w:szCs w:val="20"/>
          <w:color w:val="auto"/>
        </w:rPr>
      </w:pPr>
    </w:p>
    <w:p>
      <w:pPr>
        <w:spacing w:after="0" w:line="22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24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decreased by $96.5 million during Q1 2023 compared to Q1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flow used in investing activities is explained by:</w:t>
      </w:r>
    </w:p>
    <w:p>
      <w:pPr>
        <w:spacing w:after="0" w:line="23" w:lineRule="exact"/>
        <w:rPr>
          <w:sz w:val="20"/>
          <w:szCs w:val="20"/>
          <w:color w:val="auto"/>
        </w:rPr>
      </w:pPr>
    </w:p>
    <w:p>
      <w:pPr>
        <w:ind w:left="66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Company not purchasing BTC in Q1 2023 compared to acquiring 1,000 BTC for $43.2 million in Q1 2022. Refer to Section 10B -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Capital Resources (capital resources - digital asset management program) </w:t>
      </w:r>
      <w:r>
        <w:rPr>
          <w:rFonts w:ascii="Arial" w:cs="Arial" w:eastAsia="Arial" w:hAnsi="Arial"/>
          <w:sz w:val="18"/>
          <w:szCs w:val="18"/>
          <w:color w:val="auto"/>
        </w:rPr>
        <w:t>of this MD&amp;A;</w:t>
      </w:r>
    </w:p>
    <w:p>
      <w:pPr>
        <w:jc w:val="both"/>
        <w:ind w:left="66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Company’s postponement of development of the second warehouse in Argentina resulted in no advance payment made for equipment and construction materials relating to the Argentina expansion in Q1 2023, compared to $45.1 million in advanced payments made on new property, plant and equipment (“PPE”) in Q1 2022; and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$5.7 million of net additions of PPE during Q1 2023, compared to $22.6 million for the same period in 2022 primarily due to Miners and infrastructure build-out.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partially offset by:</w:t>
      </w:r>
    </w:p>
    <w:p>
      <w:pPr>
        <w:spacing w:after="0" w:line="23" w:lineRule="exact"/>
        <w:rPr>
          <w:sz w:val="20"/>
          <w:szCs w:val="20"/>
          <w:color w:val="auto"/>
        </w:rPr>
      </w:pPr>
    </w:p>
    <w:p>
      <w:pPr>
        <w:jc w:val="both"/>
        <w:ind w:left="660" w:hanging="328"/>
        <w:spacing w:after="0" w:line="255"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$2.2 million of net proceeds received from the purchase and disposition of marketable securities to fund the Argentina expansion activities compared to $10.9 million for the same period in 2022, as described in Note 19 - </w:t>
      </w:r>
      <w:r>
        <w:rPr>
          <w:rFonts w:ascii="Arial" w:cs="Arial" w:eastAsia="Arial" w:hAnsi="Arial"/>
          <w:sz w:val="18"/>
          <w:szCs w:val="18"/>
          <w:i w:val="1"/>
          <w:iCs w:val="1"/>
          <w:color w:val="auto"/>
        </w:rPr>
        <w:t>Additional Details to the Statement of Profit or Loss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Profit or Loss </w:t>
      </w:r>
      <w:r>
        <w:rPr>
          <w:rFonts w:ascii="Arial" w:cs="Arial" w:eastAsia="Arial" w:hAnsi="Arial"/>
          <w:sz w:val="18"/>
          <w:szCs w:val="18"/>
          <w:color w:val="auto"/>
        </w:rPr>
        <w:t>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 decreased by $91.0 million from $91.9 million for Q1 2022 to $0.9 million for Q1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Q1 2023</w:t>
      </w:r>
    </w:p>
    <w:p>
      <w:pPr>
        <w:spacing w:after="0" w:line="23" w:lineRule="exact"/>
        <w:rPr>
          <w:sz w:val="20"/>
          <w:szCs w:val="20"/>
          <w:color w:val="auto"/>
        </w:rPr>
      </w:pPr>
    </w:p>
    <w:p>
      <w:pPr>
        <w:ind w:left="660" w:hanging="328"/>
        <w:spacing w:after="0" w:line="265"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raised $15.8 million of net proceeds from its at-the-market equity offering program which were partially offset by scheduled and one-time payments relating to long-term debt and lease liabilities of approximately $13.5 million and $1.4 million, respectively.</w:t>
      </w: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long-term debt repayments included: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settlement of the BlockFi Loan on February 8, 2023 for a cash consideration of $7.8 million, as discussed below;</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Capital repayments of $5.3 million towards the NYDIG loan which reduced the outstanding balance to $21.0 million as of Q1 2023; and</w:t>
      </w:r>
    </w:p>
    <w:p>
      <w:pPr>
        <w:spacing w:after="0" w:line="32" w:lineRule="exact"/>
        <w:rPr>
          <w:rFonts w:ascii="Arial" w:cs="Arial" w:eastAsia="Arial" w:hAnsi="Arial"/>
          <w:sz w:val="16"/>
          <w:szCs w:val="16"/>
          <w:color w:val="auto"/>
        </w:rPr>
      </w:pPr>
    </w:p>
    <w:p>
      <w:pPr>
        <w:ind w:left="1300" w:hanging="320"/>
        <w:spacing w:after="0" w:line="250"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full repayment of the principal amount of the remaining Foundry Loans #2, #3 and #4, as defined in the Financial Statements, before maturity and without prepayment penalty for $0.8 million.</w:t>
      </w: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lease repayments included:</w:t>
      </w:r>
    </w:p>
    <w:p>
      <w:pPr>
        <w:spacing w:after="0" w:line="9" w:lineRule="exact"/>
        <w:rPr>
          <w:rFonts w:ascii="Arial" w:cs="Arial" w:eastAsia="Arial" w:hAnsi="Arial"/>
          <w:sz w:val="18"/>
          <w:szCs w:val="18"/>
          <w:color w:val="auto"/>
        </w:rPr>
      </w:pPr>
    </w:p>
    <w:p>
      <w:pPr>
        <w:ind w:left="1300" w:hanging="320"/>
        <w:spacing w:after="0" w:line="260"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During February 2023, the Company modified its lease agreement with Reliz Ltd. (where BlockFi was the lender to Reliz Ltd.) in order to settle its outstanding lease liability of $0.4 million for a payment of $0.1 million.</w:t>
      </w:r>
    </w:p>
    <w:p>
      <w:pPr>
        <w:spacing w:after="0" w:line="200" w:lineRule="exact"/>
        <w:rPr>
          <w:sz w:val="20"/>
          <w:szCs w:val="20"/>
          <w:color w:val="auto"/>
        </w:rPr>
      </w:pPr>
    </w:p>
    <w:p>
      <w:pPr>
        <w:spacing w:after="0" w:line="20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25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Q1 2022</w:t>
      </w:r>
    </w:p>
    <w:p>
      <w:pPr>
        <w:spacing w:after="0" w:line="9" w:lineRule="exact"/>
        <w:rPr>
          <w:sz w:val="20"/>
          <w:szCs w:val="20"/>
          <w:color w:val="auto"/>
        </w:rPr>
      </w:pPr>
    </w:p>
    <w:p>
      <w:pPr>
        <w:ind w:left="660" w:hanging="328"/>
        <w:spacing w:after="0" w:line="250"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During Q1 2022, $26.3 million was raised from the issuance of common shares and warrants, $31.0 million was raised from long-term debt and $40.0 million was raised from the Credit Facility which was fully repaid in the fourth quarter of 2022; and</w:t>
      </w: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During Q1 2022, these proceeds were partially offset by long-term debt and lease repayments of $4.3 million and $1.0 million,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BlockFi Loan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18, 2022, Bitfarms’ subsidiary, Backbone Mining Solutions Inc. (“Backbone Mining”), entered into a $32.0 million equipment financing facility with BlockFi, which was classified as long-term debt in the statement of financial position. Backbone Mining owns or leases the assets of Bitfarms’ 20-megawatt active crypto mining facilities in the State of Washington. The BlockFi loan was recourse only against Backbone Mining, and the loan was secured by its Miners, and in the event of default, BTC produced by those Miners.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collateralizing the loan, became unencumbered.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Bitfarms commenced an at-the-market (“ATM”) equity offering program on August 16, 2021, by means of a prospectus supplement dated August 16, 2021, to the Company’s short form base shelf prospectus dated August 12, 2021, and U.S. registration statement on Form-F-10, which includes a prospectus supplement related to the ATM. The Company may, at its discretion and from time-to-time, sell common shares of the Company as would result in the Company receiving aggregate proceeds of up to $500 million. Since the ATM equity offering program commenced, the Company had issued 69,187,000 common shares for net proceeds of $215.5 million as of March 31,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Q1 2023 v. Q1 2022</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March 31, 2023, the Company issued under the ATM 15,940,000 common shares in exchange for gross proceeds of $16.4 million at an average share price of approximately $1.03. The Company received net proceeds of $15.8 million after paying commissions of $0.5 million to the Company’s agent. During the three months ended March 31, 2022, the Company issued 6,821,000 common shares in exchange for gross proceeds of $27.2 million at an average share price of approximately $3.99. The Company received net proceeds of $26.3 million after paying commissions of $0.8 million to the Company’s agent, in addition to $0.1 million of other transaction fees.</w:t>
      </w:r>
    </w:p>
    <w:p>
      <w:pPr>
        <w:spacing w:after="0" w:line="39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26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has used and intends to continue to use the proceeds from the ATM equity offering program prudently to support the growth and development of the Company’s Mining operations, as described in Section 6 - </w:t>
      </w:r>
      <w:r>
        <w:rPr>
          <w:rFonts w:ascii="Arial" w:cs="Arial" w:eastAsia="Arial" w:hAnsi="Arial"/>
          <w:sz w:val="18"/>
          <w:szCs w:val="18"/>
          <w:i w:val="1"/>
          <w:iCs w:val="1"/>
          <w:color w:val="auto"/>
        </w:rPr>
        <w:t>Expansion Projects</w:t>
      </w:r>
      <w:r>
        <w:rPr>
          <w:rFonts w:ascii="Arial" w:cs="Arial" w:eastAsia="Arial" w:hAnsi="Arial"/>
          <w:sz w:val="18"/>
          <w:szCs w:val="18"/>
          <w:color w:val="auto"/>
        </w:rPr>
        <w:t xml:space="preserve"> of this MD&amp;A, as well as for working capital and general corporate purposes. Described below are the actual use of proceeds from the commencement of the ATM equity offering program through March 31,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(U.S. $ in thousands except where indicated)</w:t>
            </w:r>
          </w:p>
        </w:tc>
        <w:tc>
          <w:tcPr>
            <w:tcW w:w="38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Use of proceeds from</w:t>
            </w:r>
          </w:p>
        </w:tc>
        <w:tc>
          <w:tcPr>
            <w:tcW w:w="0" w:type="dxa"/>
            <w:vAlign w:val="bottom"/>
          </w:tcPr>
          <w:p>
            <w:pPr>
              <w:spacing w:after="0"/>
              <w:rPr>
                <w:sz w:val="1"/>
                <w:szCs w:val="1"/>
                <w:color w:val="auto"/>
              </w:rPr>
            </w:pPr>
          </w:p>
        </w:tc>
      </w:tr>
      <w:tr>
        <w:trPr>
          <w:trHeight w:val="198"/>
        </w:trPr>
        <w:tc>
          <w:tcPr>
            <w:tcW w:w="7380" w:type="dxa"/>
            <w:vAlign w:val="bottom"/>
          </w:tcPr>
          <w:p>
            <w:pPr>
              <w:spacing w:after="0"/>
              <w:rPr>
                <w:sz w:val="17"/>
                <w:szCs w:val="17"/>
                <w:color w:val="auto"/>
              </w:rPr>
            </w:pPr>
          </w:p>
        </w:tc>
        <w:tc>
          <w:tcPr>
            <w:tcW w:w="3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3860" w:type="dxa"/>
            <w:vAlign w:val="bottom"/>
          </w:tcPr>
          <w:p>
            <w:pPr>
              <w:jc w:val="right"/>
              <w:ind w:right="10"/>
              <w:spacing w:after="0"/>
              <w:rPr>
                <w:sz w:val="20"/>
                <w:szCs w:val="20"/>
                <w:color w:val="auto"/>
              </w:rPr>
            </w:pPr>
            <w:r>
              <w:rPr>
                <w:rFonts w:ascii="Arial" w:cs="Arial" w:eastAsia="Arial" w:hAnsi="Arial"/>
                <w:sz w:val="18"/>
                <w:szCs w:val="18"/>
                <w:b w:val="1"/>
                <w:bCs w:val="1"/>
                <w:color w:val="auto"/>
              </w:rPr>
              <w:t>August 16, 2021 to</w:t>
            </w:r>
          </w:p>
        </w:tc>
        <w:tc>
          <w:tcPr>
            <w:tcW w:w="0" w:type="dxa"/>
            <w:vAlign w:val="bottom"/>
          </w:tcPr>
          <w:p>
            <w:pPr>
              <w:spacing w:after="0"/>
              <w:rPr>
                <w:sz w:val="1"/>
                <w:szCs w:val="1"/>
                <w:color w:val="auto"/>
              </w:rPr>
            </w:pPr>
          </w:p>
        </w:tc>
      </w:tr>
      <w:tr>
        <w:trPr>
          <w:trHeight w:val="234"/>
        </w:trPr>
        <w:tc>
          <w:tcPr>
            <w:tcW w:w="73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Categories</w:t>
            </w:r>
          </w:p>
        </w:tc>
        <w:tc>
          <w:tcPr>
            <w:tcW w:w="3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2023</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MicroBT Miners</w:t>
            </w:r>
          </w:p>
        </w:tc>
        <w:tc>
          <w:tcPr>
            <w:tcW w:w="3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97,819</w:t>
            </w:r>
          </w:p>
        </w:tc>
        <w:tc>
          <w:tcPr>
            <w:tcW w:w="0" w:type="dxa"/>
            <w:vAlign w:val="bottom"/>
          </w:tcPr>
          <w:p>
            <w:pPr>
              <w:spacing w:after="0"/>
              <w:rPr>
                <w:sz w:val="1"/>
                <w:szCs w:val="1"/>
                <w:color w:val="auto"/>
              </w:rPr>
            </w:pPr>
          </w:p>
        </w:tc>
      </w:tr>
      <w:tr>
        <w:trPr>
          <w:trHeight w:val="216"/>
        </w:trPr>
        <w:tc>
          <w:tcPr>
            <w:tcW w:w="7380" w:type="dxa"/>
            <w:vAlign w:val="bottom"/>
          </w:tcPr>
          <w:p>
            <w:pPr>
              <w:ind w:left="60"/>
              <w:spacing w:after="0"/>
              <w:rPr>
                <w:sz w:val="20"/>
                <w:szCs w:val="20"/>
                <w:color w:val="auto"/>
              </w:rPr>
            </w:pPr>
            <w:r>
              <w:rPr>
                <w:rFonts w:ascii="Arial" w:cs="Arial" w:eastAsia="Arial" w:hAnsi="Arial"/>
                <w:sz w:val="18"/>
                <w:szCs w:val="18"/>
                <w:color w:val="auto"/>
              </w:rPr>
              <w:t>Bitmain Miners</w:t>
            </w:r>
          </w:p>
        </w:tc>
        <w:tc>
          <w:tcPr>
            <w:tcW w:w="3860" w:type="dxa"/>
            <w:vAlign w:val="bottom"/>
          </w:tcPr>
          <w:p>
            <w:pPr>
              <w:jc w:val="right"/>
              <w:ind w:right="10"/>
              <w:spacing w:after="0"/>
              <w:rPr>
                <w:sz w:val="20"/>
                <w:szCs w:val="20"/>
                <w:color w:val="auto"/>
              </w:rPr>
            </w:pPr>
            <w:r>
              <w:rPr>
                <w:rFonts w:ascii="Arial" w:cs="Arial" w:eastAsia="Arial" w:hAnsi="Arial"/>
                <w:sz w:val="18"/>
                <w:szCs w:val="18"/>
                <w:b w:val="1"/>
                <w:bCs w:val="1"/>
                <w:color w:val="auto"/>
              </w:rPr>
              <w:t>24,057</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Washington Expansion</w:t>
            </w:r>
          </w:p>
        </w:tc>
        <w:tc>
          <w:tcPr>
            <w:tcW w:w="3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26,208</w:t>
            </w:r>
          </w:p>
        </w:tc>
        <w:tc>
          <w:tcPr>
            <w:tcW w:w="0" w:type="dxa"/>
            <w:vAlign w:val="bottom"/>
          </w:tcPr>
          <w:p>
            <w:pPr>
              <w:spacing w:after="0"/>
              <w:rPr>
                <w:sz w:val="1"/>
                <w:szCs w:val="1"/>
                <w:color w:val="auto"/>
              </w:rPr>
            </w:pPr>
          </w:p>
        </w:tc>
      </w:tr>
      <w:tr>
        <w:trPr>
          <w:trHeight w:val="216"/>
        </w:trPr>
        <w:tc>
          <w:tcPr>
            <w:tcW w:w="7380" w:type="dxa"/>
            <w:vAlign w:val="bottom"/>
          </w:tcPr>
          <w:p>
            <w:pPr>
              <w:ind w:left="60"/>
              <w:spacing w:after="0"/>
              <w:rPr>
                <w:sz w:val="20"/>
                <w:szCs w:val="20"/>
                <w:color w:val="auto"/>
              </w:rPr>
            </w:pPr>
            <w:r>
              <w:rPr>
                <w:rFonts w:ascii="Arial" w:cs="Arial" w:eastAsia="Arial" w:hAnsi="Arial"/>
                <w:sz w:val="18"/>
                <w:szCs w:val="18"/>
                <w:color w:val="auto"/>
              </w:rPr>
              <w:t>Sherbrooke Expansion (completed in 2022)</w:t>
            </w:r>
          </w:p>
        </w:tc>
        <w:tc>
          <w:tcPr>
            <w:tcW w:w="3860" w:type="dxa"/>
            <w:vAlign w:val="bottom"/>
          </w:tcPr>
          <w:p>
            <w:pPr>
              <w:jc w:val="right"/>
              <w:ind w:right="10"/>
              <w:spacing w:after="0"/>
              <w:rPr>
                <w:sz w:val="20"/>
                <w:szCs w:val="20"/>
                <w:color w:val="auto"/>
              </w:rPr>
            </w:pPr>
            <w:r>
              <w:rPr>
                <w:rFonts w:ascii="Arial" w:cs="Arial" w:eastAsia="Arial" w:hAnsi="Arial"/>
                <w:sz w:val="18"/>
                <w:szCs w:val="18"/>
                <w:b w:val="1"/>
                <w:bCs w:val="1"/>
                <w:color w:val="auto"/>
              </w:rPr>
              <w:t>22,201</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Argentina Expansion, net of gain on disposition of marketable securities</w:t>
            </w:r>
          </w:p>
        </w:tc>
        <w:tc>
          <w:tcPr>
            <w:tcW w:w="3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41,363</w:t>
            </w:r>
          </w:p>
        </w:tc>
        <w:tc>
          <w:tcPr>
            <w:tcW w:w="0" w:type="dxa"/>
            <w:vAlign w:val="bottom"/>
          </w:tcPr>
          <w:p>
            <w:pPr>
              <w:spacing w:after="0"/>
              <w:rPr>
                <w:sz w:val="1"/>
                <w:szCs w:val="1"/>
                <w:color w:val="auto"/>
              </w:rPr>
            </w:pPr>
          </w:p>
        </w:tc>
      </w:tr>
      <w:tr>
        <w:trPr>
          <w:trHeight w:val="216"/>
        </w:trPr>
        <w:tc>
          <w:tcPr>
            <w:tcW w:w="7380" w:type="dxa"/>
            <w:vAlign w:val="bottom"/>
          </w:tcPr>
          <w:p>
            <w:pPr>
              <w:ind w:left="60"/>
              <w:spacing w:after="0"/>
              <w:rPr>
                <w:sz w:val="20"/>
                <w:szCs w:val="20"/>
                <w:color w:val="auto"/>
              </w:rPr>
            </w:pPr>
            <w:r>
              <w:rPr>
                <w:rFonts w:ascii="Arial" w:cs="Arial" w:eastAsia="Arial" w:hAnsi="Arial"/>
                <w:sz w:val="18"/>
                <w:szCs w:val="18"/>
                <w:color w:val="auto"/>
              </w:rPr>
              <w:t>Cowansville Expansion (completed in 2022)</w:t>
            </w:r>
          </w:p>
        </w:tc>
        <w:tc>
          <w:tcPr>
            <w:tcW w:w="3860" w:type="dxa"/>
            <w:vAlign w:val="bottom"/>
          </w:tcPr>
          <w:p>
            <w:pPr>
              <w:jc w:val="right"/>
              <w:ind w:right="10"/>
              <w:spacing w:after="0"/>
              <w:rPr>
                <w:sz w:val="20"/>
                <w:szCs w:val="20"/>
                <w:color w:val="auto"/>
              </w:rPr>
            </w:pPr>
            <w:r>
              <w:rPr>
                <w:rFonts w:ascii="Arial" w:cs="Arial" w:eastAsia="Arial" w:hAnsi="Arial"/>
                <w:sz w:val="18"/>
                <w:szCs w:val="18"/>
                <w:b w:val="1"/>
                <w:bCs w:val="1"/>
                <w:color w:val="auto"/>
              </w:rPr>
              <w:t>573</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Paraguay Expansion</w:t>
            </w:r>
          </w:p>
        </w:tc>
        <w:tc>
          <w:tcPr>
            <w:tcW w:w="3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3,230</w:t>
            </w:r>
          </w:p>
        </w:tc>
        <w:tc>
          <w:tcPr>
            <w:tcW w:w="0" w:type="dxa"/>
            <w:vAlign w:val="bottom"/>
          </w:tcPr>
          <w:p>
            <w:pPr>
              <w:spacing w:after="0"/>
              <w:rPr>
                <w:sz w:val="1"/>
                <w:szCs w:val="1"/>
                <w:color w:val="auto"/>
              </w:rPr>
            </w:pPr>
          </w:p>
        </w:tc>
      </w:tr>
      <w:tr>
        <w:trPr>
          <w:trHeight w:val="228"/>
        </w:trPr>
        <w:tc>
          <w:tcPr>
            <w:tcW w:w="7380" w:type="dxa"/>
            <w:vAlign w:val="bottom"/>
          </w:tcPr>
          <w:p>
            <w:pPr>
              <w:spacing w:after="0"/>
              <w:rPr>
                <w:sz w:val="19"/>
                <w:szCs w:val="19"/>
                <w:color w:val="auto"/>
              </w:rPr>
            </w:pPr>
          </w:p>
        </w:tc>
        <w:tc>
          <w:tcPr>
            <w:tcW w:w="3860" w:type="dxa"/>
            <w:vAlign w:val="bottom"/>
          </w:tcPr>
          <w:p>
            <w:pPr>
              <w:jc w:val="right"/>
              <w:ind w:right="10"/>
              <w:spacing w:after="0"/>
              <w:rPr>
                <w:sz w:val="20"/>
                <w:szCs w:val="20"/>
                <w:color w:val="auto"/>
              </w:rPr>
            </w:pPr>
            <w:r>
              <w:rPr>
                <w:rFonts w:ascii="Arial" w:cs="Arial" w:eastAsia="Arial" w:hAnsi="Arial"/>
                <w:sz w:val="18"/>
                <w:szCs w:val="18"/>
                <w:b w:val="1"/>
                <w:bCs w:val="1"/>
                <w:color w:val="auto"/>
              </w:rPr>
              <w:t>215,451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70" w:lineRule="auto"/>
        <w:rPr>
          <w:sz w:val="20"/>
          <w:szCs w:val="20"/>
          <w:color w:val="auto"/>
        </w:rPr>
      </w:pPr>
      <w:r>
        <w:rPr>
          <w:rFonts w:ascii="Arial" w:cs="Arial" w:eastAsia="Arial" w:hAnsi="Arial"/>
          <w:sz w:val="18"/>
          <w:szCs w:val="18"/>
          <w:color w:val="auto"/>
        </w:rPr>
        <w:t>The Company intends to continue to explore expansion opportunities in new and existing facilities, subject to market conditions and the ability to continue to obtain suitable financing.</w:t>
      </w:r>
    </w:p>
    <w:p>
      <w:pPr>
        <w:spacing w:after="0" w:line="173"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Bitfarms’ capital management objective is to provide the financial resources that will enable the Company to maximize the return for its shareholders while optimizing its cost of capital. In order to achieve this objective, the Company monitors its capital structure and makes adjustments as required in light of changes in economic conditions, the cost of providing the financing, and the risks to which the Company is exposed. The Company’s strategy for achieving this objective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the current capital budget and BTC prices, the Company currently anticipates that additional financing would be required to complete construction of warehouse #2 in Argentina when and if conditions are satisfactory and to initiate and complete the construction of warehouse #3 and #4 in Argentina, if the Company elects to do so. The Company also anticipates that additional financing will be required to purchase sufficient Miners for the Company to meet its objective of generating 6.0 EH/s of computer power by the end of the third quarter of 2023. In order to achieve its business objectives, the Company may sell or borrow against the BTC that have been accumulated as of the date hereof as well as BTC generated from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200" w:lineRule="exact"/>
        <w:rPr>
          <w:sz w:val="20"/>
          <w:szCs w:val="20"/>
          <w:color w:val="auto"/>
        </w:rPr>
      </w:pPr>
    </w:p>
    <w:p>
      <w:pPr>
        <w:spacing w:after="0" w:line="20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27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Resources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Asset Management Program</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early January 2021, the Company implemented a digital asset management program pursuant to which the Company added 3,301 BTC to its balance sheet during the year ended December 31, 2021.</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2022, the Board of Directors (the “BOD”) authorized management to purchase 1,000 BTC. During the second quarter of 2022, following the BOD approval, the Company sold 3,000 BTC in collateral to repay part of the Credit Facility and 350 BTC in treasury to manage liquidity levels. During the third quarter of 2022, the Company sold 670 BTC in collateral to repay part of the Credit Facility and 1,925 BTC in treasury to maintain sufficient liquidity levels. On August 1, 2022, management received approval from the BOD to sell daily production, in addition to any sale of up to 1,000 BTC from treasury, should market conditions be justified in its discretion. During Q4 2022, the Company sold 1,359 BTC in collateral to repay the remaining balance of the Credit Facility in full and 1,734 BTC in treasury to manage liquidity levels.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Q1 2023, the Company sold 1,267 BTC for total proceeds of $28.5 million, a portion of which was used to repay equipment-related indebtedness and fund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and disposal of BTC as described above while the Company continued to mine BTC resulted in total holdings of 435 BTC as of March 31, 2023, valued at approximately $12.4 million based on a BTC price of approximately $28,500, as of March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Custody of digital assets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BTC is mined to multi-signature wallets that the Company controls or directly to an external third-party custodian. On a regular basis, the Company transfers BTC from its multi-signature wallets to an external third-party custodian, Coinbase Custody, LLC (“Coinbase Custody”). Coinbase Custody is a US-based fiduciary and qualified custodian under New York Banking Law and is licensed by the State of New York to custody digital assets. Currently, Coinbase Custody provides only custodial services to the Company and does not use a sub-custodian. Coinbase Custody is not a related party to the Company. Coinbase Custody is a fiduciary under § 100 of the New York Banking Law and is licensed to custody its clients’ digital assets in trust on their behalf. Coinbase Custody is a qualified custodian for the purposes of § 206 (4) -2(d)(6) of the U.S. Investment Advisers Act of 1940, as amended.</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14, 2023, the Company has 520 BTC, net of BTC sales, valued at $14.0 million on its balance sheet. As of the date of this MD&amp;A, 99% of the Company’s BTC are held in custody with Coinbase Custody or held as collateral within Coinbase Custody by NYDIG, the counterparty to the Company’s equipment financing, which is classified as long-term debt in the statement of financial position.</w:t>
      </w:r>
    </w:p>
    <w:p>
      <w:pPr>
        <w:spacing w:after="0" w:line="400"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28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Resources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Custody of digital assets </w:t>
      </w:r>
      <w:r>
        <w:rPr>
          <w:rFonts w:ascii="Arial" w:cs="Arial" w:eastAsia="Arial" w:hAnsi="Arial"/>
          <w:sz w:val="18"/>
          <w:szCs w:val="18"/>
          <w:color w:val="auto"/>
        </w:rPr>
        <w:t>(Continued)</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Coinbase Custody maintains an insurance policy of $320 million for its cold storage; however, the Company cannot ensure that the limits of this policy would be available to the Company or, if available, sufficient to make the Company whole for any BTC that are lost or stolen. The Company is unaware of:</w:t>
      </w:r>
    </w:p>
    <w:p>
      <w:pPr>
        <w:spacing w:after="0" w:line="1" w:lineRule="exact"/>
        <w:rPr>
          <w:sz w:val="20"/>
          <w:szCs w:val="20"/>
          <w:color w:val="auto"/>
        </w:rPr>
      </w:pPr>
    </w:p>
    <w:p>
      <w:pPr>
        <w:jc w:val="both"/>
        <w:ind w:firstLine="8"/>
        <w:spacing w:after="0" w:line="251" w:lineRule="auto"/>
        <w:tabs>
          <w:tab w:leader="none" w:pos="2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security breaches involving Coinbase Custody which have resulted in the Company’s crypto assets being lost or stolen, and (ii) anything with regards to Coinbase Custody’s operations that would adversely affect the Company’s ability to obtain an unqualified audit opinion on its audited financial statements. The Company’s crypto assets held in custody with Coinbase may not be recoverable in the event of bankruptcy by Coinbase or its affiliates. In its quarterly report, on Form 10-Q, filed with the U.S. Securities Exchange Commission on May 4, 2023,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program of digital assets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Company’s hedging strategy aims at reducing the risk of variability of future cash flows resulting from future disposals of digital assets, considering the volatility and adverse price movements of the digital assets in the past months. In March 2023, the BOD approved a hedging program and authorized Management, through a risk management committee specifically created to this purpose, to undertake hedges of BTC option contracts up to 20% of the Company’s BTC production per month and up to three months of unmined BTC production. In April 2023, the BOD authorized Management to increase the BTC option contracts up to 50% of the Company’s BTC production per month and up to six months of unmined BTC production.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2023, the Company had secured BTC option contracts to sell digital assets. Refer to Note 15 to the Financial Statements for more details.</w:t>
      </w:r>
    </w:p>
    <w:p>
      <w:pPr>
        <w:spacing w:after="0" w:line="166"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are the contractual maturities of financial liabilities and gross lease liabilities (non-financial liabilities) with estimated future interest payments as of March 31,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2027 and</w:t>
            </w: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w:t>
            </w: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1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thereafter</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Trade accounts payable and accrued</w:t>
            </w:r>
          </w:p>
        </w:tc>
        <w:tc>
          <w:tcPr>
            <w:tcW w:w="160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11,921</w:t>
            </w:r>
          </w:p>
        </w:tc>
        <w:tc>
          <w:tcPr>
            <w:tcW w:w="134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90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11,921</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900" w:type="dxa"/>
            <w:vAlign w:val="bottom"/>
            <w:vMerge w:val="continue"/>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Long-term debt</w:t>
            </w: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18,384</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4,085</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ind w:right="75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7"/>
              </w:rPr>
              <w:t>22,469</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2,969</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3,657</w:t>
            </w:r>
          </w:p>
        </w:tc>
        <w:tc>
          <w:tcPr>
            <w:tcW w:w="13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2,563</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2,425</w:t>
            </w:r>
          </w:p>
        </w:tc>
        <w:tc>
          <w:tcPr>
            <w:tcW w:w="190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8,871</w:t>
            </w:r>
          </w:p>
        </w:tc>
        <w:tc>
          <w:tcPr>
            <w:tcW w:w="6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20,485</w:t>
            </w:r>
          </w:p>
        </w:tc>
        <w:tc>
          <w:tcPr>
            <w:tcW w:w="0" w:type="dxa"/>
            <w:vAlign w:val="bottom"/>
          </w:tcPr>
          <w:p>
            <w:pPr>
              <w:spacing w:after="0"/>
              <w:rPr>
                <w:sz w:val="1"/>
                <w:szCs w:val="1"/>
                <w:color w:val="auto"/>
              </w:rPr>
            </w:pPr>
          </w:p>
        </w:tc>
      </w:tr>
      <w:tr>
        <w:trPr>
          <w:trHeight w:val="217"/>
        </w:trPr>
        <w:tc>
          <w:tcPr>
            <w:tcW w:w="3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33,274</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7,742</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2,563</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2,425</w:t>
            </w:r>
          </w:p>
        </w:tc>
        <w:tc>
          <w:tcPr>
            <w:tcW w:w="1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8,871</w:t>
            </w:r>
          </w:p>
        </w:tc>
        <w:tc>
          <w:tcPr>
            <w:tcW w:w="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7"/>
              </w:rPr>
              <w:t>54,875</w:t>
            </w: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 Company had no commitments.</w:t>
      </w:r>
    </w:p>
    <w:p>
      <w:pPr>
        <w:spacing w:after="0" w:line="221"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May 14, 2023, the Company does not have any off-balance sheet arrangements that have, or are reasonably likely to have, a current or future effect on the financial performance or financial condition of the Company including, without limitation, such considerations as 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POSITION</w:t>
      </w:r>
    </w:p>
    <w:p>
      <w:pPr>
        <w:spacing w:after="0" w:line="225"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Working Capital</w:t>
      </w:r>
    </w:p>
    <w:p>
      <w:pPr>
        <w:spacing w:after="0" w:line="225" w:lineRule="exact"/>
        <w:rPr>
          <w:sz w:val="20"/>
          <w:szCs w:val="20"/>
          <w:color w:val="auto"/>
        </w:rPr>
      </w:pPr>
    </w:p>
    <w:p>
      <w:pPr>
        <w:ind w:left="5560"/>
        <w:spacing w:after="0"/>
        <w:tabs>
          <w:tab w:leader="none" w:pos="6980" w:val="left"/>
        </w:tabs>
        <w:rPr>
          <w:sz w:val="20"/>
          <w:szCs w:val="20"/>
          <w:color w:val="auto"/>
        </w:rPr>
      </w:pPr>
      <w:r>
        <w:rPr>
          <w:rFonts w:ascii="Arial" w:cs="Arial" w:eastAsia="Arial" w:hAnsi="Arial"/>
          <w:sz w:val="18"/>
          <w:szCs w:val="18"/>
          <w:b w:val="1"/>
          <w:bCs w:val="1"/>
          <w:color w:val="auto"/>
        </w:rPr>
        <w:t>As of March 31,</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 $ in thousands)</w:t>
            </w:r>
          </w:p>
        </w:tc>
        <w:tc>
          <w:tcPr>
            <w:tcW w:w="3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3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 Change</w:t>
            </w: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09"/>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330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73,913</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69,088</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4,825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Current Liabilities</w:t>
            </w:r>
          </w:p>
        </w:tc>
        <w:tc>
          <w:tcPr>
            <w:tcW w:w="3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43,500</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67,244</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(23,744)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17"/>
        </w:trPr>
        <w:tc>
          <w:tcPr>
            <w:tcW w:w="40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Working Capital</w:t>
            </w:r>
          </w:p>
        </w:tc>
        <w:tc>
          <w:tcPr>
            <w:tcW w:w="33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30,413</w:t>
            </w: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1,844</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28,569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Bitfarms had working capital of $30.4 million compared to $1.8 million as of December 31, 2022. The increase in working capital was mostly due to:</w:t>
      </w:r>
    </w:p>
    <w:p>
      <w:pPr>
        <w:spacing w:after="0" w:line="170" w:lineRule="exact"/>
        <w:rPr>
          <w:sz w:val="20"/>
          <w:szCs w:val="20"/>
          <w:color w:val="auto"/>
        </w:rPr>
      </w:pPr>
    </w:p>
    <w:p>
      <w:pPr>
        <w:jc w:val="both"/>
        <w:ind w:left="660" w:hanging="328"/>
        <w:spacing w:after="0" w:line="255"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extinguishment of the BlockFi loan in Q1 2023 which had an outstanding balance of $20.0 million on December 31, 2022, for a payment of $7.8 million, resulting in an increase of $12.2 million in working capital. Refer to section </w:t>
      </w:r>
      <w:r>
        <w:rPr>
          <w:rFonts w:ascii="Arial" w:cs="Arial" w:eastAsia="Arial" w:hAnsi="Arial"/>
          <w:sz w:val="18"/>
          <w:szCs w:val="18"/>
          <w:i w:val="1"/>
          <w:iCs w:val="1"/>
          <w:color w:val="auto"/>
        </w:rPr>
        <w:t>10a - Liquidity and Capital Resources</w:t>
      </w:r>
      <w:r>
        <w:rPr>
          <w:rFonts w:ascii="Arial" w:cs="Arial" w:eastAsia="Arial" w:hAnsi="Arial"/>
          <w:sz w:val="18"/>
          <w:szCs w:val="18"/>
          <w:color w:val="auto"/>
        </w:rPr>
        <w:t xml:space="preserve"> for details on the extinguishment of the BlockFi loan.</w:t>
      </w:r>
    </w:p>
    <w:p>
      <w:pPr>
        <w:spacing w:after="0" w:line="2"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$5.7 million increase in total digital assets, including the digital assets pledged as collateral, resulting from the appreciation of the BTC price during Q1 2023 as well as the increase of the Company’s treasury by 30 BTC.</w:t>
      </w:r>
    </w:p>
    <w:p>
      <w:pPr>
        <w:spacing w:after="0" w:line="200" w:lineRule="exact"/>
        <w:rPr>
          <w:sz w:val="20"/>
          <w:szCs w:val="20"/>
          <w:color w:val="auto"/>
        </w:rPr>
      </w:pPr>
    </w:p>
    <w:p>
      <w:pPr>
        <w:spacing w:after="0" w:line="20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30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FINANCIAL POSITION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As of March 31,</w:t>
            </w:r>
          </w:p>
        </w:tc>
        <w:tc>
          <w:tcPr>
            <w:tcW w:w="1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As of December 31,</w:t>
            </w:r>
          </w:p>
        </w:tc>
        <w:tc>
          <w:tcPr>
            <w:tcW w:w="1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09"/>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w:t>
            </w:r>
          </w:p>
        </w:tc>
        <w:tc>
          <w:tcPr>
            <w:tcW w:w="3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3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129,405</w:t>
            </w:r>
          </w:p>
        </w:tc>
        <w:tc>
          <w:tcPr>
            <w:tcW w:w="1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142,654</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(13,249)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USA</w:t>
            </w:r>
          </w:p>
        </w:tc>
        <w:tc>
          <w:tcPr>
            <w:tcW w:w="3340" w:type="dxa"/>
            <w:vAlign w:val="bottom"/>
          </w:tcPr>
          <w:p>
            <w:pPr>
              <w:jc w:val="right"/>
              <w:ind w:right="30"/>
              <w:spacing w:after="0"/>
              <w:rPr>
                <w:sz w:val="20"/>
                <w:szCs w:val="20"/>
                <w:color w:val="auto"/>
              </w:rPr>
            </w:pPr>
            <w:r>
              <w:rPr>
                <w:rFonts w:ascii="Arial" w:cs="Arial" w:eastAsia="Arial" w:hAnsi="Arial"/>
                <w:sz w:val="18"/>
                <w:szCs w:val="18"/>
                <w:b w:val="1"/>
                <w:bCs w:val="1"/>
                <w:color w:val="auto"/>
              </w:rPr>
              <w:t>29,605</w:t>
            </w: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32,664</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(3,059)</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Argentina</w:t>
            </w:r>
          </w:p>
        </w:tc>
        <w:tc>
          <w:tcPr>
            <w:tcW w:w="3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39,375</w:t>
            </w:r>
          </w:p>
        </w:tc>
        <w:tc>
          <w:tcPr>
            <w:tcW w:w="1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31,927</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7,448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Paraguay</w:t>
            </w:r>
          </w:p>
        </w:tc>
        <w:tc>
          <w:tcPr>
            <w:tcW w:w="3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12,605</w:t>
            </w:r>
          </w:p>
        </w:tc>
        <w:tc>
          <w:tcPr>
            <w:tcW w:w="1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12,183</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3520" w:type="dxa"/>
            <w:vAlign w:val="bottom"/>
            <w:tcBorders>
              <w:bottom w:val="single" w:sz="8" w:color="auto"/>
            </w:tcBorders>
            <w:shd w:val="clear" w:color="auto" w:fill="CCEEFF"/>
          </w:tcPr>
          <w:p>
            <w:pPr>
              <w:spacing w:after="0"/>
              <w:rPr>
                <w:sz w:val="18"/>
                <w:szCs w:val="18"/>
                <w:color w:val="auto"/>
              </w:rPr>
            </w:pPr>
          </w:p>
        </w:tc>
        <w:tc>
          <w:tcPr>
            <w:tcW w:w="3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210,990</w:t>
            </w:r>
          </w:p>
        </w:tc>
        <w:tc>
          <w:tcPr>
            <w:tcW w:w="1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219,428</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(8,438)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2023, Bitfarms had PPE of $211.0 million compared to $219.4 million as of December 31, 2022. The decrease of $8.4 million, or 4%, was primarily due to the $13.2 million decrease of PPE in Canada, mainly relating to depreciation expense. PPE in the US decreased by $3.1 million mostly due to depreciation expense incurred on Miners purchased for the Washington facilities in 2021. These decreases were partially offset by the $7.4 million increase in Argentina mainly relating to the delivery of approximately 2,000 Miners in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discloses information on the classification and fair value of its financial instruments, as well as on the nature and extent of risks arising from financial instruments, and related risk management in Note 15 to the Financial Statements and Note 22 to the 2022 Annual Financial Statements. Risks are related to foreign currency, credit, counterparty, liquidity, and concentration.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discloses information on its related party transactions, as defined in IAS 24, </w:t>
      </w:r>
      <w:r>
        <w:rPr>
          <w:rFonts w:ascii="Arial" w:cs="Arial" w:eastAsia="Arial" w:hAnsi="Arial"/>
          <w:sz w:val="18"/>
          <w:szCs w:val="18"/>
          <w:i w:val="1"/>
          <w:iCs w:val="1"/>
          <w:color w:val="auto"/>
        </w:rPr>
        <w:t>Related Party Disclosures</w:t>
      </w:r>
      <w:r>
        <w:rPr>
          <w:rFonts w:ascii="Arial" w:cs="Arial" w:eastAsia="Arial" w:hAnsi="Arial"/>
          <w:sz w:val="18"/>
          <w:szCs w:val="18"/>
          <w:color w:val="auto"/>
        </w:rPr>
        <w:t>, in Note 16 to the Financial Statements.</w:t>
      </w:r>
    </w:p>
    <w:p>
      <w:pPr>
        <w:spacing w:after="0" w:line="386"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31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Management, under the supervision of the Chief Executive Officer (“CEO”) and Chief Financial Officer (“CFO”) of the Company, has designed disclosure controls and procedures (“DC&amp;P”), or caused to be designed under their supervision, to provide reasonable assurance that:</w:t>
      </w:r>
    </w:p>
    <w:p>
      <w:pPr>
        <w:spacing w:after="0" w:line="146" w:lineRule="exact"/>
        <w:rPr>
          <w:sz w:val="20"/>
          <w:szCs w:val="20"/>
          <w:color w:val="auto"/>
        </w:rPr>
      </w:pPr>
    </w:p>
    <w:p>
      <w:pPr>
        <w:ind w:firstLine="8"/>
        <w:spacing w:after="0" w:line="277" w:lineRule="auto"/>
        <w:tabs>
          <w:tab w:leader="none" w:pos="1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material information relating to the Company is made known to them by others, particularly during the period in which the annual filings are being prepared; and</w:t>
      </w:r>
    </w:p>
    <w:p>
      <w:pPr>
        <w:spacing w:after="0" w:line="170" w:lineRule="exact"/>
        <w:rPr>
          <w:rFonts w:ascii="Arial" w:cs="Arial" w:eastAsia="Arial" w:hAnsi="Arial"/>
          <w:sz w:val="18"/>
          <w:szCs w:val="18"/>
          <w:color w:val="auto"/>
        </w:rPr>
      </w:pPr>
    </w:p>
    <w:p>
      <w:pPr>
        <w:ind w:firstLine="8"/>
        <w:spacing w:after="0" w:line="277" w:lineRule="auto"/>
        <w:tabs>
          <w:tab w:leader="none" w:pos="22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66"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under the supervision of the CEO and CFO, is also responsible for establishing and maintaining adequate internal controls over financial reporting (“ICFR”). Management, under the supervision of the CEO and CFO, has designed ICFR, or caused it to be designed under their supervision, to provide reasonable assurance regarding the reliability of financial reporting and the preparation of financial statements for external purposes in accordance with IFRS.</w:t>
      </w:r>
    </w:p>
    <w:p>
      <w:pPr>
        <w:spacing w:after="0" w:line="183"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Company’s ICFR that have materially affected, or are reasonably likely to materially affect, the Company’s internal control over financial reporting during the period beginning on January 1, 2023 and ended March 31, 2023.</w:t>
      </w:r>
    </w:p>
    <w:p>
      <w:pPr>
        <w:spacing w:after="0" w:line="166"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DC&amp;P and ICFR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control systems contain inherent limitations, no matter how well designed. As a result, the Company’s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38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32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RECENT AND SUBSEQUENT EVENTS</w:t>
      </w:r>
    </w:p>
    <w:p>
      <w:pPr>
        <w:spacing w:after="0" w:line="225"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At-The-Market Equity Offering Program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from April 1, 2023, to May 14, 2023, the Company issued 4,441,000 common shares through its at-the-market equity offering program in exchange for gross proceeds of $5.1 million at an average share price of approximately $1.14. The Company received net proceeds of $4.9 million after paying commissions of $0.2 million to the Company’s agent.</w:t>
      </w:r>
    </w:p>
    <w:p>
      <w:pPr>
        <w:spacing w:after="0" w:line="180"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Baie-Comeau (Quebec) Acquisition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10, 2023, the Company entered into agreements to acquire shares of a Company that owns the right to 22 MW of hydro-power capacity in Baie-Comeau, Quebec and lease a site to install the infrastructure to operate the acquired capacity. The consideration to be transferred at closing would total $1.8 million, of which $0.7 million is expected to be paid in cash and $1.1 million is expected to be paid in common shares of the Company, the latter subject to regulatory approval and customary and contractual resale restrictions. The lease agreement is for an industrialized site in Baie-Comeau for an initial term of 10 years at $15,000 a month. The proposed lease agreement also provides the Company with the option to purchase the site for $2.3 million (CAD$3.0 million) throughout the lease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CAPITAL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the date of this MD&amp;A, the Company has 244,726,000 common shares outstanding, 6,525,000 vested and 4,584,000 unvested stock options, 19,153,000 warrants outstanding and 400,000 restricted stock units. There are no preferred shares or any other classes of shares outstanding.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a number of risks and uncertainties and is affected by several factors which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risks and uncertainties that Management considers as the most material to the Company’s business are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the Company’s Management’s Discussion and Analysis for the year ended December 31, 2022, dated March 20, 2023. These risks and uncertainties have not materially changed in the three months ended March 31, 2023, other than the risk described below, and hereby incorporated by reference.</w:t>
      </w:r>
    </w:p>
    <w:p>
      <w:pPr>
        <w:spacing w:after="0" w:line="36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33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RISK FACTORS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actively engages in hedging practices with respect to its cryptocurrency holdings to lessen the impact of BTC volatility on the Company’s results of operations and financial condition and to optimize cryptocurrency monetization. Although hedging activities are undertaken on a risk adjusted basis, there can be no certainty that such activities will be profitable and these activities could result in significant losses. In addition, hedging practices involve transactions with third party counterparties. Any settlement delay or failure, security breach, incurred cost or loss of digital assets associated with the use of a counterparty could materially and adversely affect the execution of hedging strategies and result in significant losses. Although the Company maintains rigorous controls on the implementation and monitoring of hedging strategies, including its involvement with counterparties, there can be no assurance that such controls will be effective or timely or sufficient in operation to avoid or even reduce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SIGNIFICANT ACCOUNTING ESTIMATES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significant accounting judgments, estimates and assumptions are summarized in Note 4 to the Company’s 2022 Annual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SIGNIFICANT ACCOUNTING POLICIES AND NEW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to the 2022 Annual Financial Statements for more information regarding the Company’s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380"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34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CAUTIONARY NOTE REGARDING FORWARD-LOOKING STATEMENTS </w:t>
      </w:r>
      <w:r>
        <w:rPr>
          <w:rFonts w:ascii="Arial" w:cs="Arial" w:eastAsia="Arial" w:hAnsi="Arial"/>
          <w:sz w:val="18"/>
          <w:szCs w:val="18"/>
          <w:color w:val="auto"/>
        </w:rPr>
        <w:t>(Continued)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70"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BTC Halving event;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Counterparty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availability of financing opportunities and risks associated with economic conditions, including BTC price and BTC network difficulty;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speculative and competitive nature of the technology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dependency on continued growth in blockchain and cryptocurrency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limited operating history and share price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risk related to technological obsolescence and difficulty in obtaining hardware;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increases in commodity prices or reductions in the availability of such commodities could adversely impact the Company’s results of operations;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environmental regulations and 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facility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non-availability of insurance;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lawsuits and other legal proceedings and challenges;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conflict of interests with directors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political and regulatory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adoption of ESG practices and the impacts of climate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third-party supplier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COVID-19 pandemic;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factors beyond the Company’s control.</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above is not an exhaustive list of the factors that may affect the Company’s forward-looking statements. For a more comprehensive discussion of factors that could affect the Company, refer to the risk factors discussed above and those contained in the section “Risk Factors” of the Annual Information Form of the Company dated March 20, 2023.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35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CAUTIONARY NOTE REGARDING NON-IFRS FINANCIAL MEASURES AND RATIOS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This MD&amp;A makes reference to certain measures that are not recognized under IFRS and do not have a standardized meaning prescribed by IFRS. They are therefore unlikely to be comparable to similar measures presented by other companies. The Company uses non-IFRS financial measures and ratios including “Gross margin,” “Operating margin,” “EBITDA,” “EBITDA margin,” “Adjusted EBITDA,” “Adjusted EBITDA margin,” “Gross Mining profit,” and “Gross Mining margin” as additional information to complement IFRS measures by providing further understanding of the Company’s results of operations from management’s perspective. Refer to Section 9 - </w:t>
      </w:r>
      <w:r>
        <w:rPr>
          <w:rFonts w:ascii="Arial" w:cs="Arial" w:eastAsia="Arial" w:hAnsi="Arial"/>
          <w:sz w:val="17"/>
          <w:szCs w:val="17"/>
          <w:i w:val="1"/>
          <w:iCs w:val="1"/>
          <w:color w:val="auto"/>
        </w:rPr>
        <w:t>Non-IFRS Financial Measures and Ratios</w:t>
      </w:r>
      <w:r>
        <w:rPr>
          <w:rFonts w:ascii="Arial" w:cs="Arial" w:eastAsia="Arial" w:hAnsi="Arial"/>
          <w:sz w:val="17"/>
          <w:szCs w:val="17"/>
          <w:color w:val="auto"/>
        </w:rPr>
        <w:t xml:space="preserve"> of the MD&amp;A for more details.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ADDITIONAL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and other publicly filed documents relating to the Company, including the Company’s Annual Information Form, are available through the internet on SEDAR at www.sedar.com and on EDGAR at www.sec.gov/edgar.</w:t>
      </w:r>
    </w:p>
    <w:p>
      <w:pPr>
        <w:spacing w:after="0" w:line="386"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36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GLOSSARY OF TERMS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Terms</w:t>
            </w:r>
          </w:p>
        </w:tc>
        <w:tc>
          <w:tcPr>
            <w:tcW w:w="9520" w:type="dxa"/>
            <w:vAlign w:val="bottom"/>
            <w:tcBorders>
              <w:top w:val="single" w:sz="8" w:color="auto"/>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Definition</w:t>
            </w:r>
          </w:p>
        </w:tc>
        <w:tc>
          <w:tcPr>
            <w:tcW w:w="0" w:type="dxa"/>
            <w:vAlign w:val="bottom"/>
          </w:tcPr>
          <w:p>
            <w:pPr>
              <w:spacing w:after="0"/>
              <w:rPr>
                <w:sz w:val="1"/>
                <w:szCs w:val="1"/>
                <w:color w:val="auto"/>
              </w:rPr>
            </w:pPr>
          </w:p>
        </w:tc>
      </w:tr>
      <w:tr>
        <w:trPr>
          <w:trHeight w:val="195"/>
        </w:trPr>
        <w:tc>
          <w:tcPr>
            <w:tcW w:w="17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ASIC</w:t>
            </w:r>
          </w:p>
        </w:tc>
        <w:tc>
          <w:tcPr>
            <w:tcW w:w="9520" w:type="dxa"/>
            <w:vAlign w:val="bottom"/>
            <w:gridSpan w:val="3"/>
          </w:tcPr>
          <w:p>
            <w:pPr>
              <w:ind w:left="580"/>
              <w:spacing w:after="0" w:line="195" w:lineRule="exact"/>
              <w:rPr>
                <w:sz w:val="20"/>
                <w:szCs w:val="20"/>
                <w:color w:val="auto"/>
              </w:rPr>
            </w:pPr>
            <w:r>
              <w:rPr>
                <w:rFonts w:ascii="Arial" w:cs="Arial" w:eastAsia="Arial" w:hAnsi="Arial"/>
                <w:sz w:val="18"/>
                <w:szCs w:val="18"/>
                <w:color w:val="auto"/>
                <w:w w:val="92"/>
              </w:rPr>
              <w:t>ASIC stands for Application Specific Integrated Circuit and refers primarily to specific computer devices designed to solve</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99"/>
              </w:rPr>
              <w:t>the SHA-256 algorithm, as well as other machines used in the Mining of Litecoin which use the Scrypt algorithm.</w:t>
            </w:r>
          </w:p>
        </w:tc>
        <w:tc>
          <w:tcPr>
            <w:tcW w:w="0" w:type="dxa"/>
            <w:vAlign w:val="bottom"/>
          </w:tcPr>
          <w:p>
            <w:pPr>
              <w:spacing w:after="0"/>
              <w:rPr>
                <w:sz w:val="1"/>
                <w:szCs w:val="1"/>
                <w:color w:val="auto"/>
              </w:rPr>
            </w:pPr>
          </w:p>
        </w:tc>
      </w:tr>
      <w:tr>
        <w:trPr>
          <w:trHeight w:val="195"/>
        </w:trPr>
        <w:tc>
          <w:tcPr>
            <w:tcW w:w="17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Bitcoin (BTC)</w:t>
            </w:r>
          </w:p>
        </w:tc>
        <w:tc>
          <w:tcPr>
            <w:tcW w:w="9520" w:type="dxa"/>
            <w:vAlign w:val="bottom"/>
            <w:gridSpan w:val="3"/>
          </w:tcPr>
          <w:p>
            <w:pPr>
              <w:ind w:left="580"/>
              <w:spacing w:after="0" w:line="195" w:lineRule="exact"/>
              <w:rPr>
                <w:sz w:val="20"/>
                <w:szCs w:val="20"/>
                <w:color w:val="auto"/>
              </w:rPr>
            </w:pPr>
            <w:r>
              <w:rPr>
                <w:rFonts w:ascii="Arial" w:cs="Arial" w:eastAsia="Arial" w:hAnsi="Arial"/>
                <w:sz w:val="18"/>
                <w:szCs w:val="18"/>
                <w:color w:val="auto"/>
                <w:w w:val="95"/>
              </w:rPr>
              <w:t>BTC is a decentralized digital currency that is not controlled by any centralized authority (e.g. a government, financial</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580"/>
              <w:spacing w:after="0"/>
              <w:rPr>
                <w:sz w:val="20"/>
                <w:szCs w:val="20"/>
                <w:color w:val="auto"/>
              </w:rPr>
            </w:pPr>
            <w:r>
              <w:rPr>
                <w:rFonts w:ascii="Arial" w:cs="Arial" w:eastAsia="Arial" w:hAnsi="Arial"/>
                <w:sz w:val="18"/>
                <w:szCs w:val="18"/>
                <w:color w:val="auto"/>
                <w:w w:val="99"/>
              </w:rPr>
              <w:t>institution or regulatory organization) that can be sent from user to user on the BTC network without the need for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580"/>
              <w:spacing w:after="0"/>
              <w:rPr>
                <w:sz w:val="20"/>
                <w:szCs w:val="20"/>
                <w:color w:val="auto"/>
              </w:rPr>
            </w:pPr>
            <w:r>
              <w:rPr>
                <w:rFonts w:ascii="Arial" w:cs="Arial" w:eastAsia="Arial" w:hAnsi="Arial"/>
                <w:sz w:val="18"/>
                <w:szCs w:val="18"/>
                <w:color w:val="auto"/>
                <w:w w:val="90"/>
              </w:rPr>
              <w:t>intermediaries to clear transactions. Transactions are verified through the process of Mining and recorded in a public ledger</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96"/>
              </w:rPr>
              <w:t>known as the Blockchain. BTC is created when the BTC network issues Block Rewards through the Mining process.</w:t>
            </w:r>
          </w:p>
        </w:tc>
        <w:tc>
          <w:tcPr>
            <w:tcW w:w="0" w:type="dxa"/>
            <w:vAlign w:val="bottom"/>
          </w:tcPr>
          <w:p>
            <w:pPr>
              <w:spacing w:after="0"/>
              <w:rPr>
                <w:sz w:val="1"/>
                <w:szCs w:val="1"/>
                <w:color w:val="auto"/>
              </w:rPr>
            </w:pPr>
          </w:p>
        </w:tc>
      </w:tr>
      <w:tr>
        <w:trPr>
          <w:trHeight w:val="195"/>
        </w:trPr>
        <w:tc>
          <w:tcPr>
            <w:tcW w:w="17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Block Reward</w:t>
            </w:r>
          </w:p>
        </w:tc>
        <w:tc>
          <w:tcPr>
            <w:tcW w:w="9520" w:type="dxa"/>
            <w:vAlign w:val="bottom"/>
            <w:gridSpan w:val="3"/>
          </w:tcPr>
          <w:p>
            <w:pPr>
              <w:ind w:left="580"/>
              <w:spacing w:after="0" w:line="195" w:lineRule="exact"/>
              <w:rPr>
                <w:sz w:val="20"/>
                <w:szCs w:val="20"/>
                <w:color w:val="auto"/>
              </w:rPr>
            </w:pPr>
            <w:r>
              <w:rPr>
                <w:rFonts w:ascii="Arial" w:cs="Arial" w:eastAsia="Arial" w:hAnsi="Arial"/>
                <w:sz w:val="18"/>
                <w:szCs w:val="18"/>
                <w:color w:val="auto"/>
                <w:w w:val="93"/>
              </w:rPr>
              <w:t>A BTC block reward refers to the new BTC that are awarded by the Blockchain network to eligible cryptocurrency Miners</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for each block they successfully mine. The current block reward is 6.25 BTC per block.</w:t>
            </w:r>
          </w:p>
        </w:tc>
        <w:tc>
          <w:tcPr>
            <w:tcW w:w="0" w:type="dxa"/>
            <w:vAlign w:val="bottom"/>
          </w:tcPr>
          <w:p>
            <w:pPr>
              <w:spacing w:after="0"/>
              <w:rPr>
                <w:sz w:val="1"/>
                <w:szCs w:val="1"/>
                <w:color w:val="auto"/>
              </w:rPr>
            </w:pPr>
          </w:p>
        </w:tc>
      </w:tr>
      <w:tr>
        <w:trPr>
          <w:trHeight w:val="195"/>
        </w:trPr>
        <w:tc>
          <w:tcPr>
            <w:tcW w:w="17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Blockchain</w:t>
            </w:r>
          </w:p>
        </w:tc>
        <w:tc>
          <w:tcPr>
            <w:tcW w:w="9520" w:type="dxa"/>
            <w:vAlign w:val="bottom"/>
            <w:gridSpan w:val="3"/>
          </w:tcPr>
          <w:p>
            <w:pPr>
              <w:ind w:left="580"/>
              <w:spacing w:after="0" w:line="195" w:lineRule="exact"/>
              <w:rPr>
                <w:sz w:val="20"/>
                <w:szCs w:val="20"/>
                <w:color w:val="auto"/>
              </w:rPr>
            </w:pPr>
            <w:r>
              <w:rPr>
                <w:rFonts w:ascii="Arial" w:cs="Arial" w:eastAsia="Arial" w:hAnsi="Arial"/>
                <w:sz w:val="18"/>
                <w:szCs w:val="18"/>
                <w:color w:val="auto"/>
                <w:w w:val="99"/>
              </w:rPr>
              <w:t>A Blockchain is a cloud-based public ledger that exists on computers that participate on the network globally. The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580"/>
              <w:spacing w:after="0"/>
              <w:rPr>
                <w:sz w:val="20"/>
                <w:szCs w:val="20"/>
                <w:color w:val="auto"/>
              </w:rPr>
            </w:pPr>
            <w:r>
              <w:rPr>
                <w:rFonts w:ascii="Arial" w:cs="Arial" w:eastAsia="Arial" w:hAnsi="Arial"/>
                <w:sz w:val="18"/>
                <w:szCs w:val="18"/>
                <w:color w:val="auto"/>
                <w:w w:val="92"/>
              </w:rPr>
              <w:t>Blockchain grows as new sets of data, or ‘blocks’, are added to it through Mining. Each block contains a timestamp and a</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580"/>
              <w:spacing w:after="0"/>
              <w:rPr>
                <w:sz w:val="20"/>
                <w:szCs w:val="20"/>
                <w:color w:val="auto"/>
              </w:rPr>
            </w:pPr>
            <w:r>
              <w:rPr>
                <w:rFonts w:ascii="Arial" w:cs="Arial" w:eastAsia="Arial" w:hAnsi="Arial"/>
                <w:sz w:val="18"/>
                <w:szCs w:val="18"/>
                <w:color w:val="auto"/>
                <w:w w:val="94"/>
              </w:rPr>
              <w:t>link to the previous block, such that the series of blocks form a continuous chain.  Given that each block has a separate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580"/>
              <w:spacing w:after="0"/>
              <w:rPr>
                <w:sz w:val="20"/>
                <w:szCs w:val="20"/>
                <w:color w:val="auto"/>
              </w:rPr>
            </w:pPr>
            <w:r>
              <w:rPr>
                <w:rFonts w:ascii="Arial" w:cs="Arial" w:eastAsia="Arial" w:hAnsi="Arial"/>
                <w:sz w:val="18"/>
                <w:szCs w:val="18"/>
                <w:color w:val="auto"/>
                <w:w w:val="92"/>
              </w:rPr>
              <w:t>hash and each hash requires information from the previous block, altering information an established block would require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580"/>
              <w:spacing w:after="0"/>
              <w:rPr>
                <w:sz w:val="20"/>
                <w:szCs w:val="20"/>
                <w:color w:val="auto"/>
              </w:rPr>
            </w:pPr>
            <w:r>
              <w:rPr>
                <w:rFonts w:ascii="Arial" w:cs="Arial" w:eastAsia="Arial" w:hAnsi="Arial"/>
                <w:sz w:val="18"/>
                <w:szCs w:val="18"/>
                <w:color w:val="auto"/>
                <w:w w:val="93"/>
              </w:rPr>
              <w:t>recalculating all the hashes on the Blockchain which would require an enormous and impracticable amount of computing</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power. As a result, once a block is added to the Blockchain it is very difficult to edit and impossible to delete.</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Exahash</w:t>
            </w:r>
          </w:p>
        </w:tc>
        <w:tc>
          <w:tcPr>
            <w:tcW w:w="95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One quintillion (1,000,000,000,000,000,000) hashes per second or one million Terahash.</w:t>
            </w:r>
          </w:p>
        </w:tc>
        <w:tc>
          <w:tcPr>
            <w:tcW w:w="0" w:type="dxa"/>
            <w:vAlign w:val="bottom"/>
          </w:tcPr>
          <w:p>
            <w:pPr>
              <w:spacing w:after="0"/>
              <w:rPr>
                <w:sz w:val="1"/>
                <w:szCs w:val="1"/>
                <w:color w:val="auto"/>
              </w:rPr>
            </w:pPr>
          </w:p>
        </w:tc>
      </w:tr>
      <w:tr>
        <w:trPr>
          <w:trHeight w:val="195"/>
        </w:trPr>
        <w:tc>
          <w:tcPr>
            <w:tcW w:w="17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Hash</w:t>
            </w:r>
          </w:p>
        </w:tc>
        <w:tc>
          <w:tcPr>
            <w:tcW w:w="9520" w:type="dxa"/>
            <w:vAlign w:val="bottom"/>
            <w:gridSpan w:val="3"/>
          </w:tcPr>
          <w:p>
            <w:pPr>
              <w:ind w:left="580"/>
              <w:spacing w:after="0" w:line="195" w:lineRule="exact"/>
              <w:rPr>
                <w:sz w:val="20"/>
                <w:szCs w:val="20"/>
                <w:color w:val="auto"/>
              </w:rPr>
            </w:pPr>
            <w:r>
              <w:rPr>
                <w:rFonts w:ascii="Arial" w:cs="Arial" w:eastAsia="Arial" w:hAnsi="Arial"/>
                <w:sz w:val="18"/>
                <w:szCs w:val="18"/>
                <w:color w:val="auto"/>
                <w:w w:val="91"/>
              </w:rPr>
              <w:t>A hash is a function that converts or maps an input of letters and numbers into an encrypted output of a fixed length, which</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580"/>
              <w:spacing w:after="0"/>
              <w:rPr>
                <w:sz w:val="20"/>
                <w:szCs w:val="20"/>
                <w:color w:val="auto"/>
              </w:rPr>
            </w:pPr>
            <w:r>
              <w:rPr>
                <w:rFonts w:ascii="Arial" w:cs="Arial" w:eastAsia="Arial" w:hAnsi="Arial"/>
                <w:sz w:val="18"/>
                <w:szCs w:val="18"/>
                <w:color w:val="auto"/>
                <w:w w:val="92"/>
              </w:rPr>
              <w:t>outputs are often referred to as hashes. A hash is created using an algorithm. The algorithm used in the validation of BTC</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transactions is the SHA-256 algorithm.</w:t>
            </w:r>
          </w:p>
        </w:tc>
        <w:tc>
          <w:tcPr>
            <w:tcW w:w="0" w:type="dxa"/>
            <w:vAlign w:val="bottom"/>
          </w:tcPr>
          <w:p>
            <w:pPr>
              <w:spacing w:after="0"/>
              <w:rPr>
                <w:sz w:val="1"/>
                <w:szCs w:val="1"/>
                <w:color w:val="auto"/>
              </w:rPr>
            </w:pPr>
          </w:p>
        </w:tc>
      </w:tr>
      <w:tr>
        <w:trPr>
          <w:trHeight w:val="195"/>
        </w:trPr>
        <w:tc>
          <w:tcPr>
            <w:tcW w:w="17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Hashrate</w:t>
            </w:r>
          </w:p>
        </w:tc>
        <w:tc>
          <w:tcPr>
            <w:tcW w:w="9520" w:type="dxa"/>
            <w:vAlign w:val="bottom"/>
            <w:gridSpan w:val="3"/>
          </w:tcPr>
          <w:p>
            <w:pPr>
              <w:ind w:left="580"/>
              <w:spacing w:after="0" w:line="195" w:lineRule="exact"/>
              <w:rPr>
                <w:sz w:val="20"/>
                <w:szCs w:val="20"/>
                <w:color w:val="auto"/>
              </w:rPr>
            </w:pPr>
            <w:r>
              <w:rPr>
                <w:rFonts w:ascii="Arial" w:cs="Arial" w:eastAsia="Arial" w:hAnsi="Arial"/>
                <w:sz w:val="18"/>
                <w:szCs w:val="18"/>
                <w:color w:val="auto"/>
                <w:w w:val="93"/>
              </w:rPr>
              <w:t>Hashrate refers to the number of hash operations performed per second and is a measure of computing power in Mining</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cryptocurrency.</w:t>
            </w:r>
          </w:p>
        </w:tc>
        <w:tc>
          <w:tcPr>
            <w:tcW w:w="0" w:type="dxa"/>
            <w:vAlign w:val="bottom"/>
          </w:tcPr>
          <w:p>
            <w:pPr>
              <w:spacing w:after="0"/>
              <w:rPr>
                <w:sz w:val="1"/>
                <w:szCs w:val="1"/>
                <w:color w:val="auto"/>
              </w:rPr>
            </w:pPr>
          </w:p>
        </w:tc>
      </w:tr>
      <w:tr>
        <w:trPr>
          <w:trHeight w:val="195"/>
        </w:trPr>
        <w:tc>
          <w:tcPr>
            <w:tcW w:w="17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Megawatt</w:t>
            </w:r>
          </w:p>
        </w:tc>
        <w:tc>
          <w:tcPr>
            <w:tcW w:w="9520" w:type="dxa"/>
            <w:vAlign w:val="bottom"/>
            <w:gridSpan w:val="3"/>
          </w:tcPr>
          <w:p>
            <w:pPr>
              <w:ind w:left="580"/>
              <w:spacing w:after="0" w:line="195" w:lineRule="exact"/>
              <w:rPr>
                <w:sz w:val="20"/>
                <w:szCs w:val="20"/>
                <w:color w:val="auto"/>
              </w:rPr>
            </w:pPr>
            <w:r>
              <w:rPr>
                <w:rFonts w:ascii="Arial" w:cs="Arial" w:eastAsia="Arial" w:hAnsi="Arial"/>
                <w:sz w:val="18"/>
                <w:szCs w:val="18"/>
                <w:color w:val="auto"/>
                <w:w w:val="95"/>
              </w:rPr>
              <w:t>A megawatt is 1,000 kilowatts of electricity and, in the industry of cryptocurrency Mining, is typically a reference to the</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number of megawatts of electricity per hour that is available for use.</w:t>
            </w:r>
          </w:p>
        </w:tc>
        <w:tc>
          <w:tcPr>
            <w:tcW w:w="0" w:type="dxa"/>
            <w:vAlign w:val="bottom"/>
          </w:tcPr>
          <w:p>
            <w:pPr>
              <w:spacing w:after="0"/>
              <w:rPr>
                <w:sz w:val="1"/>
                <w:szCs w:val="1"/>
                <w:color w:val="auto"/>
              </w:rPr>
            </w:pPr>
          </w:p>
        </w:tc>
      </w:tr>
      <w:tr>
        <w:trPr>
          <w:trHeight w:val="210"/>
        </w:trPr>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Miners</w:t>
            </w:r>
          </w:p>
        </w:tc>
        <w:tc>
          <w:tcPr>
            <w:tcW w:w="95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ASICs used by the Company to perform Mining.</w:t>
            </w:r>
          </w:p>
        </w:tc>
        <w:tc>
          <w:tcPr>
            <w:tcW w:w="0" w:type="dxa"/>
            <w:vAlign w:val="bottom"/>
          </w:tcPr>
          <w:p>
            <w:pPr>
              <w:spacing w:after="0"/>
              <w:rPr>
                <w:sz w:val="1"/>
                <w:szCs w:val="1"/>
                <w:color w:val="auto"/>
              </w:rPr>
            </w:pPr>
          </w:p>
        </w:tc>
      </w:tr>
      <w:tr>
        <w:trPr>
          <w:trHeight w:val="195"/>
        </w:trPr>
        <w:tc>
          <w:tcPr>
            <w:tcW w:w="17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Mining</w:t>
            </w:r>
          </w:p>
        </w:tc>
        <w:tc>
          <w:tcPr>
            <w:tcW w:w="9520" w:type="dxa"/>
            <w:vAlign w:val="bottom"/>
            <w:gridSpan w:val="3"/>
          </w:tcPr>
          <w:p>
            <w:pPr>
              <w:ind w:left="580"/>
              <w:spacing w:after="0" w:line="195" w:lineRule="exact"/>
              <w:rPr>
                <w:sz w:val="20"/>
                <w:szCs w:val="20"/>
                <w:color w:val="auto"/>
              </w:rPr>
            </w:pPr>
            <w:r>
              <w:rPr>
                <w:rFonts w:ascii="Arial" w:cs="Arial" w:eastAsia="Arial" w:hAnsi="Arial"/>
                <w:sz w:val="18"/>
                <w:szCs w:val="18"/>
                <w:color w:val="auto"/>
                <w:w w:val="92"/>
              </w:rPr>
              <w:t>Mining refers to the process of using specialized computer hardware, and in the case of the Company, ASICs, to perform</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580"/>
              <w:spacing w:after="0"/>
              <w:rPr>
                <w:sz w:val="20"/>
                <w:szCs w:val="20"/>
                <w:color w:val="auto"/>
              </w:rPr>
            </w:pPr>
            <w:r>
              <w:rPr>
                <w:rFonts w:ascii="Arial" w:cs="Arial" w:eastAsia="Arial" w:hAnsi="Arial"/>
                <w:sz w:val="18"/>
                <w:szCs w:val="18"/>
                <w:color w:val="auto"/>
                <w:w w:val="96"/>
              </w:rPr>
              <w:t>mathematical calculations to confirm transactions and increase security for the BTC Blockchain. As a reward for their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580"/>
              <w:spacing w:after="0"/>
              <w:rPr>
                <w:sz w:val="20"/>
                <w:szCs w:val="20"/>
                <w:color w:val="auto"/>
              </w:rPr>
            </w:pPr>
            <w:r>
              <w:rPr>
                <w:rFonts w:ascii="Arial" w:cs="Arial" w:eastAsia="Arial" w:hAnsi="Arial"/>
                <w:sz w:val="18"/>
                <w:szCs w:val="18"/>
                <w:color w:val="auto"/>
                <w:w w:val="94"/>
              </w:rPr>
              <w:t>services, BTC Miners collect transaction fees for the transactions they confirm, along with newly created BTC as Block</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Rewards.</w:t>
            </w:r>
          </w:p>
        </w:tc>
        <w:tc>
          <w:tcPr>
            <w:tcW w:w="0" w:type="dxa"/>
            <w:vAlign w:val="bottom"/>
          </w:tcPr>
          <w:p>
            <w:pPr>
              <w:spacing w:after="0"/>
              <w:rPr>
                <w:sz w:val="1"/>
                <w:szCs w:val="1"/>
                <w:color w:val="auto"/>
              </w:rPr>
            </w:pPr>
          </w:p>
        </w:tc>
      </w:tr>
      <w:tr>
        <w:trPr>
          <w:trHeight w:val="195"/>
        </w:trPr>
        <w:tc>
          <w:tcPr>
            <w:tcW w:w="17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Mining Pool</w:t>
            </w:r>
          </w:p>
        </w:tc>
        <w:tc>
          <w:tcPr>
            <w:tcW w:w="9520" w:type="dxa"/>
            <w:vAlign w:val="bottom"/>
            <w:gridSpan w:val="3"/>
          </w:tcPr>
          <w:p>
            <w:pPr>
              <w:ind w:left="580"/>
              <w:spacing w:after="0" w:line="195" w:lineRule="exact"/>
              <w:rPr>
                <w:sz w:val="20"/>
                <w:szCs w:val="20"/>
                <w:color w:val="auto"/>
              </w:rPr>
            </w:pPr>
            <w:r>
              <w:rPr>
                <w:rFonts w:ascii="Arial" w:cs="Arial" w:eastAsia="Arial" w:hAnsi="Arial"/>
                <w:sz w:val="18"/>
                <w:szCs w:val="18"/>
                <w:color w:val="auto"/>
                <w:w w:val="98"/>
              </w:rPr>
              <w:t>A Mining pool is a group of cryptocurrency Miners who pool their computational resources, or hashrate, in order to</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580"/>
              <w:spacing w:after="0"/>
              <w:rPr>
                <w:sz w:val="20"/>
                <w:szCs w:val="20"/>
                <w:color w:val="auto"/>
              </w:rPr>
            </w:pPr>
            <w:r>
              <w:rPr>
                <w:rFonts w:ascii="Arial" w:cs="Arial" w:eastAsia="Arial" w:hAnsi="Arial"/>
                <w:sz w:val="18"/>
                <w:szCs w:val="18"/>
                <w:color w:val="auto"/>
                <w:w w:val="92"/>
              </w:rPr>
              <w:t>increase the probability of finding a block on the BTC Blockchain. Mining pools administer regular payouts to mitigate the</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risk of Miners operating for a prolonged period of time without finding a block.</w:t>
            </w:r>
          </w:p>
        </w:tc>
        <w:tc>
          <w:tcPr>
            <w:tcW w:w="0" w:type="dxa"/>
            <w:vAlign w:val="bottom"/>
          </w:tcPr>
          <w:p>
            <w:pPr>
              <w:spacing w:after="0"/>
              <w:rPr>
                <w:sz w:val="1"/>
                <w:szCs w:val="1"/>
                <w:color w:val="auto"/>
              </w:rPr>
            </w:pPr>
          </w:p>
        </w:tc>
      </w:tr>
      <w:tr>
        <w:trPr>
          <w:trHeight w:val="453"/>
        </w:trPr>
        <w:tc>
          <w:tcPr>
            <w:tcW w:w="1720" w:type="dxa"/>
            <w:vAlign w:val="bottom"/>
          </w:tcPr>
          <w:p>
            <w:pPr>
              <w:spacing w:after="0"/>
              <w:rPr>
                <w:sz w:val="24"/>
                <w:szCs w:val="24"/>
                <w:color w:val="auto"/>
              </w:rPr>
            </w:pPr>
          </w:p>
        </w:tc>
        <w:tc>
          <w:tcPr>
            <w:tcW w:w="8960" w:type="dxa"/>
            <w:vAlign w:val="bottom"/>
            <w:vMerge w:val="restart"/>
          </w:tcPr>
          <w:p>
            <w:pPr>
              <w:ind w:left="87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 GLOSSARY OF TERMS </w:t>
      </w:r>
      <w:r>
        <w:rPr>
          <w:rFonts w:ascii="Arial" w:cs="Arial" w:eastAsia="Arial" w:hAnsi="Arial"/>
          <w:sz w:val="18"/>
          <w:szCs w:val="18"/>
          <w:color w:val="auto"/>
        </w:rPr>
        <w:t>(Continued)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Terms</w:t>
            </w:r>
          </w:p>
        </w:tc>
        <w:tc>
          <w:tcPr>
            <w:tcW w:w="9340" w:type="dxa"/>
            <w:vAlign w:val="bottom"/>
            <w:tcBorders>
              <w:top w:val="single" w:sz="8" w:color="auto"/>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Definition</w:t>
            </w:r>
          </w:p>
        </w:tc>
        <w:tc>
          <w:tcPr>
            <w:tcW w:w="0" w:type="dxa"/>
            <w:vAlign w:val="bottom"/>
          </w:tcPr>
          <w:p>
            <w:pPr>
              <w:spacing w:after="0"/>
              <w:rPr>
                <w:sz w:val="1"/>
                <w:szCs w:val="1"/>
                <w:color w:val="auto"/>
              </w:rPr>
            </w:pPr>
          </w:p>
        </w:tc>
      </w:tr>
      <w:tr>
        <w:trPr>
          <w:trHeight w:val="195"/>
        </w:trPr>
        <w:tc>
          <w:tcPr>
            <w:tcW w:w="190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Network Difficulty</w:t>
            </w:r>
          </w:p>
        </w:tc>
        <w:tc>
          <w:tcPr>
            <w:tcW w:w="9340" w:type="dxa"/>
            <w:vAlign w:val="bottom"/>
            <w:gridSpan w:val="3"/>
          </w:tcPr>
          <w:p>
            <w:pPr>
              <w:ind w:left="400"/>
              <w:spacing w:after="0" w:line="195" w:lineRule="exact"/>
              <w:rPr>
                <w:sz w:val="20"/>
                <w:szCs w:val="20"/>
                <w:color w:val="auto"/>
              </w:rPr>
            </w:pPr>
            <w:r>
              <w:rPr>
                <w:rFonts w:ascii="Arial" w:cs="Arial" w:eastAsia="Arial" w:hAnsi="Arial"/>
                <w:sz w:val="18"/>
                <w:szCs w:val="18"/>
                <w:color w:val="auto"/>
              </w:rPr>
              <w:t>Network difficulty is a unitless measure of how difficult it is to find a hash below a given target. The BTC network</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340" w:type="dxa"/>
            <w:vAlign w:val="bottom"/>
            <w:gridSpan w:val="3"/>
          </w:tcPr>
          <w:p>
            <w:pPr>
              <w:ind w:left="400"/>
              <w:spacing w:after="0"/>
              <w:rPr>
                <w:sz w:val="20"/>
                <w:szCs w:val="20"/>
                <w:color w:val="auto"/>
              </w:rPr>
            </w:pPr>
            <w:r>
              <w:rPr>
                <w:rFonts w:ascii="Arial" w:cs="Arial" w:eastAsia="Arial" w:hAnsi="Arial"/>
                <w:sz w:val="18"/>
                <w:szCs w:val="18"/>
                <w:color w:val="auto"/>
                <w:w w:val="94"/>
              </w:rPr>
              <w:t>protocol automatically adjusts Network Difficulty by changing the target every 2,016 blocks hashed based on the time it</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340" w:type="dxa"/>
            <w:vAlign w:val="bottom"/>
            <w:gridSpan w:val="3"/>
          </w:tcPr>
          <w:p>
            <w:pPr>
              <w:ind w:left="400"/>
              <w:spacing w:after="0"/>
              <w:rPr>
                <w:sz w:val="20"/>
                <w:szCs w:val="20"/>
                <w:color w:val="auto"/>
              </w:rPr>
            </w:pPr>
            <w:r>
              <w:rPr>
                <w:rFonts w:ascii="Arial" w:cs="Arial" w:eastAsia="Arial" w:hAnsi="Arial"/>
                <w:sz w:val="18"/>
                <w:szCs w:val="18"/>
                <w:color w:val="auto"/>
                <w:w w:val="94"/>
              </w:rPr>
              <w:t>took for the total computing power used in BTC Mining to solve the previous 2,016 blocks such that the average time to</w:t>
            </w:r>
          </w:p>
        </w:tc>
        <w:tc>
          <w:tcPr>
            <w:tcW w:w="0" w:type="dxa"/>
            <w:vAlign w:val="bottom"/>
          </w:tcPr>
          <w:p>
            <w:pPr>
              <w:spacing w:after="0"/>
              <w:rPr>
                <w:sz w:val="1"/>
                <w:szCs w:val="1"/>
                <w:color w:val="auto"/>
              </w:rPr>
            </w:pPr>
          </w:p>
        </w:tc>
      </w:tr>
      <w:tr>
        <w:trPr>
          <w:trHeight w:val="230"/>
        </w:trPr>
        <w:tc>
          <w:tcPr>
            <w:tcW w:w="19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solve each block is ten minutes.</w:t>
            </w:r>
          </w:p>
        </w:tc>
        <w:tc>
          <w:tcPr>
            <w:tcW w:w="0" w:type="dxa"/>
            <w:vAlign w:val="bottom"/>
          </w:tcPr>
          <w:p>
            <w:pPr>
              <w:spacing w:after="0"/>
              <w:rPr>
                <w:sz w:val="1"/>
                <w:szCs w:val="1"/>
                <w:color w:val="auto"/>
              </w:rPr>
            </w:pPr>
          </w:p>
        </w:tc>
      </w:tr>
      <w:tr>
        <w:trPr>
          <w:trHeight w:val="195"/>
        </w:trPr>
        <w:tc>
          <w:tcPr>
            <w:tcW w:w="190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Network Hashrate</w:t>
            </w:r>
          </w:p>
        </w:tc>
        <w:tc>
          <w:tcPr>
            <w:tcW w:w="9340" w:type="dxa"/>
            <w:vAlign w:val="bottom"/>
            <w:gridSpan w:val="3"/>
          </w:tcPr>
          <w:p>
            <w:pPr>
              <w:ind w:left="400"/>
              <w:spacing w:after="0" w:line="195" w:lineRule="exact"/>
              <w:rPr>
                <w:sz w:val="20"/>
                <w:szCs w:val="20"/>
                <w:color w:val="auto"/>
              </w:rPr>
            </w:pPr>
            <w:r>
              <w:rPr>
                <w:rFonts w:ascii="Arial" w:cs="Arial" w:eastAsia="Arial" w:hAnsi="Arial"/>
                <w:sz w:val="18"/>
                <w:szCs w:val="18"/>
                <w:color w:val="auto"/>
              </w:rPr>
              <w:t>Network hashrate refers to the total global hashrate (and related computing power) used in Mining for a given</w:t>
            </w:r>
          </w:p>
        </w:tc>
        <w:tc>
          <w:tcPr>
            <w:tcW w:w="0" w:type="dxa"/>
            <w:vAlign w:val="bottom"/>
          </w:tcPr>
          <w:p>
            <w:pPr>
              <w:spacing w:after="0"/>
              <w:rPr>
                <w:sz w:val="1"/>
                <w:szCs w:val="1"/>
                <w:color w:val="auto"/>
              </w:rPr>
            </w:pPr>
          </w:p>
        </w:tc>
      </w:tr>
      <w:tr>
        <w:trPr>
          <w:trHeight w:val="230"/>
        </w:trPr>
        <w:tc>
          <w:tcPr>
            <w:tcW w:w="19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cryptocurrency.</w:t>
            </w:r>
          </w:p>
        </w:tc>
        <w:tc>
          <w:tcPr>
            <w:tcW w:w="0" w:type="dxa"/>
            <w:vAlign w:val="bottom"/>
          </w:tcPr>
          <w:p>
            <w:pPr>
              <w:spacing w:after="0"/>
              <w:rPr>
                <w:sz w:val="1"/>
                <w:szCs w:val="1"/>
                <w:color w:val="auto"/>
              </w:rPr>
            </w:pPr>
          </w:p>
        </w:tc>
      </w:tr>
      <w:tr>
        <w:trPr>
          <w:trHeight w:val="210"/>
        </w:trPr>
        <w:tc>
          <w:tcPr>
            <w:tcW w:w="19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Petahash</w:t>
            </w:r>
          </w:p>
        </w:tc>
        <w:tc>
          <w:tcPr>
            <w:tcW w:w="93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One quadrillion (1,000,000,000,000,000) hashes per second or one thousand Terahash.</w:t>
            </w:r>
          </w:p>
        </w:tc>
        <w:tc>
          <w:tcPr>
            <w:tcW w:w="0" w:type="dxa"/>
            <w:vAlign w:val="bottom"/>
          </w:tcPr>
          <w:p>
            <w:pPr>
              <w:spacing w:after="0"/>
              <w:rPr>
                <w:sz w:val="1"/>
                <w:szCs w:val="1"/>
                <w:color w:val="auto"/>
              </w:rPr>
            </w:pPr>
          </w:p>
        </w:tc>
      </w:tr>
      <w:tr>
        <w:trPr>
          <w:trHeight w:val="195"/>
        </w:trPr>
        <w:tc>
          <w:tcPr>
            <w:tcW w:w="190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SHA-256</w:t>
            </w:r>
          </w:p>
        </w:tc>
        <w:tc>
          <w:tcPr>
            <w:tcW w:w="9340" w:type="dxa"/>
            <w:vAlign w:val="bottom"/>
            <w:gridSpan w:val="3"/>
          </w:tcPr>
          <w:p>
            <w:pPr>
              <w:ind w:left="400"/>
              <w:spacing w:after="0" w:line="195" w:lineRule="exact"/>
              <w:rPr>
                <w:sz w:val="20"/>
                <w:szCs w:val="20"/>
                <w:color w:val="auto"/>
              </w:rPr>
            </w:pPr>
            <w:r>
              <w:rPr>
                <w:rFonts w:ascii="Arial" w:cs="Arial" w:eastAsia="Arial" w:hAnsi="Arial"/>
                <w:sz w:val="18"/>
                <w:szCs w:val="18"/>
                <w:color w:val="auto"/>
                <w:w w:val="92"/>
              </w:rPr>
              <w:t>SHA stands for Secure Hash Algorithm. The SHA-256 algorithm was designed by the US National Security Agency and is</w:t>
            </w:r>
          </w:p>
        </w:tc>
        <w:tc>
          <w:tcPr>
            <w:tcW w:w="0" w:type="dxa"/>
            <w:vAlign w:val="bottom"/>
          </w:tcPr>
          <w:p>
            <w:pPr>
              <w:spacing w:after="0"/>
              <w:rPr>
                <w:sz w:val="1"/>
                <w:szCs w:val="1"/>
                <w:color w:val="auto"/>
              </w:rPr>
            </w:pPr>
          </w:p>
        </w:tc>
      </w:tr>
      <w:tr>
        <w:trPr>
          <w:trHeight w:val="230"/>
        </w:trPr>
        <w:tc>
          <w:tcPr>
            <w:tcW w:w="19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the cryptographic hash function used within the BTC network to validate transactions on the BTC Blockchain.</w:t>
            </w:r>
          </w:p>
        </w:tc>
        <w:tc>
          <w:tcPr>
            <w:tcW w:w="0" w:type="dxa"/>
            <w:vAlign w:val="bottom"/>
          </w:tcPr>
          <w:p>
            <w:pPr>
              <w:spacing w:after="0"/>
              <w:rPr>
                <w:sz w:val="1"/>
                <w:szCs w:val="1"/>
                <w:color w:val="auto"/>
              </w:rPr>
            </w:pPr>
          </w:p>
        </w:tc>
      </w:tr>
      <w:tr>
        <w:trPr>
          <w:trHeight w:val="210"/>
        </w:trPr>
        <w:tc>
          <w:tcPr>
            <w:tcW w:w="19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Terahash</w:t>
            </w:r>
          </w:p>
        </w:tc>
        <w:tc>
          <w:tcPr>
            <w:tcW w:w="93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One trillion (1,000,000,000,000) hashes per second.</w:t>
            </w:r>
          </w:p>
        </w:tc>
        <w:tc>
          <w:tcPr>
            <w:tcW w:w="0" w:type="dxa"/>
            <w:vAlign w:val="bottom"/>
          </w:tcPr>
          <w:p>
            <w:pPr>
              <w:spacing w:after="0"/>
              <w:rPr>
                <w:sz w:val="1"/>
                <w:szCs w:val="1"/>
                <w:color w:val="auto"/>
              </w:rPr>
            </w:pPr>
          </w:p>
        </w:tc>
      </w:tr>
      <w:tr>
        <w:trPr>
          <w:trHeight w:val="425"/>
        </w:trPr>
        <w:tc>
          <w:tcPr>
            <w:tcW w:w="1900" w:type="dxa"/>
            <w:vAlign w:val="bottom"/>
          </w:tcPr>
          <w:p>
            <w:pPr>
              <w:spacing w:after="0"/>
              <w:rPr>
                <w:sz w:val="24"/>
                <w:szCs w:val="24"/>
                <w:color w:val="auto"/>
              </w:rPr>
            </w:pPr>
          </w:p>
        </w:tc>
        <w:tc>
          <w:tcPr>
            <w:tcW w:w="8780" w:type="dxa"/>
            <w:vAlign w:val="bottom"/>
            <w:vMerge w:val="restart"/>
          </w:tcPr>
          <w:p>
            <w:pPr>
              <w:ind w:left="854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3"/>
        </w:trPr>
        <w:tc>
          <w:tcPr>
            <w:tcW w:w="1900" w:type="dxa"/>
            <w:vAlign w:val="bottom"/>
            <w:tcBorders>
              <w:bottom w:val="single" w:sz="8" w:color="auto"/>
            </w:tcBorders>
          </w:tcPr>
          <w:p>
            <w:pPr>
              <w:spacing w:after="0"/>
              <w:rPr>
                <w:sz w:val="19"/>
                <w:szCs w:val="19"/>
                <w:color w:val="auto"/>
              </w:rPr>
            </w:pPr>
          </w:p>
        </w:tc>
        <w:tc>
          <w:tcPr>
            <w:tcW w:w="87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9" w:name="page70"/>
    <w:bookmarkEnd w:id="69"/>
    <w:p>
      <w:pPr>
        <w:ind w:left="10320"/>
        <w:spacing w:after="0"/>
        <w:rPr>
          <w:sz w:val="20"/>
          <w:szCs w:val="20"/>
          <w:color w:val="auto"/>
        </w:rPr>
      </w:pPr>
      <w:r>
        <w:rPr>
          <w:rFonts w:ascii="Arial" w:cs="Arial" w:eastAsia="Arial" w:hAnsi="Arial"/>
          <w:sz w:val="16"/>
          <w:szCs w:val="16"/>
          <w:b w:val="1"/>
          <w:bCs w:val="1"/>
          <w:color w:val="auto"/>
        </w:rPr>
        <w:t>Exhibit 99.3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FULL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Geoffrey Morphy, Chief Executive Officer of Bitfarms Ltd., certify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period ended March 31, 2023.</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 procedures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(DC&amp;P) and internal control over financial reporting (ICFR), as those terms are defined in </w:t>
      </w:r>
      <w:r>
        <w:rPr>
          <w:rFonts w:ascii="Arial" w:cs="Arial" w:eastAsia="Arial" w:hAnsi="Arial"/>
          <w:sz w:val="18"/>
          <w:szCs w:val="18"/>
          <w:i w:val="1"/>
          <w:iCs w:val="1"/>
          <w:color w:val="auto"/>
        </w:rPr>
        <w:t>National Instrument 52-109 Certification of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in Issuers’ Annual and Interim Filings</w:t>
      </w:r>
      <w:r>
        <w:rPr>
          <w:rFonts w:ascii="Arial" w:cs="Arial" w:eastAsia="Arial" w:hAnsi="Arial"/>
          <w:sz w:val="18"/>
          <w:szCs w:val="18"/>
          <w:color w:val="auto"/>
        </w:rPr>
        <w:t>, for the issuer.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the interim filings: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70" w:lineRule="exact"/>
        <w:rPr>
          <w:rFonts w:ascii="Arial" w:cs="Arial" w:eastAsia="Arial" w:hAnsi="Arial"/>
          <w:sz w:val="18"/>
          <w:szCs w:val="18"/>
          <w:color w:val="auto"/>
        </w:rPr>
      </w:pPr>
    </w:p>
    <w:p>
      <w:pPr>
        <w:ind w:left="1620" w:hanging="640"/>
        <w:spacing w:after="0" w:line="342" w:lineRule="auto"/>
        <w:tabs>
          <w:tab w:leader="none" w:pos="1620" w:val="left"/>
        </w:tabs>
        <w:numPr>
          <w:ilvl w:val="2"/>
          <w:numId w:val="83"/>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ind w:left="660" w:hanging="323"/>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Control framework:</w:t>
      </w:r>
      <w:r>
        <w:rPr>
          <w:rFonts w:ascii="Arial" w:cs="Arial" w:eastAsia="Arial" w:hAnsi="Arial"/>
          <w:sz w:val="17"/>
          <w:szCs w:val="17"/>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ICFR - material weakness relating to design:</w:t>
      </w:r>
      <w:r>
        <w:rPr>
          <w:rFonts w:ascii="Arial" w:cs="Arial" w:eastAsia="Arial" w:hAnsi="Arial"/>
          <w:sz w:val="18"/>
          <w:szCs w:val="18"/>
          <w:color w:val="auto"/>
        </w:rPr>
        <w:t xml:space="preserve"> N/A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Limitation on scope of design:</w:t>
      </w:r>
      <w:r>
        <w:rPr>
          <w:rFonts w:ascii="Arial" w:cs="Arial" w:eastAsia="Arial" w:hAnsi="Arial"/>
          <w:sz w:val="18"/>
          <w:szCs w:val="18"/>
          <w:color w:val="auto"/>
        </w:rPr>
        <w:t xml:space="preserve"> N/A</w:t>
      </w:r>
    </w:p>
    <w:p>
      <w:pPr>
        <w:spacing w:after="0" w:line="225" w:lineRule="exact"/>
        <w:rPr>
          <w:sz w:val="20"/>
          <w:szCs w:val="20"/>
          <w:color w:val="auto"/>
        </w:rPr>
      </w:pPr>
    </w:p>
    <w:p>
      <w:pPr>
        <w:jc w:val="both"/>
        <w:ind w:left="66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Reporting changes in ICFR: </w:t>
      </w:r>
      <w:r>
        <w:rPr>
          <w:rFonts w:ascii="Arial" w:cs="Arial" w:eastAsia="Arial" w:hAnsi="Arial"/>
          <w:sz w:val="18"/>
          <w:szCs w:val="18"/>
          <w:color w:val="auto"/>
        </w:rPr>
        <w:t>The issuer has disclosed in its interim MD&amp;A any change in the issuer’s ICFR that occurred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on January 1, 2023 and ended on March 31, 2023 that has materially affected, or is reasonably likely to materially affect, the issuer’s ICFR.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70" w:name="page71"/>
    <w:bookmarkEnd w:id="70"/>
    <w:p>
      <w:pPr>
        <w:ind w:left="10320"/>
        <w:spacing w:after="0"/>
        <w:rPr>
          <w:sz w:val="20"/>
          <w:szCs w:val="20"/>
          <w:color w:val="auto"/>
        </w:rPr>
      </w:pPr>
      <w:r>
        <w:rPr>
          <w:rFonts w:ascii="Arial" w:cs="Arial" w:eastAsia="Arial" w:hAnsi="Arial"/>
          <w:sz w:val="16"/>
          <w:szCs w:val="16"/>
          <w:b w:val="1"/>
          <w:bCs w:val="1"/>
          <w:color w:val="auto"/>
        </w:rPr>
        <w:t>Exhibit 99.4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FULL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Lucas, Chief Financial Officer of Bitfarms Ltd., certify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period ended March 31, 2023.</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 procedures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(DC&amp;P) and internal control over financial reporting (ICFR), as those terms are defined in </w:t>
      </w:r>
      <w:r>
        <w:rPr>
          <w:rFonts w:ascii="Arial" w:cs="Arial" w:eastAsia="Arial" w:hAnsi="Arial"/>
          <w:sz w:val="18"/>
          <w:szCs w:val="18"/>
          <w:i w:val="1"/>
          <w:iCs w:val="1"/>
          <w:color w:val="auto"/>
        </w:rPr>
        <w:t>National Instrument 52-109 Certification of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in Issuers’ Annual and Interim Filings</w:t>
      </w:r>
      <w:r>
        <w:rPr>
          <w:rFonts w:ascii="Arial" w:cs="Arial" w:eastAsia="Arial" w:hAnsi="Arial"/>
          <w:sz w:val="18"/>
          <w:szCs w:val="18"/>
          <w:color w:val="auto"/>
        </w:rPr>
        <w:t>, for the issuer.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the interim filings: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70" w:lineRule="exact"/>
        <w:rPr>
          <w:rFonts w:ascii="Arial" w:cs="Arial" w:eastAsia="Arial" w:hAnsi="Arial"/>
          <w:sz w:val="18"/>
          <w:szCs w:val="18"/>
          <w:color w:val="auto"/>
        </w:rPr>
      </w:pPr>
    </w:p>
    <w:p>
      <w:pPr>
        <w:ind w:left="1620" w:hanging="640"/>
        <w:spacing w:after="0" w:line="342" w:lineRule="auto"/>
        <w:tabs>
          <w:tab w:leader="none" w:pos="1620" w:val="left"/>
        </w:tabs>
        <w:numPr>
          <w:ilvl w:val="2"/>
          <w:numId w:val="85"/>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ind w:left="660" w:hanging="323"/>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Control framework:</w:t>
      </w:r>
      <w:r>
        <w:rPr>
          <w:rFonts w:ascii="Arial" w:cs="Arial" w:eastAsia="Arial" w:hAnsi="Arial"/>
          <w:sz w:val="17"/>
          <w:szCs w:val="17"/>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ICFR - material weakness relating to design:</w:t>
      </w:r>
      <w:r>
        <w:rPr>
          <w:rFonts w:ascii="Arial" w:cs="Arial" w:eastAsia="Arial" w:hAnsi="Arial"/>
          <w:sz w:val="18"/>
          <w:szCs w:val="18"/>
          <w:color w:val="auto"/>
        </w:rPr>
        <w:t xml:space="preserve"> N/A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Limitation on scope of design:</w:t>
      </w:r>
      <w:r>
        <w:rPr>
          <w:rFonts w:ascii="Arial" w:cs="Arial" w:eastAsia="Arial" w:hAnsi="Arial"/>
          <w:sz w:val="18"/>
          <w:szCs w:val="18"/>
          <w:color w:val="auto"/>
        </w:rPr>
        <w:t xml:space="preserve"> N/A</w:t>
      </w:r>
    </w:p>
    <w:p>
      <w:pPr>
        <w:spacing w:after="0" w:line="225" w:lineRule="exact"/>
        <w:rPr>
          <w:sz w:val="20"/>
          <w:szCs w:val="20"/>
          <w:color w:val="auto"/>
        </w:rPr>
      </w:pPr>
    </w:p>
    <w:p>
      <w:pPr>
        <w:jc w:val="both"/>
        <w:ind w:left="660" w:hanging="328"/>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Reporting changes in ICFR: </w:t>
      </w:r>
      <w:r>
        <w:rPr>
          <w:rFonts w:ascii="Arial" w:cs="Arial" w:eastAsia="Arial" w:hAnsi="Arial"/>
          <w:sz w:val="18"/>
          <w:szCs w:val="18"/>
          <w:color w:val="auto"/>
        </w:rPr>
        <w:t>The issuer has disclosed in its interim MD&amp;A any change in the issuer’s ICFR that occurred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on January 1, 2023 and ended on March 31, 2023 that has materially affected, or is reasonably likely to materially affect, the issuer’s ICFR.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Jeffrey Lucas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71" w:name="page72"/>
    <w:bookmarkEnd w:id="71"/>
    <w:p>
      <w:pPr>
        <w:ind w:left="10320"/>
        <w:spacing w:after="0"/>
        <w:rPr>
          <w:sz w:val="20"/>
          <w:szCs w:val="20"/>
          <w:color w:val="auto"/>
        </w:rPr>
      </w:pPr>
      <w:r>
        <w:rPr>
          <w:rFonts w:ascii="Arial" w:cs="Arial" w:eastAsia="Arial" w:hAnsi="Arial"/>
          <w:sz w:val="16"/>
          <w:szCs w:val="16"/>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168910</wp:posOffset>
            </wp:positionV>
            <wp:extent cx="2032000" cy="531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032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Reports First Quarter 2023 Results with</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Adjusted EBITDA of $6 Million</w:t>
      </w:r>
    </w:p>
    <w:p>
      <w:pPr>
        <w:spacing w:after="0" w:line="211" w:lineRule="exact"/>
        <w:rPr>
          <w:sz w:val="20"/>
          <w:szCs w:val="20"/>
          <w:color w:val="auto"/>
        </w:rPr>
      </w:pPr>
    </w:p>
    <w:p>
      <w:pPr>
        <w:jc w:val="center"/>
        <w:ind w:left="380" w:right="2520"/>
        <w:spacing w:after="0" w:line="259" w:lineRule="auto"/>
        <w:rPr>
          <w:sz w:val="20"/>
          <w:szCs w:val="20"/>
          <w:color w:val="auto"/>
        </w:rPr>
      </w:pPr>
      <w:r>
        <w:rPr>
          <w:rFonts w:ascii="Arial" w:cs="Arial" w:eastAsia="Arial" w:hAnsi="Arial"/>
          <w:sz w:val="18"/>
          <w:szCs w:val="18"/>
          <w:color w:val="auto"/>
        </w:rPr>
        <w:t>-Accelerates 6.0 EH/s target to September 30, 2023 - -Mines 21,000+ BTC since inception, 1,297 BTC in Q1 2023 and 379 in April 2023 - -Posts direct cost of production of $12,500 per BTC Q1 2023 - -Achieves 5.0 EH/s in April 2023 -</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Toronto, Ontario and Brossard, Québec (May 15, 2023) </w:t>
      </w:r>
      <w:r>
        <w:rPr>
          <w:rFonts w:ascii="Arial" w:cs="Arial" w:eastAsia="Arial" w:hAnsi="Arial"/>
          <w:sz w:val="17"/>
          <w:szCs w:val="17"/>
          <w:color w:val="auto"/>
        </w:rPr>
        <w:t>- (GLOBE NEWSWIRE) — Bitfarms Ltd. (NASDAQ: BITF // TSX: BITF), a vertically</w:t>
      </w:r>
      <w:r>
        <w:rPr>
          <w:rFonts w:ascii="Arial" w:cs="Arial" w:eastAsia="Arial" w:hAnsi="Arial"/>
          <w:sz w:val="17"/>
          <w:szCs w:val="17"/>
          <w:b w:val="1"/>
          <w:bCs w:val="1"/>
          <w:color w:val="auto"/>
        </w:rPr>
        <w:t xml:space="preserve"> </w:t>
      </w:r>
      <w:r>
        <w:rPr>
          <w:rFonts w:ascii="Arial" w:cs="Arial" w:eastAsia="Arial" w:hAnsi="Arial"/>
          <w:sz w:val="17"/>
          <w:szCs w:val="17"/>
          <w:color w:val="auto"/>
        </w:rPr>
        <w:t>integrated global bitcoin company, reported its financial results for the first quarter ended March 31, 2023. All financial references are in U.S. dollars.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2023, Bitfarms mined 1,297 BTC. “Focused on maintaining financial and operating discipline, we have built strength and flexibility to drive growth and accelerated our 6.0 EH/s target from the end of Q4 2023 to the end of Q3 2023,” said President and CEO of Bitfarms Geoff Morphy. “With our foundation and momentum, we expect to seize opportunities both today and around the next Bitcoin halving which is approaching in April 2024.”</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Morphy noted, “In Q1 2023, as BTC prices improved, our low operating cost model drove Adjusted EBITDA to over $6 million, up from $1 million in Q4 2022. Averaging 14.4 BTC mined per day in Q1 2023, we reached 1,297 BTC for the quarter and exceeded 21,000 BTC mined by hydropower since inception through May 7, 2023. Continuing to position ourselves for opportunistic growth, we increased financial liquidity and flexibility by paying down indebtedness and retaining a portion of BTC from production. We are confident our Q1 2023 direct cost of production per BTC*** of $12,500 remains among the lowest in the industry, and our total average cash cost of production of $17,600 was well below our average BTC sales price of $22,500 in Q1 2023. During the quarter, we increased our hashrate by 7% to 4.8 EH/s as of March 31, 2023, and then hit 5.0 EH/s as of April 27, 2023.”</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both"/>
        <w:spacing w:after="0" w:line="259" w:lineRule="auto"/>
        <w:rPr>
          <w:sz w:val="20"/>
          <w:szCs w:val="20"/>
          <w:color w:val="auto"/>
        </w:rPr>
      </w:pPr>
      <w:r>
        <w:rPr>
          <w:rFonts w:ascii="Arial" w:cs="Arial" w:eastAsia="Arial" w:hAnsi="Arial"/>
          <w:sz w:val="18"/>
          <w:szCs w:val="18"/>
          <w:color w:val="auto"/>
        </w:rPr>
        <w:t>“In April 2023, we began energizing additional miners in Rio Cuarto, Argentina, as our private power provider received its operating permit to power up to 100 MW. Initially, we expanded from 8 to 18 operating MW at our built 50 MW warehouse at this location, and additional miners are on order to ramp production to its full capacity. Using a combination of cash and vendor credits to purchase new miners at an average price of $14.10/TH, we anticipate this will be a highly accretive expansion requiring little incremental capital,” added Morphy.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for the Quarter ended March 31, 2023</w:t>
      </w:r>
    </w:p>
    <w:p>
      <w:pPr>
        <w:spacing w:after="0" w:line="229" w:lineRule="exact"/>
        <w:rPr>
          <w:sz w:val="20"/>
          <w:szCs w:val="20"/>
          <w:color w:val="auto"/>
        </w:rPr>
      </w:pPr>
    </w:p>
    <w:p>
      <w:pPr>
        <w:ind w:left="6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Total revenue was $30 million, compared to $27 million in Q4 2022, reflecting higher average BTC prices partially offset by a decrease in total BTC produced.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Gross mining profit* and gross mining margin* were $12 million and 42%, respectively, compared to $8 million and 33% in Q4 2022,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General and administrative expenses, excluding non-cash share-based compensation, were $6 million, down 29% from Q4 2022.</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Operating loss was $15 million, including a $1 million realized gain on disposition of digital assets and a $3 million reversal of revaluation loss on digital assets, compared to $20 million in Q4 2022, which included a $9 million non-cash impairment reversal, a $29 million realized loss on disposition of digital assets, and a $23 million reversal of revaluation loss on digital assets.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Net loss was $2 million, or ($0.01) per basic and diluted share, compared to $17 million, or ($0.08) per basic and diluted share, in Q4 2022.</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Non-IFRS Adjusted EBITDA* was $6 million, or 21% of revenue, compared to $1 million, or 4% of revenue, in Q4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mined 1,297 BTC at an average direct cost of production per BTC*** of $12,500, compared to $11,100 in Q4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Total cash costs of production per BTC was $17,600 in Q1 2023, up from $16,800 in Q4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Liquidity as of March 31, 2023</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held $29 million in cash and 435 BTC valued at approximately $12 million based upon a BTC price of approximately $28,500 as of March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2023 Financing Activities</w:t>
      </w:r>
    </w:p>
    <w:p>
      <w:pPr>
        <w:spacing w:after="0" w:line="229" w:lineRule="exact"/>
        <w:rPr>
          <w:sz w:val="20"/>
          <w:szCs w:val="20"/>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Sold 1,267 BTC at an average price of $22,500 per BTC for total proceeds of $28 million, a portion of which was used to repay equipment related indebtedness.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Negotiated the termination of the equipment financing with BlockFi Lending LLC, which had an outstanding balance of $20 million as at December 31, 2022, to align with market conditions, with a settlement of the loan for $8 million, resulting in a gain on extinguishment of long-term debt of $13 million.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Reduced equipment-related indebtedness by $25 million, which includes the BlockFi settlement.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Raised $16 million in net proceeds through the Company’s at-the-market equity offering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 Subsequent to Q1 2023</w:t>
      </w:r>
    </w:p>
    <w:p>
      <w:pPr>
        <w:spacing w:after="0" w:line="229"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Sold daily production, totaling 379 BTC, during April 2023, generating proceeds of $10 million.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Added 30 BTC to treasury in April, increasing BTC in custody to 465, representing a total value of approximately $14 million based on a BTC price of $29,300 on April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2023 and Recent Operating Highlights</w:t>
      </w:r>
    </w:p>
    <w:p>
      <w:pPr>
        <w:spacing w:after="0" w:line="229"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Reached 5.0 EH/s total company hashrate as of April 27,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Surpassed 21,000 BTC mined with renewable hydropower since 2017 founding, which is 1/1000 (or 0.1%) of the entire BTC pool.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Averaged 14.4 BTC per day in daily production in Q1 2023, frequently exceeding 15 BTC per day in daily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Mined 379 BTC in April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Received and installed approximately 3,000 miners in Q1 2023, adding 300 PH/s to Bitfarms’ online hashrate.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Added new automated hardware diagnostics tool that improves repair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Deployed real-time energy tracking across all sites, allowing for individual machine optimization.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Expansion Update</w:t>
      </w:r>
    </w:p>
    <w:p>
      <w:pPr>
        <w:spacing w:after="0" w:line="229" w:lineRule="exact"/>
        <w:rPr>
          <w:sz w:val="20"/>
          <w:szCs w:val="20"/>
          <w:color w:val="auto"/>
        </w:rPr>
      </w:pPr>
    </w:p>
    <w:p>
      <w:pPr>
        <w:ind w:left="66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April 10, 2023, the Company entered into agreements to acquire 22 MW of hydro-power capacity in Baie-Comeau, Quebec and lease a site to build the acquired capacity, subject to closing.</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On April 24, 2023, the Company confirmed receipt of the necessary power permits to expand production up to 100 MW at its Rio Cuarto, Argentina facility. This more than doubled the active mining capacity at that site to 18 MW in the Company’s completed 50 MW warehouse as of April 30, 2023. Over 6,200 new Bitmain and MicroBT miners were placed on order to install an additional 22 MW in the first warehouse.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Operating Performance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Q1 2023</w:t>
            </w: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Q4 2022</w:t>
            </w: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Q1 2022</w:t>
            </w: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BTC mined</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Average Watts/Average TH efficiency</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39</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68"/>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BTC sold</w:t>
            </w:r>
          </w:p>
        </w:tc>
        <w:tc>
          <w:tcPr>
            <w:tcW w:w="1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3,093</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414"/>
        </w:trPr>
        <w:tc>
          <w:tcPr>
            <w:tcW w:w="36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As of</w:t>
            </w:r>
          </w:p>
        </w:tc>
        <w:tc>
          <w:tcPr>
            <w:tcW w:w="3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As of</w:t>
            </w:r>
          </w:p>
        </w:tc>
      </w:tr>
      <w:tr>
        <w:trPr>
          <w:trHeight w:val="234"/>
        </w:trPr>
        <w:tc>
          <w:tcPr>
            <w:tcW w:w="3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December 31,</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March 31,</w:t>
            </w:r>
          </w:p>
        </w:tc>
      </w:tr>
      <w:tr>
        <w:trPr>
          <w:trHeight w:val="209"/>
        </w:trPr>
        <w:tc>
          <w:tcPr>
            <w:tcW w:w="3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Period-end operating EH/s</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Period-end operating capacity (MW)</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188</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50"/>
        </w:trPr>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Hydropower (MW)</w:t>
            </w:r>
          </w:p>
        </w:tc>
        <w:tc>
          <w:tcPr>
            <w:tcW w:w="1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r>
      <w:tr>
        <w:trPr>
          <w:trHeight w:val="432"/>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Quarterly Average Revenue** and Cost of Production per BTC***</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32"/>
        </w:trPr>
        <w:tc>
          <w:tcPr>
            <w:tcW w:w="3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Q1 2023</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Q4 2022</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Q3 2022</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Q2 2022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Q1 2022</w:t>
            </w:r>
          </w:p>
        </w:tc>
      </w:tr>
      <w:tr>
        <w:trPr>
          <w:trHeight w:val="21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Avg. Rev**/BTC</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32,700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41,300</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Direct Cost***/BTC</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11,100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8,700</w:t>
            </w:r>
          </w:p>
        </w:tc>
      </w:tr>
      <w:tr>
        <w:trPr>
          <w:trHeight w:val="250"/>
        </w:trPr>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Cost/BTC</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17,600</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16,800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17,200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ind w:left="20" w:hanging="11"/>
        <w:spacing w:after="0" w:line="263" w:lineRule="auto"/>
        <w:rPr>
          <w:sz w:val="20"/>
          <w:szCs w:val="20"/>
          <w:color w:val="auto"/>
        </w:rPr>
      </w:pPr>
      <w:r>
        <w:rPr>
          <w:rFonts w:ascii="Arial" w:cs="Arial" w:eastAsia="Arial" w:hAnsi="Arial"/>
          <w:sz w:val="18"/>
          <w:szCs w:val="18"/>
          <w:color w:val="auto"/>
        </w:rPr>
        <w:t>Management will host a conference call and live webcast with an accompanying presentation today, Monday, May 15, 2023, at 11 a.m. ET to review the Company’s financial results and quarterly activity. Following management’s formal remarks there will be a live question-and-answer session, which may include pre-submitted questions. Participants are asked to pre-register for the call through the following link: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auto"/>
        </w:rPr>
        <w:t>Q1 2023 Conference Call</w:t>
      </w:r>
    </w:p>
    <w:p>
      <w:pPr>
        <w:spacing w:after="0" w:line="225" w:lineRule="exact"/>
        <w:rPr>
          <w:sz w:val="20"/>
          <w:szCs w:val="20"/>
          <w:color w:val="auto"/>
        </w:rPr>
      </w:pPr>
    </w:p>
    <w:p>
      <w:pPr>
        <w:jc w:val="both"/>
        <w:ind w:left="20" w:hanging="11"/>
        <w:spacing w:after="0" w:line="263" w:lineRule="auto"/>
        <w:rPr>
          <w:sz w:val="20"/>
          <w:szCs w:val="20"/>
          <w:color w:val="auto"/>
        </w:rPr>
      </w:pPr>
      <w:r>
        <w:rPr>
          <w:rFonts w:ascii="Arial" w:cs="Arial" w:eastAsia="Arial" w:hAnsi="Arial"/>
          <w:sz w:val="18"/>
          <w:szCs w:val="18"/>
          <w:color w:val="auto"/>
        </w:rPr>
        <w:t>Please note that registered participants will receive their dial in number upon registration and will dial directly into the call without delay. Those without internet access or who are unable to pre-register may dial in by calling: 1-866-777-2509 (domestic), 1-412-317-5413 (international). All callers should dial in approximately 10 minutes prior to the scheduled start time and ask to be joined into the Bitfarms 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also be available through a live webcast found here: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Live Webcast</w:t>
      </w:r>
    </w:p>
    <w:p>
      <w:pPr>
        <w:spacing w:after="0" w:line="225" w:lineRule="exact"/>
        <w:rPr>
          <w:sz w:val="20"/>
          <w:szCs w:val="20"/>
          <w:color w:val="auto"/>
        </w:rPr>
      </w:pPr>
    </w:p>
    <w:p>
      <w:pPr>
        <w:jc w:val="both"/>
        <w:ind w:left="20" w:hanging="11"/>
        <w:spacing w:after="0" w:line="259" w:lineRule="auto"/>
        <w:rPr>
          <w:sz w:val="20"/>
          <w:szCs w:val="20"/>
          <w:color w:val="auto"/>
        </w:rPr>
      </w:pPr>
      <w:r>
        <w:rPr>
          <w:rFonts w:ascii="Arial" w:cs="Arial" w:eastAsia="Arial" w:hAnsi="Arial"/>
          <w:sz w:val="18"/>
          <w:szCs w:val="18"/>
          <w:color w:val="auto"/>
        </w:rPr>
        <w:t>A webcast replay of the call will be available approximately one hour after the end of the call and will be available for one year, at the above webcast link. A telephonic replay of the call will be available through May 22, 2023, and may be accessed by calling 1-877-344-7529 (domestic) or 1-412-317-0088 (international) or Canada (toll free) 855-669-9658 and using access code 6903864. A presentation of the Q1 2023 results will be accessible on Monday, May 15, 2023, under the “Investors” section of Bitfarms’ website.</w:t>
      </w:r>
    </w:p>
    <w:p>
      <w:pPr>
        <w:spacing w:after="0" w:line="187" w:lineRule="exact"/>
        <w:rPr>
          <w:sz w:val="20"/>
          <w:szCs w:val="20"/>
          <w:color w:val="auto"/>
        </w:rPr>
      </w:pPr>
    </w:p>
    <w:p>
      <w:pPr>
        <w:jc w:val="both"/>
        <w:ind w:left="340" w:hanging="332"/>
        <w:spacing w:after="0" w:line="259" w:lineRule="auto"/>
        <w:tabs>
          <w:tab w:leader="none" w:pos="340"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Gross mining profit, gross mining margin, EBITDA, EBITDA margin, Adjusted EBITDA and Adjusted EBITDA margin are non-IFRS financial measures or ratios and should be read in conjunction with and should not be viewed as alternatives to or replacements of measures of operating results and liquidity presented in accordance with IFRS. Readers are referred to the reconciliations of non-IFRS measures included in the Company’s MD&amp;A and at the end of this press release.</w:t>
      </w:r>
    </w:p>
    <w:p>
      <w:pPr>
        <w:spacing w:after="0" w:line="187"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Average revenue per BTC is for mining operations only and excludes Volta revenue.</w:t>
      </w:r>
    </w:p>
    <w:p>
      <w:pPr>
        <w:spacing w:after="0" w:line="225"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Direct Cost of Production per BTC represents the direct cost of Bitcoin based on the total electricity costs divided by the total number of Bitcoin mined.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currently has 10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w/TH = Watts per Terahash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KWh = Kilowatt per hour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highlight w:val="white"/>
        </w:rPr>
        <w:t>Forward-Looking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as to regarding opportunities both today and around the next Bitcoin halving and regarding the Company’s expansion in Argentina, and other statements regarding future growth,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5400"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“should”,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and approvals;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w:t>
      </w:r>
      <w:r>
        <w:rPr>
          <w:rFonts w:ascii="Arial" w:cs="Arial" w:eastAsia="Arial" w:hAnsi="Arial"/>
          <w:sz w:val="16"/>
          <w:szCs w:val="16"/>
          <w:i w:val="1"/>
          <w:iCs w:val="1"/>
          <w:color w:val="auto"/>
        </w:rPr>
        <w:t>ended December 31, 2022, filed on March 21, 2023, and the MD&amp;A for three-month</w:t>
      </w:r>
      <w:r>
        <w:rPr>
          <w:rFonts w:ascii="Arial" w:cs="Arial" w:eastAsia="Arial" w:hAnsi="Arial"/>
          <w:sz w:val="16"/>
          <w:szCs w:val="16"/>
          <w:i w:val="1"/>
          <w:iCs w:val="1"/>
          <w:color w:val="auto"/>
          <w:highlight w:val="white"/>
        </w:rPr>
        <w:t xml:space="preserve"> </w:t>
      </w:r>
      <w:r>
        <w:rPr>
          <w:rFonts w:ascii="Arial" w:cs="Arial" w:eastAsia="Arial" w:hAnsi="Arial"/>
          <w:sz w:val="16"/>
          <w:szCs w:val="16"/>
          <w:i w:val="1"/>
          <w:iCs w:val="1"/>
          <w:color w:val="auto"/>
        </w:rPr>
        <w:t>period ended March 31, 2023.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-12700</wp:posOffset>
            </wp:positionV>
            <wp:extent cx="2540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lmleclerc@tactconseil.ca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Bitfarms Ltd. Consolidated Financial &amp; Operational Results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w w:val="92"/>
              </w:rPr>
              <w:t>Three months ended March 31,</w:t>
            </w:r>
          </w:p>
        </w:tc>
        <w:tc>
          <w:tcPr>
            <w:tcW w:w="1220" w:type="dxa"/>
            <w:vAlign w:val="bottom"/>
            <w:tcBorders>
              <w:bottom w:val="single" w:sz="8" w:color="auto"/>
            </w:tcBorders>
          </w:tcPr>
          <w:p>
            <w:pPr>
              <w:spacing w:after="0"/>
              <w:rPr>
                <w:sz w:val="20"/>
                <w:szCs w:val="20"/>
                <w:color w:val="auto"/>
              </w:rPr>
            </w:pPr>
          </w:p>
        </w:tc>
      </w:tr>
      <w:tr>
        <w:trPr>
          <w:trHeight w:val="237"/>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5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30,050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40,329</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(10,279)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revenues</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38,403</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23,292</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15,111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18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(8,353)</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17,037</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(25,390)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83"/>
        </w:trPr>
        <w:tc>
          <w:tcPr>
            <w:tcW w:w="5360" w:type="dxa"/>
            <w:vAlign w:val="bottom"/>
            <w:tcBorders>
              <w:bottom w:val="single" w:sz="8" w:color="auto"/>
            </w:tcBorders>
          </w:tcPr>
          <w:p>
            <w:pPr>
              <w:spacing w:after="0" w:line="284" w:lineRule="exact"/>
              <w:rPr>
                <w:sz w:val="20"/>
                <w:szCs w:val="20"/>
                <w:color w:val="auto"/>
              </w:rPr>
            </w:pPr>
            <w:r>
              <w:rPr>
                <w:rFonts w:ascii="Arial" w:cs="Arial" w:eastAsia="Arial" w:hAnsi="Arial"/>
                <w:sz w:val="18"/>
                <w:szCs w:val="18"/>
                <w:color w:val="auto"/>
              </w:rPr>
              <w:t>Gross margin</w:t>
            </w:r>
            <w:r>
              <w:rPr>
                <w:rFonts w:ascii="Arial" w:cs="Arial" w:eastAsia="Arial" w:hAnsi="Arial"/>
                <w:sz w:val="29"/>
                <w:szCs w:val="29"/>
                <w:color w:val="auto"/>
                <w:vertAlign w:val="superscript"/>
              </w:rPr>
              <w:t>(1)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42%</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09"/>
        </w:trPr>
        <w:tc>
          <w:tcPr>
            <w:tcW w:w="5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8,360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13,843</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(5,483)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Realized (gain) loss on disposition of digital assets</w:t>
            </w:r>
          </w:p>
        </w:tc>
        <w:tc>
          <w:tcPr>
            <w:tcW w:w="1800" w:type="dxa"/>
            <w:vAlign w:val="bottom"/>
          </w:tcPr>
          <w:p>
            <w:pPr>
              <w:jc w:val="right"/>
              <w:ind w:right="110"/>
              <w:spacing w:after="0"/>
              <w:rPr>
                <w:sz w:val="20"/>
                <w:szCs w:val="20"/>
                <w:color w:val="auto"/>
              </w:rPr>
            </w:pPr>
            <w:r>
              <w:rPr>
                <w:rFonts w:ascii="Arial" w:cs="Arial" w:eastAsia="Arial" w:hAnsi="Arial"/>
                <w:sz w:val="18"/>
                <w:szCs w:val="18"/>
                <w:b w:val="1"/>
                <w:bCs w:val="1"/>
                <w:color w:val="auto"/>
              </w:rPr>
              <w:t>(587)</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(621)</w:t>
            </w:r>
          </w:p>
        </w:tc>
        <w:tc>
          <w:tcPr>
            <w:tcW w:w="1220" w:type="dxa"/>
            <w:vAlign w:val="bottom"/>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Reversal of revaluation loss on digital assets</w:t>
            </w:r>
          </w:p>
        </w:tc>
        <w:tc>
          <w:tcPr>
            <w:tcW w:w="18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(2,695)</w:t>
            </w:r>
          </w:p>
        </w:tc>
        <w:tc>
          <w:tcPr>
            <w:tcW w:w="1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(3,702)</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Loss (gain) on disposition of property, plant and equipment</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1,566</w:t>
            </w: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1,578</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236"/>
        </w:trPr>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1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(14,997)</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6,874</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(21,871)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91"/>
        </w:trPr>
        <w:tc>
          <w:tcPr>
            <w:tcW w:w="5360" w:type="dxa"/>
            <w:vAlign w:val="bottom"/>
            <w:tcBorders>
              <w:bottom w:val="single" w:sz="8" w:color="auto"/>
            </w:tcBorders>
          </w:tcPr>
          <w:p>
            <w:pPr>
              <w:spacing w:after="0" w:line="291" w:lineRule="exact"/>
              <w:rPr>
                <w:sz w:val="20"/>
                <w:szCs w:val="20"/>
                <w:color w:val="auto"/>
              </w:rPr>
            </w:pPr>
            <w:r>
              <w:rPr>
                <w:rFonts w:ascii="Arial" w:cs="Arial" w:eastAsia="Arial" w:hAnsi="Arial"/>
                <w:sz w:val="18"/>
                <w:szCs w:val="18"/>
                <w:color w:val="auto"/>
              </w:rPr>
              <w:t>Operating margin</w:t>
            </w:r>
            <w:r>
              <w:rPr>
                <w:rFonts w:ascii="Arial" w:cs="Arial" w:eastAsia="Arial" w:hAnsi="Arial"/>
                <w:sz w:val="29"/>
                <w:szCs w:val="29"/>
                <w:color w:val="auto"/>
                <w:vertAlign w:val="superscript"/>
              </w:rPr>
              <w:t>(1)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09"/>
        </w:trPr>
        <w:tc>
          <w:tcPr>
            <w:tcW w:w="5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financial income</w:t>
            </w:r>
          </w:p>
        </w:tc>
        <w:tc>
          <w:tcPr>
            <w:tcW w:w="1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(12,188)</w:t>
            </w: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(4,083)</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(8,105)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37"/>
        </w:trPr>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before income taxes</w:t>
            </w:r>
          </w:p>
        </w:tc>
        <w:tc>
          <w:tcPr>
            <w:tcW w:w="1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(2,809)</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10,957</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(13,766)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9"/>
        </w:trPr>
        <w:tc>
          <w:tcPr>
            <w:tcW w:w="5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3"/>
        </w:trPr>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(recovery) expense</w:t>
            </w:r>
          </w:p>
        </w:tc>
        <w:tc>
          <w:tcPr>
            <w:tcW w:w="1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(330)</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6,438</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(6,768)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(loss) income</w:t>
            </w:r>
          </w:p>
        </w:tc>
        <w:tc>
          <w:tcPr>
            <w:tcW w:w="1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(2,479)</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4,519</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(6,998)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5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(loss) earnings per share (in U.S. dollars)</w:t>
            </w:r>
          </w:p>
        </w:tc>
        <w:tc>
          <w:tcPr>
            <w:tcW w:w="1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(0.01)</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0.02</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6"/>
        </w:trPr>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(loss) earnings per share (in U.S. dollars)</w:t>
            </w:r>
          </w:p>
        </w:tc>
        <w:tc>
          <w:tcPr>
            <w:tcW w:w="1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(0.01)</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0.02</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revaluation surplus - digital assets, net of tax</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1,225</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income, net of tax</w:t>
            </w:r>
          </w:p>
        </w:tc>
        <w:tc>
          <w:tcPr>
            <w:tcW w:w="1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(1,254)</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4,519</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(5,773)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5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5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(1)</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12,185</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30,140</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(17,955)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5360" w:type="dxa"/>
            <w:vAlign w:val="bottom"/>
          </w:tcPr>
          <w:p>
            <w:pPr>
              <w:spacing w:after="0" w:line="270"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76%</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19,511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27,033</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(7,522)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5360" w:type="dxa"/>
            <w:vAlign w:val="bottom"/>
          </w:tcPr>
          <w:p>
            <w:pPr>
              <w:spacing w:after="0" w:line="270"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67%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6"/>
        </w:trPr>
        <w:tc>
          <w:tcPr>
            <w:tcW w:w="5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6,334</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21,440</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(15,106)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5360" w:type="dxa"/>
            <w:vAlign w:val="bottom"/>
            <w:tcBorders>
              <w:bottom w:val="single" w:sz="8" w:color="auto"/>
            </w:tcBorders>
          </w:tcPr>
          <w:p>
            <w:pPr>
              <w:spacing w:after="0" w:line="296"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53%</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87" w:lineRule="exact"/>
        <w:rPr>
          <w:sz w:val="20"/>
          <w:szCs w:val="20"/>
          <w:color w:val="auto"/>
        </w:rPr>
      </w:pPr>
    </w:p>
    <w:p>
      <w:pPr>
        <w:ind w:left="340" w:hanging="332"/>
        <w:spacing w:after="0" w:line="308"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Gross margin, Operating margin, Gross Mining profit, Gross Mining margin, EBITDA, EBITDA margin, Adjusted EBITDA, and Adjusted EBITDA margin, are non-IFRS financial measures or ratios; refer to Section 9 - Non-IFRS Financial Measures and Ratios of the Company's MD&amp;A.</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center"/>
        <w:ind w:right="40"/>
        <w:spacing w:after="0"/>
        <w:rPr>
          <w:sz w:val="20"/>
          <w:szCs w:val="20"/>
          <w:color w:val="auto"/>
        </w:rPr>
      </w:pPr>
      <w:r>
        <w:rPr>
          <w:rFonts w:ascii="Arial" w:cs="Arial" w:eastAsia="Arial" w:hAnsi="Arial"/>
          <w:sz w:val="18"/>
          <w:szCs w:val="18"/>
          <w:b w:val="1"/>
          <w:bCs w:val="1"/>
          <w:color w:val="auto"/>
        </w:rPr>
        <w:t>Bitfarms Ltd. Reconciliation of Consolidated Net Income (loss) to EBITDA and Adjusted EBITDA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w w:val="92"/>
              </w:rPr>
              <w:t>Three months ended March 31,</w:t>
            </w:r>
          </w:p>
        </w:tc>
        <w:tc>
          <w:tcPr>
            <w:tcW w:w="1220" w:type="dxa"/>
            <w:vAlign w:val="bottom"/>
            <w:tcBorders>
              <w:bottom w:val="single" w:sz="8" w:color="auto"/>
            </w:tcBorders>
          </w:tcPr>
          <w:p>
            <w:pPr>
              <w:spacing w:after="0"/>
              <w:rPr>
                <w:sz w:val="20"/>
                <w:szCs w:val="20"/>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37"/>
        </w:trPr>
        <w:tc>
          <w:tcPr>
            <w:tcW w:w="58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30,050</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40,329</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(10,279)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58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before income taxes</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(2,809)</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10,957</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(13,766)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1,620</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3,010</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(1,390)</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20,700</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13,066</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7,634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58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19,511</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27,033</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(7,522)</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(28)%</w:t>
            </w:r>
          </w:p>
        </w:tc>
      </w:tr>
      <w:tr>
        <w:trPr>
          <w:trHeight w:val="243"/>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EBITDA margin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67%</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Share-based payment</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2,536</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6,105</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(3,569)</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disposition of digital assets</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(587)</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34</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(621)</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Reversal of revaluation loss on digital assets</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(2,695)</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(3,702)</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1,007</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long-term debt and lease liabilities</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(12,835)</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(12,835)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financial (income) expenses and other</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404</w:t>
            </w: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(8,030)</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8,434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6,334</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21,440</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(15,106)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EBITDA margin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53%</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84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8"/>
        </w:trPr>
        <w:tc>
          <w:tcPr>
            <w:tcW w:w="8760" w:type="dxa"/>
            <w:vAlign w:val="bottom"/>
            <w:gridSpan w:val="3"/>
          </w:tcPr>
          <w:p>
            <w:pPr>
              <w:ind w:left="2720"/>
              <w:spacing w:after="0"/>
              <w:rPr>
                <w:sz w:val="20"/>
                <w:szCs w:val="20"/>
                <w:color w:val="auto"/>
              </w:rPr>
            </w:pPr>
            <w:r>
              <w:rPr>
                <w:rFonts w:ascii="Arial" w:cs="Arial" w:eastAsia="Arial" w:hAnsi="Arial"/>
                <w:sz w:val="18"/>
                <w:szCs w:val="18"/>
                <w:b w:val="1"/>
                <w:bCs w:val="1"/>
                <w:color w:val="auto"/>
                <w:w w:val="95"/>
              </w:rPr>
              <w:t>Bitfarms Ltd. Calculation of Gross Mining Profit and Gross Mining Margin</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5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2"/>
              </w:rPr>
              <w:t>Three months ended March 31,</w:t>
            </w:r>
          </w:p>
        </w:tc>
        <w:tc>
          <w:tcPr>
            <w:tcW w:w="1220" w:type="dxa"/>
            <w:vAlign w:val="bottom"/>
          </w:tcPr>
          <w:p>
            <w:pPr>
              <w:spacing w:after="0"/>
              <w:rPr>
                <w:sz w:val="24"/>
                <w:szCs w:val="24"/>
                <w:color w:val="auto"/>
              </w:rPr>
            </w:pPr>
          </w:p>
        </w:tc>
      </w:tr>
      <w:tr>
        <w:trPr>
          <w:trHeight w:val="27"/>
        </w:trPr>
        <w:tc>
          <w:tcPr>
            <w:tcW w:w="5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2"/>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41"/>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(8,353)</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17,037</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(25,390)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Non-Mining revenues (1)</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(842)</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(604)</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(238)</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20,700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13,066</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7,634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Purchases of electrical components and other</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324</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312</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Electrician salaries and payroll taxes</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356</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329</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5840" w:type="dxa"/>
            <w:vAlign w:val="bottom"/>
          </w:tcPr>
          <w:p>
            <w:pPr>
              <w:spacing w:after="0"/>
              <w:rPr>
                <w:sz w:val="20"/>
                <w:szCs w:val="20"/>
                <w:color w:val="auto"/>
              </w:rPr>
            </w:pPr>
            <w:r>
              <w:rPr>
                <w:rFonts w:ascii="Arial" w:cs="Arial" w:eastAsia="Arial" w:hAnsi="Arial"/>
                <w:sz w:val="18"/>
                <w:szCs w:val="18"/>
                <w:b w:val="1"/>
                <w:bCs w:val="1"/>
                <w:color w:val="auto"/>
              </w:rPr>
              <w:t>Gross Mining profit (2)</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12,185</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30,140</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(17,955)</w:t>
            </w: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9"/>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Mining margin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76%</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430"/>
        </w:trPr>
        <w:tc>
          <w:tcPr>
            <w:tcW w:w="5840" w:type="dxa"/>
            <w:vAlign w:val="bottom"/>
          </w:tcPr>
          <w:p>
            <w:pPr>
              <w:spacing w:after="0"/>
              <w:rPr>
                <w:sz w:val="20"/>
                <w:szCs w:val="20"/>
                <w:color w:val="auto"/>
              </w:rPr>
            </w:pPr>
            <w:r>
              <w:rPr>
                <w:rFonts w:ascii="Arial" w:cs="Arial" w:eastAsia="Arial" w:hAnsi="Arial"/>
                <w:sz w:val="18"/>
                <w:szCs w:val="18"/>
                <w:color w:val="auto"/>
              </w:rPr>
              <w:t>(1)  Non-mining revenues reconciliation:</w:t>
            </w: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5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w w:val="93"/>
              </w:rPr>
              <w:t>Three months ended March 31,</w:t>
            </w:r>
          </w:p>
        </w:tc>
        <w:tc>
          <w:tcPr>
            <w:tcW w:w="1220" w:type="dxa"/>
            <w:vAlign w:val="bottom"/>
            <w:tcBorders>
              <w:bottom w:val="single" w:sz="8" w:color="auto"/>
            </w:tcBorders>
          </w:tcPr>
          <w:p>
            <w:pPr>
              <w:spacing w:after="0"/>
              <w:rPr>
                <w:sz w:val="24"/>
                <w:szCs w:val="24"/>
                <w:color w:val="auto"/>
              </w:rPr>
            </w:pPr>
          </w:p>
        </w:tc>
      </w:tr>
      <w:tr>
        <w:trPr>
          <w:trHeight w:val="236"/>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1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37"/>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30,050</w:t>
            </w:r>
          </w:p>
        </w:tc>
        <w:tc>
          <w:tcPr>
            <w:tcW w:w="1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40,329</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(10,279)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195"/>
        </w:trPr>
        <w:tc>
          <w:tcPr>
            <w:tcW w:w="5840" w:type="dxa"/>
            <w:vAlign w:val="bottom"/>
          </w:tcPr>
          <w:p>
            <w:pPr>
              <w:spacing w:after="0" w:line="195" w:lineRule="exact"/>
              <w:rPr>
                <w:sz w:val="20"/>
                <w:szCs w:val="20"/>
                <w:color w:val="auto"/>
              </w:rPr>
            </w:pPr>
            <w:r>
              <w:rPr>
                <w:rFonts w:ascii="Arial" w:cs="Arial" w:eastAsia="Arial" w:hAnsi="Arial"/>
                <w:sz w:val="18"/>
                <w:szCs w:val="18"/>
                <w:color w:val="auto"/>
              </w:rPr>
              <w:t>Less Mining related revenues for the purpose of calculating gross Mining</w:t>
            </w:r>
          </w:p>
        </w:tc>
        <w:tc>
          <w:tcPr>
            <w:tcW w:w="1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margin:</w:t>
            </w:r>
          </w:p>
        </w:tc>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58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Mining revenues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(29,208)</w:t>
            </w: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(39,725)</w:t>
            </w: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10,517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4"/>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Non-Mining revenues</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842</w:t>
            </w:r>
          </w:p>
        </w:tc>
        <w:tc>
          <w:tcPr>
            <w:tcW w:w="1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604</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“Gross Mining Profit” is defined as Gross profit excluding depreciation and amortization and other minor items included in cost of sales that do not directly relate to mining related activities. "Gross Mining margin” is defined as the percentage obtained when dividing Gross Mining profit by Revenues from mining related activities.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lowerLetter"/>
      <w:start w:val="1"/>
    </w:lvl>
  </w:abstractNum>
  <w:abstractNum w:abstractNumId="1">
    <w:nsid w:val="579478FE"/>
    <w:multiLevelType w:val="hybridMultilevel"/>
    <w:lvl w:ilvl="0">
      <w:lvlJc w:val="left"/>
      <w:lvlText w:val="%1."/>
      <w:numFmt w:val="lowerLetter"/>
      <w:start w:val="2"/>
    </w:lvl>
  </w:abstractNum>
  <w:abstractNum w:abstractNumId="2">
    <w:nsid w:val="749ABB43"/>
    <w:multiLevelType w:val="hybridMultilevel"/>
    <w:lvl w:ilvl="0">
      <w:lvlJc w:val="left"/>
      <w:lvlText w:val="%1."/>
      <w:numFmt w:val="lowerLetter"/>
      <w:start w:val="3"/>
    </w:lvl>
  </w:abstractNum>
  <w:abstractNum w:abstractNumId="3">
    <w:nsid w:val="3DC240FB"/>
    <w:multiLevelType w:val="hybridMultilevel"/>
    <w:lvl w:ilvl="0">
      <w:lvlJc w:val="left"/>
      <w:lvlText w:val="%1."/>
      <w:numFmt w:val="lowerLetter"/>
      <w:start w:val="4"/>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1."/>
      <w:numFmt w:val="lowerLetter"/>
      <w:start w:val="2"/>
    </w:lvl>
  </w:abstractNum>
  <w:abstractNum w:abstractNumId="10">
    <w:nsid w:val="374A3FE6"/>
    <w:multiLevelType w:val="hybridMultilevel"/>
    <w:lvl w:ilvl="0">
      <w:lvlJc w:val="left"/>
      <w:lvlText w:val="%1."/>
      <w:numFmt w:val="lowerLetter"/>
      <w:start w:val="1"/>
    </w:lvl>
  </w:abstractNum>
  <w:abstractNum w:abstractNumId="11">
    <w:nsid w:val="4F4EF005"/>
    <w:multiLevelType w:val="hybridMultilevel"/>
    <w:lvl w:ilvl="0">
      <w:lvlJc w:val="left"/>
      <w:lvlText w:val="%1."/>
      <w:numFmt w:val="lowerLetter"/>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1."/>
      <w:numFmt w:val="lowerRoman"/>
      <w:start w:val="1"/>
    </w:lvl>
  </w:abstractNum>
  <w:abstractNum w:abstractNumId="14">
    <w:nsid w:val="275AC794"/>
    <w:multiLevelType w:val="hybridMultilevel"/>
    <w:lvl w:ilvl="0">
      <w:lvlJc w:val="left"/>
      <w:lvlText w:val="%1."/>
      <w:numFmt w:val="lowerRoman"/>
      <w:start w:val="2"/>
    </w:lvl>
  </w:abstractNum>
  <w:abstractNum w:abstractNumId="15">
    <w:nsid w:val="39386575"/>
    <w:multiLevelType w:val="hybridMultilevel"/>
    <w:lvl w:ilvl="0">
      <w:lvlJc w:val="left"/>
      <w:lvlText w:val="%1."/>
      <w:numFmt w:val="lowerRoman"/>
      <w:start w:val="3"/>
    </w:lvl>
  </w:abstractNum>
  <w:abstractNum w:abstractNumId="16">
    <w:nsid w:val="1CF10FD8"/>
    <w:multiLevelType w:val="hybridMultilevel"/>
    <w:lvl w:ilvl="0">
      <w:lvlJc w:val="left"/>
      <w:lvlText w:val="%1."/>
      <w:numFmt w:val="lowerLetter"/>
      <w:start w:val="1"/>
    </w:lvl>
  </w:abstractNum>
  <w:abstractNum w:abstractNumId="17">
    <w:nsid w:val="180115BE"/>
    <w:multiLevelType w:val="hybridMultilevel"/>
    <w:lvl w:ilvl="0">
      <w:lvlJc w:val="left"/>
      <w:lvlText w:val="%1."/>
      <w:numFmt w:val="lowerLetter"/>
      <w:start w:val="2"/>
    </w:lvl>
  </w:abstractNum>
  <w:abstractNum w:abstractNumId="18">
    <w:nsid w:val="235BA861"/>
    <w:multiLevelType w:val="hybridMultilevel"/>
    <w:lvl w:ilvl="0">
      <w:lvlJc w:val="left"/>
      <w:lvlText w:val="%1."/>
      <w:numFmt w:val="lowerLetter"/>
      <w:start w:val="3"/>
    </w:lvl>
  </w:abstractNum>
  <w:abstractNum w:abstractNumId="19">
    <w:nsid w:val="47398C89"/>
    <w:multiLevelType w:val="hybridMultilevel"/>
    <w:lvl w:ilvl="0">
      <w:lvlJc w:val="left"/>
      <w:lvlText w:val="1"/>
      <w:numFmt w:val="bullet"/>
      <w:start w:val="1"/>
    </w:lvl>
  </w:abstractNum>
  <w:abstractNum w:abstractNumId="20">
    <w:nsid w:val="354FE9F9"/>
    <w:multiLevelType w:val="hybridMultilevel"/>
    <w:lvl w:ilvl="0">
      <w:lvlJc w:val="left"/>
      <w:lvlText w:val="2"/>
      <w:numFmt w:val="bullet"/>
      <w:start w:val="1"/>
    </w:lvl>
  </w:abstractNum>
  <w:abstractNum w:abstractNumId="21">
    <w:nsid w:val="15B5AF5C"/>
    <w:multiLevelType w:val="hybridMultilevel"/>
    <w:lvl w:ilvl="0">
      <w:lvlJc w:val="left"/>
      <w:lvlText w:val="1"/>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1"/>
      <w:numFmt w:val="bullet"/>
      <w:start w:val="1"/>
    </w:lvl>
  </w:abstractNum>
  <w:abstractNum w:abstractNumId="27">
    <w:nsid w:val="7E0C57B1"/>
    <w:multiLevelType w:val="hybridMultilevel"/>
    <w:lvl w:ilvl="0">
      <w:lvlJc w:val="left"/>
      <w:lvlText w:val="2"/>
      <w:numFmt w:val="bullet"/>
      <w:start w:val="1"/>
    </w:lvl>
  </w:abstractNum>
  <w:abstractNum w:abstractNumId="28">
    <w:nsid w:val="77AE35EB"/>
    <w:multiLevelType w:val="hybridMultilevel"/>
    <w:lvl w:ilvl="0">
      <w:lvlJc w:val="left"/>
      <w:lvlText w:val="%1."/>
      <w:numFmt w:val="decimal"/>
      <w:start w:val="5"/>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1."/>
      <w:numFmt w:val="upperLetter"/>
      <w:start w:val="1"/>
    </w:lvl>
  </w:abstractNum>
  <w:abstractNum w:abstractNumId="32">
    <w:nsid w:val="2F305DEF"/>
    <w:multiLevelType w:val="hybridMultilevel"/>
    <w:lvl w:ilvl="0">
      <w:lvlJc w:val="left"/>
      <w:lvlText w:val="%1."/>
      <w:numFmt w:val="upperLetter"/>
      <w:start w:val="1"/>
    </w:lvl>
  </w:abstractNum>
  <w:abstractNum w:abstractNumId="33">
    <w:nsid w:val="25A70BF7"/>
    <w:multiLevelType w:val="hybridMultilevel"/>
    <w:lvl w:ilvl="0">
      <w:lvlJc w:val="left"/>
      <w:lvlText w:val="%1."/>
      <w:numFmt w:val="upperLetter"/>
      <w:start w:val="1"/>
    </w:lvl>
  </w:abstractNum>
  <w:abstractNum w:abstractNumId="34">
    <w:nsid w:val="1DBABF00"/>
    <w:multiLevelType w:val="hybridMultilevel"/>
    <w:lvl w:ilvl="0">
      <w:lvlJc w:val="left"/>
      <w:lvlText w:val="%1."/>
      <w:numFmt w:val="upperLetter"/>
      <w:start w:val="1"/>
    </w:lvl>
  </w:abstractNum>
  <w:abstractNum w:abstractNumId="35">
    <w:nsid w:val="4AD084E9"/>
    <w:multiLevelType w:val="hybridMultilevel"/>
    <w:lvl w:ilvl="0">
      <w:lvlJc w:val="left"/>
      <w:lvlText w:val="%1."/>
      <w:numFmt w:val="upperLetter"/>
      <w:start w:val="2"/>
    </w:lvl>
  </w:abstractNum>
  <w:abstractNum w:abstractNumId="36">
    <w:nsid w:val="1F48EAA1"/>
    <w:multiLevelType w:val="hybridMultilevel"/>
    <w:lvl w:ilvl="0">
      <w:lvlJc w:val="left"/>
      <w:lvlText w:val="%1."/>
      <w:numFmt w:val="upperLetter"/>
      <w:start w:val="2"/>
    </w:lvl>
  </w:abstractNum>
  <w:abstractNum w:abstractNumId="37">
    <w:nsid w:val="1381823A"/>
    <w:multiLevelType w:val="hybridMultilevel"/>
    <w:lvl w:ilvl="0">
      <w:lvlJc w:val="left"/>
      <w:lvlText w:val="%1."/>
      <w:numFmt w:val="upperLetter"/>
      <w:start w:val="3"/>
    </w:lvl>
  </w:abstractNum>
  <w:abstractNum w:abstractNumId="38">
    <w:nsid w:val="5DB70AE5"/>
    <w:multiLevelType w:val="hybridMultilevel"/>
    <w:lvl w:ilvl="0">
      <w:lvlJc w:val="left"/>
      <w:lvlText w:val="%1."/>
      <w:numFmt w:val="upperLetter"/>
      <w:start w:val="3"/>
    </w:lvl>
  </w:abstractNum>
  <w:abstractNum w:abstractNumId="39">
    <w:nsid w:val="100F8FCA"/>
    <w:multiLevelType w:val="hybridMultilevel"/>
    <w:lvl w:ilvl="0">
      <w:lvlJc w:val="left"/>
      <w:lvlText w:val="%1."/>
      <w:numFmt w:val="upperLetter"/>
      <w:start w:val="4"/>
    </w:lvl>
  </w:abstractNum>
  <w:abstractNum w:abstractNumId="40">
    <w:nsid w:val="6590700B"/>
    <w:multiLevelType w:val="hybridMultilevel"/>
    <w:lvl w:ilvl="0">
      <w:lvlJc w:val="left"/>
      <w:lvlText w:val="1"/>
      <w:numFmt w:val="bullet"/>
      <w:start w:val="1"/>
    </w:lvl>
  </w:abstractNum>
  <w:abstractNum w:abstractNumId="41">
    <w:nsid w:val="15014ACB"/>
    <w:multiLevelType w:val="hybridMultilevel"/>
    <w:lvl w:ilvl="0">
      <w:lvlJc w:val="left"/>
      <w:lvlText w:val="%1."/>
      <w:numFmt w:val="upperLetter"/>
      <w:start w:val="1"/>
    </w:lvl>
  </w:abstractNum>
  <w:abstractNum w:abstractNumId="42">
    <w:nsid w:val="5F5E7FD0"/>
    <w:multiLevelType w:val="hybridMultilevel"/>
    <w:lvl w:ilvl="0">
      <w:lvlJc w:val="left"/>
      <w:lvlText w:val="1"/>
      <w:numFmt w:val="bullet"/>
      <w:start w:val="1"/>
    </w:lvl>
  </w:abstractNum>
  <w:abstractNum w:abstractNumId="43">
    <w:nsid w:val="98A3148"/>
    <w:multiLevelType w:val="hybridMultilevel"/>
    <w:lvl w:ilvl="0">
      <w:lvlJc w:val="left"/>
      <w:lvlText w:val="2"/>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1."/>
      <w:numFmt w:val="upperLetter"/>
      <w:start w:val="3"/>
    </w:lvl>
  </w:abstractNum>
  <w:abstractNum w:abstractNumId="47">
    <w:nsid w:val="168E121F"/>
    <w:multiLevelType w:val="hybridMultilevel"/>
    <w:lvl w:ilvl="0">
      <w:lvlJc w:val="left"/>
      <w:lvlText w:val="●"/>
      <w:numFmt w:val="bullet"/>
      <w:start w:val="1"/>
    </w:lvl>
    <w:lvl w:ilvl="1">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lvl w:ilvl="1">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1."/>
      <w:numFmt w:val="upperLetter"/>
      <w:start w:val="1"/>
    </w:lvl>
  </w:abstractNum>
  <w:abstractNum w:abstractNumId="53">
    <w:nsid w:val="51D9C564"/>
    <w:multiLevelType w:val="hybridMultilevel"/>
    <w:lvl w:ilvl="0">
      <w:lvlJc w:val="left"/>
      <w:lvlText w:val="%1."/>
      <w:numFmt w:val="upperLetter"/>
      <w:start w:val="2"/>
    </w:lvl>
  </w:abstractNum>
  <w:abstractNum w:abstractNumId="54">
    <w:nsid w:val="613EFDC5"/>
    <w:multiLevelType w:val="hybridMultilevel"/>
    <w:lvl w:ilvl="0">
      <w:lvlJc w:val="left"/>
      <w:lvlText w:val="(%1)"/>
      <w:numFmt w:val="decimal"/>
      <w:start w:val="2"/>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1."/>
      <w:numFmt w:val="upperLetter"/>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lvl w:ilvl="1">
      <w:lvlJc w:val="left"/>
      <w:lvlText w:val="◦"/>
      <w:numFmt w:val="bullet"/>
      <w:start w:val="1"/>
    </w:lvl>
  </w:abstractNum>
  <w:abstractNum w:abstractNumId="61">
    <w:nsid w:val="3B0FD379"/>
    <w:multiLevelType w:val="hybridMultilevel"/>
    <w:lvl w:ilvl="0">
      <w:lvlJc w:val="left"/>
      <w:lvlText w:val="%1."/>
      <w:numFmt w:val="upperLetter"/>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1."/>
      <w:numFmt w:val="upperLetter"/>
      <w:start w:val="1"/>
    </w:lvl>
  </w:abstractNum>
  <w:abstractNum w:abstractNumId="64">
    <w:nsid w:val="60B6DF70"/>
    <w:multiLevelType w:val="hybridMultilevel"/>
    <w:lvl w:ilvl="0">
      <w:lvlJc w:val="left"/>
      <w:lvlText w:val="%1."/>
      <w:numFmt w:val="upperLetter"/>
      <w:start w:val="2"/>
    </w:lvl>
  </w:abstractNum>
  <w:abstractNum w:abstractNumId="65">
    <w:nsid w:val="6A5EE64"/>
    <w:multiLevelType w:val="hybridMultilevel"/>
    <w:lvl w:ilvl="0">
      <w:lvlJc w:val="left"/>
      <w:lvlText w:val="%1."/>
      <w:numFmt w:val="upperLetter"/>
      <w:start w:val="2"/>
    </w:lvl>
  </w:abstractNum>
  <w:abstractNum w:abstractNumId="66">
    <w:nsid w:val="14330624"/>
    <w:multiLevelType w:val="hybridMultilevel"/>
    <w:lvl w:ilvl="0">
      <w:lvlJc w:val="left"/>
      <w:lvlText w:val="%1."/>
      <w:numFmt w:val="upperLetter"/>
      <w:start w:val="2"/>
    </w:lvl>
  </w:abstractNum>
  <w:abstractNum w:abstractNumId="67">
    <w:nsid w:val="7FFFCA11"/>
    <w:multiLevelType w:val="hybridMultilevel"/>
    <w:lvl w:ilvl="0">
      <w:lvlJc w:val="left"/>
      <w:lvlText w:val="(%1)"/>
      <w:numFmt w:val="lowerRoman"/>
      <w:start w:val="1"/>
    </w:lvl>
  </w:abstractNum>
  <w:abstractNum w:abstractNumId="68">
    <w:nsid w:val="1A27709E"/>
    <w:multiLevelType w:val="hybridMultilevel"/>
    <w:lvl w:ilvl="0">
      <w:lvlJc w:val="left"/>
      <w:lvlText w:val="%1."/>
      <w:numFmt w:val="upperLetter"/>
      <w:start w:val="3"/>
    </w:lvl>
  </w:abstractNum>
  <w:abstractNum w:abstractNumId="69">
    <w:nsid w:val="71EA1109"/>
    <w:multiLevelType w:val="hybridMultilevel"/>
    <w:lvl w:ilvl="0">
      <w:lvlJc w:val="left"/>
      <w:lvlText w:val="%1."/>
      <w:numFmt w:val="upperLetter"/>
      <w:start w:val="4"/>
    </w:lvl>
  </w:abstractNum>
  <w:abstractNum w:abstractNumId="70">
    <w:nsid w:val="100F59DC"/>
    <w:multiLevelType w:val="hybridMultilevel"/>
    <w:lvl w:ilvl="0">
      <w:lvlJc w:val="left"/>
      <w:lvlText w:val="%1."/>
      <w:numFmt w:val="upperLetter"/>
      <w:start w:val="5"/>
    </w:lvl>
  </w:abstractNum>
  <w:abstractNum w:abstractNumId="71">
    <w:nsid w:val="7FB7E0AA"/>
    <w:multiLevelType w:val="hybridMultilevel"/>
    <w:lvl w:ilvl="0">
      <w:lvlJc w:val="left"/>
      <w:lvlText w:val="%1."/>
      <w:numFmt w:val="upperLetter"/>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1."/>
      <w:numFmt w:val="upperLetter"/>
      <w:start w:val="2"/>
    </w:lvl>
  </w:abstractNum>
  <w:abstractNum w:abstractNumId="74">
    <w:nsid w:val="94211F2"/>
    <w:multiLevelType w:val="hybridMultilevel"/>
    <w:lvl w:ilvl="0">
      <w:lvlJc w:val="left"/>
      <w:lvlText w:val="%1."/>
      <w:numFmt w:val="upperLetter"/>
      <w:start w:val="1"/>
    </w:lvl>
  </w:abstractNum>
  <w:abstractNum w:abstractNumId="75">
    <w:nsid w:val="885E1B"/>
    <w:multiLevelType w:val="hybridMultilevel"/>
    <w:lvl w:ilvl="0">
      <w:lvlJc w:val="left"/>
      <w:lvlText w:val="%1)"/>
      <w:numFmt w:val="lowerRoman"/>
      <w:start w:val="1"/>
    </w:lvl>
  </w:abstractNum>
  <w:abstractNum w:abstractNumId="76">
    <w:nsid w:val="76272110"/>
    <w:multiLevelType w:val="hybridMultilevel"/>
    <w:lvl w:ilvl="0">
      <w:lvlJc w:val="left"/>
      <w:lvlText w:val="%1."/>
      <w:numFmt w:val="upperLetter"/>
      <w:start w:val="2"/>
    </w:lvl>
  </w:abstractNum>
  <w:abstractNum w:abstractNumId="77">
    <w:nsid w:val="4C04A8AF"/>
    <w:multiLevelType w:val="hybridMultilevel"/>
    <w:lvl w:ilvl="0">
      <w:lvlJc w:val="left"/>
      <w:lvlText w:val="%1."/>
      <w:numFmt w:val="upperLetter"/>
      <w:start w:val="3"/>
    </w:lvl>
  </w:abstractNum>
  <w:abstractNum w:abstractNumId="78">
    <w:nsid w:val="1716703B"/>
    <w:multiLevelType w:val="hybridMultilevel"/>
    <w:lvl w:ilvl="0">
      <w:lvlJc w:val="left"/>
      <w:lvlText w:val="%1."/>
      <w:numFmt w:val="upperLetter"/>
      <w:start w:val="4"/>
    </w:lvl>
  </w:abstractNum>
  <w:abstractNum w:abstractNumId="79">
    <w:nsid w:val="14E17E33"/>
    <w:multiLevelType w:val="hybridMultilevel"/>
    <w:lvl w:ilvl="0">
      <w:lvlJc w:val="left"/>
      <w:lvlText w:val="%1."/>
      <w:numFmt w:val="upperLetter"/>
      <w:start w:val="1"/>
    </w:lvl>
  </w:abstractNum>
  <w:abstractNum w:abstractNumId="80">
    <w:nsid w:val="3222E7CD"/>
    <w:multiLevelType w:val="hybridMultilevel"/>
    <w:lvl w:ilvl="0">
      <w:lvlJc w:val="left"/>
      <w:lvlText w:val="%1."/>
      <w:numFmt w:val="upperLetter"/>
      <w:start w:val="2"/>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2DF6D648"/>
    <w:multiLevelType w:val="hybridMultilevel"/>
    <w:lvl w:ilvl="0">
      <w:lvlJc w:val="left"/>
      <w:lvlText w:val="%1."/>
      <w:numFmt w:val="decimal"/>
      <w:start w:val="6"/>
    </w:lvl>
  </w:abstractNum>
  <w:abstractNum w:abstractNumId="84">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5">
    <w:nsid w:val="4A2AC315"/>
    <w:multiLevelType w:val="hybridMultilevel"/>
    <w:lvl w:ilvl="0">
      <w:lvlJc w:val="left"/>
      <w:lvlText w:val="%1."/>
      <w:numFmt w:val="decimal"/>
      <w:start w:val="6"/>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jpe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9" Type="http://schemas.openxmlformats.org/officeDocument/2006/relationships/hyperlink" Target="https://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2023-05-15T07:10:55Z</dcterms:created>
  <dcterms:modified xsi:type="dcterms:W3CDTF">2023-05-15T07:10:55Z</dcterms:modified>
</cp:coreProperties>
</file>