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12,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12, 2024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154305</wp:posOffset>
            </wp:positionV>
            <wp:extent cx="3282950" cy="857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2829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Bitfarms Sets Date of Special Meeting of Shareholders -</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 Shareholder Action Required at this Time</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12, 2024 – </w:t>
      </w:r>
      <w:r>
        <w:rPr>
          <w:rFonts w:ascii="Times New Roman" w:cs="Times New Roman" w:eastAsia="Times New Roman" w:hAnsi="Times New Roman"/>
          <w:sz w:val="18"/>
          <w:szCs w:val="18"/>
          <w:color w:val="auto"/>
        </w:rPr>
        <w:t>Bitfarms Ltd. (Nasdaq/TSX: BITF) (“Bitfarms” or the “Company”), a global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Bitcoin data center company, today announced that its Board of Directors (the “Board”) has called a hybrid special meeting of shareholders (the “Meeting”) to be held on October 29, 2024 (the “Meeting Date”). The Meeting has been called in response to a requisition for a shareholders’ meeting (the “Requisition”) submitted by Riot Platforms, Inc. (“Riot”) on June 24, 2024. Through the Requisition, Riot is attempting to (i) disrupt the strategic alternatives review process which the Company commenced to thoroughly evaluate all opportunities to maximize shareholder value and (ii) opportunistically acquire the Company. Bitfarms shareholders of record as of September 26, 2024 (the “Record Date”) are entitled to vote at the Meeting.</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receipt of the Requisition, the special committee of independent directors of the Board (the “Special Committee”), which is tasked with conducting the strategic alternatives review process and reviewing, considering and responding to the Requisition, engaged in careful and extensive deliberations regarding the Requisition and related matters. After reviewing the Requisition with the assistance of financial and legal advisors, the Special Committee (and, separately, the two members of the Special Committee who are not targeted by Riot for removal) provided its unanimous recommendation to the Board with respect to the Requisition, the Meeting Date and the Record Date. The recommendation was based on a careful weighing of the following considerations and the benefits and risks associated therewith, among other things, and with the best interests of the Company and all its shareholders and other stakeholders in mind:</w:t>
      </w:r>
    </w:p>
    <w:p>
      <w:pPr>
        <w:spacing w:after="0" w:line="18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recently held its 2024 annual general and special meeting of shareholders on May 31, 2024, at which time Riot could have raised the very issues it is now seeking to raise by the Requisition;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seeks a reconstitution of a majority of the Board to gain control of the Company and the importance of providing all shareholders with a reasonable period of time to evaluate Riot’s proposal;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yet to propose a new business or corporate strategy for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time required for the Special Committee to thoroughly evaluate and conclude the strategic alternatives review process that is currently underway and to ensure that shareholders have the benefit of all information available to them to make an informed vote at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Riot’s request that a meeting be held by September 20, 2024 as the Board’s purported track record of poor governance made the holding of the Meeting a matter of urgency;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Riot’s request that the record date not be set until following the scheduled hearing before the Ontario Securities Commission on July 22 and 23, 2024, at which Riot is seeking to nullify the Company’s shareholder rights plan (the “Rights Plan”), and in any event that the record date be set so as to enable Riot to increase its percentage holding of common shares of the Company;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16 days following September 10, 2024, being the date after which Riot can increase its holdings to 19.9% of the common shares without triggering the Company’s Rights Plan;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opportunity for the Company to address the results of the Ontario Securities Commission hearing noted above with shareholders.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that at the Meeting shareholders will be asked to consider matters other than those set out in the Requisition including the ratification of the Rights Plan. Shareholders entitled to vote at the Meeting will receive detailed information about the requisitioned matters as well as other matters to be voted on at the Meeting in the form of a management information circular in advance of the Meeting. Shareholders are not required to take any action at this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remains committed to constructive engagement with all shareholders and remains hopeful that Riot will seek to constructively engage with the Company so that Bitfarms need not expend its limited cash resources to protect the interests of its stakeholders against the actions of Riot.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 Innisfree M&amp;A Incorporated and Laurel Hill Advisory Group are acting as strategic advisors and proxy solicitation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nor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possible results of the strategic alternatives review process, the Meeting Date and the Record Date, matters that may be voted on at the Meeting, the limited cash resources of the Company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conclude the strategic alternatives review process on a timely basis or at all;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three-month period ended March 31, 2024 filed on May 15, 2024.</w:t>
      </w:r>
      <w:r>
        <w:rPr>
          <w:rFonts w:ascii="Times New Roman" w:cs="Times New Roman" w:eastAsia="Times New Roman" w:hAnsi="Times New Roman"/>
          <w:sz w:val="18"/>
          <w:szCs w:val="18"/>
          <w:i w:val="1"/>
          <w:iCs w:val="1"/>
          <w:color w:val="auto"/>
        </w:rPr>
        <w:t xml:space="preserve">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2024-07-12T15:03:51Z</dcterms:created>
  <dcterms:modified xsi:type="dcterms:W3CDTF">2024-07-12T15:03:51Z</dcterms:modified>
</cp:coreProperties>
</file>