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0000FF"/>
        </w:rPr>
        <w:t>Riot Platforms, Inc.</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0000FF"/>
        </w:rPr>
        <w:t>3855 Ambrosia Street, Suite 301,</w:t>
      </w:r>
    </w:p>
    <w:p>
      <w:pPr>
        <w:ind w:left="3720"/>
        <w:spacing w:after="0" w:line="230" w:lineRule="auto"/>
        <w:rPr>
          <w:sz w:val="20"/>
          <w:szCs w:val="20"/>
          <w:color w:val="auto"/>
        </w:rPr>
      </w:pPr>
      <w:r>
        <w:rPr>
          <w:rFonts w:ascii="Times New Roman" w:cs="Times New Roman" w:eastAsia="Times New Roman" w:hAnsi="Times New Roman"/>
          <w:sz w:val="22"/>
          <w:szCs w:val="22"/>
          <w:b w:val="1"/>
          <w:bCs w:val="1"/>
          <w:color w:val="0000FF"/>
        </w:rPr>
        <w:t>Castle Rock, CO, 80109</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303-794-2000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07/01/2025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55,040,197.00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68,308,376.00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68,308,376.00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26" w:right="379" w:bottom="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110 YONGE STREET, SUITE 1601, TORONTO, ONTARIO, CANADA , M5C 1T4.</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17 to Schedule 13D ("Amendment No. 17") relates to the Schedule 13D filed on May 28, 2024</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(as amended by Amendment No. 1, dated May 29, 2024, Amendment No. 2, dated June 4, 2024, Amendment No.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dated June 5, 2024, Amendment No. 4 dated June 12, 2024, Amendment No. 5 dated June 13, 2024, Amendment No.</w:t>
      </w:r>
    </w:p>
    <w:p>
      <w:pPr>
        <w:spacing w:after="0" w:line="1" w:lineRule="exact"/>
        <w:rPr>
          <w:sz w:val="20"/>
          <w:szCs w:val="20"/>
          <w:color w:val="auto"/>
        </w:rPr>
      </w:pPr>
    </w:p>
    <w:p>
      <w:pPr>
        <w:jc w:val="both"/>
        <w:ind w:left="960"/>
        <w:spacing w:after="0" w:line="244" w:lineRule="auto"/>
        <w:rPr>
          <w:sz w:val="20"/>
          <w:szCs w:val="20"/>
          <w:color w:val="auto"/>
        </w:rPr>
      </w:pPr>
      <w:r>
        <w:rPr>
          <w:rFonts w:ascii="Times New Roman" w:cs="Times New Roman" w:eastAsia="Times New Roman" w:hAnsi="Times New Roman"/>
          <w:sz w:val="21"/>
          <w:szCs w:val="21"/>
          <w:color w:val="auto"/>
        </w:rPr>
        <w:t>6 dated June 24, 2024, Amendment No. 7 dated July 31, 2024, Amendment No. 8 dated August 5, 2024, Amendment No. 9 dated August 9, 2024, Amendment No. 10 dated August 14, 2024, Amendment No. 11 dated August 21, 2024, Amendment No. 12 dated September 5, 2024, Amendment No. 13 dated September 23, 2024, Amendment No. 14 dated April 9, 2025, Amendment No. 15 dated June 6, 2025 and Amendment No. 16 dated June 20, 2025, the "Schedule 13D") by Riot Platforms, Inc., a Nevada corporation (the "Reporting Person"), relating to the Common Shares, no par value per share (the "Common Shares"), of Bitfarms Ltd., a corporation incorporated under the Canada Business Corporations Act and continued under the Business Corporations Act (Ontario) (the "Company"), whose</w:t>
      </w:r>
    </w:p>
    <w:p>
      <w:pPr>
        <w:sectPr>
          <w:pgSz w:w="11900" w:h="16838" w:orient="portrait"/>
          <w:cols w:equalWidth="0" w:num="1">
            <w:col w:w="11160"/>
          </w:cols>
          <w:pgMar w:left="360" w:top="126" w:right="379" w:bottom="1" w:gutter="0" w:footer="0" w:header="0"/>
          <w:type w:val="continuous"/>
        </w:sectPr>
      </w:pPr>
    </w:p>
    <w:bookmarkStart w:id="2" w:name="page3"/>
    <w:bookmarkEnd w:id="2"/>
    <w:p>
      <w:pPr>
        <w:ind w:left="960"/>
        <w:spacing w:after="0" w:line="256" w:lineRule="auto"/>
        <w:rPr>
          <w:sz w:val="20"/>
          <w:szCs w:val="20"/>
          <w:color w:val="auto"/>
        </w:rPr>
      </w:pPr>
      <w:r>
        <w:rPr>
          <w:rFonts w:ascii="Times New Roman" w:cs="Times New Roman" w:eastAsia="Times New Roman" w:hAnsi="Times New Roman"/>
          <w:sz w:val="22"/>
          <w:szCs w:val="22"/>
          <w:color w:val="auto"/>
        </w:rPr>
        <w:t>principal executive offices are located at 110 Yonge Street, Suite 1601, Toronto, Ontario, M5C 1T4. Except as specifically amended by this Amendment No. 17, the Schedule 13D is unchanged.</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previously included as Exhibit 3 to Amendment No. 14 to the Schedule 13D is hereby replaced with the information set forth in Schedule A hereto, which information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1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previously included as Exhibit 3 to Amendment No. 14 to the Schedule 13D is hereby replaced with the information set forth in Schedule A hereto, which information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1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previously included as Exhibit 3 to Amendment No. 14 to the Schedule 13D is hereby replaced with the information set forth in Schedule A hereto, which information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64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and the individuals listed on Schedule A hereto have not,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right="50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Reporting Person and the individuals listed on Schedule A hereto have not, during the last five years, been a party to a civil proceeding of a judicial or administrative body of competent jurisdiction, as a result of which</w:t>
      </w:r>
    </w:p>
    <w:p>
      <w:pPr>
        <w:ind w:left="920" w:right="22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any such person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previously included as Exhibit 3 to Amendment No. 14 to the Schedule 13D is hereby replaced with the information set forth in Schedule A hereto, which information is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Item 5(a) and (b) of the Schedule 13D is hereby amended and restated to read in full as follows: The aggregate number and percentage of the Common Shares that are beneficially owned by the Reporting Person and as to which the Reporting Person has sole voting power, shared voting power, sole dispositive power and shared dispositive power are set forth on the cover page of this Statement, and such information is incorporated herein by reference. The percentage used herein is calculated based on an aggregate of 555,961,590 Common Shares outstanding, based on the</w:t>
      </w:r>
    </w:p>
    <w:p>
      <w:pPr>
        <w:spacing w:after="0" w:line="1" w:lineRule="exact"/>
        <w:rPr>
          <w:sz w:val="20"/>
          <w:szCs w:val="20"/>
          <w:color w:val="auto"/>
        </w:rPr>
      </w:pPr>
    </w:p>
    <w:p>
      <w:pPr>
        <w:ind w:left="920" w:right="100" w:hanging="912"/>
        <w:spacing w:after="0" w:line="244"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contained in the Company's management information circular, filed on SEDAR+ on June 9, 2025. As previously described in the Schedule 13D, the Reporting Person has granted to the Company and any of its designees an irrevocable proxy with respect to any Common Shares the voting power of which represents in excess of 9.9% of the total voting power of all securities of the Company entitled to vote for the election of directors of the Company from time to time outstanding. As a result of such proxy, the Reporting Person currently exercises voting power over approximately 55,040,197, or approximately 9.9%, of the outstanding Common Shares.</w:t>
      </w:r>
    </w:p>
    <w:p>
      <w:pPr>
        <w:spacing w:after="0" w:line="14"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 Item 5(a) of this Amendment No. 17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Information concerning the Common Shares sold by the Reporting Person since the Reporting Person's last filing on</w:t>
      </w:r>
    </w:p>
    <w:p>
      <w:pPr>
        <w:spacing w:after="0" w:line="25" w:lineRule="exact"/>
        <w:rPr>
          <w:rFonts w:ascii="Times New Roman" w:cs="Times New Roman" w:eastAsia="Times New Roman" w:hAnsi="Times New Roman"/>
          <w:sz w:val="22"/>
          <w:szCs w:val="22"/>
          <w:color w:val="auto"/>
        </w:rPr>
      </w:pPr>
    </w:p>
    <w:p>
      <w:pPr>
        <w:jc w:val="both"/>
        <w:ind w:left="920" w:right="34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Schedule 13D is set forth in Schedule B hereto and is incorporated herein by reference. Except as described in this Amendment No. 17, none of the Reporting Person nor any director or officer of the Reporting Person has effected any transactions in the Common Shares since the Reporting Person's last filing on Schedule 13D.</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Exhibit 99.1: Schedule A to Item 2 of this Amendment No. 17 Exhibit 99.2: Schedule B to Item 5 of this Amendment No. 17</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Colin Yee</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Colin Yee/Chief Financial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07/01/2025</w:t>
      </w:r>
    </w:p>
    <w:p>
      <w:pPr>
        <w:sectPr>
          <w:pgSz w:w="11900" w:h="16838" w:orient="portrait"/>
          <w:cols w:equalWidth="0" w:num="1">
            <w:col w:w="11160"/>
          </w:cols>
          <w:pgMar w:left="360" w:top="111"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Directors and Executive Officers of the Reporting Person</w:t>
      </w:r>
    </w:p>
    <w:p>
      <w:pPr>
        <w:spacing w:after="0" w:line="2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directors and executive officers of the Reporting Person. Unless otherwise specified below, the business address and address of the organization of principal occupation or employment of each director and executive officer of the Reporting Person is 3855 Ambrosia Street, Suite 301 Castle Rock, CO, USA 80109.</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5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5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10"/>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Benjamin Yi</w:t>
            </w:r>
          </w:p>
        </w:tc>
        <w:tc>
          <w:tcPr>
            <w:tcW w:w="75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 and Executive Chairman</w:t>
            </w:r>
          </w:p>
        </w:tc>
        <w:tc>
          <w:tcPr>
            <w:tcW w:w="1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6"/>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Jason Les</w:t>
            </w:r>
          </w:p>
        </w:tc>
        <w:tc>
          <w:tcPr>
            <w:tcW w:w="75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3"/>
        </w:trPr>
        <w:tc>
          <w:tcPr>
            <w:tcW w:w="2180" w:type="dxa"/>
            <w:vAlign w:val="bottom"/>
            <w:tcBorders>
              <w:left w:val="single" w:sz="8" w:color="auto"/>
              <w:bottom w:val="single" w:sz="8" w:color="auto"/>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rPr>
              <w:t>Jaime Leverton</w:t>
            </w:r>
          </w:p>
        </w:tc>
        <w:tc>
          <w:tcPr>
            <w:tcW w:w="7540" w:type="dxa"/>
            <w:vAlign w:val="bottom"/>
            <w:tcBorders>
              <w:bottom w:val="single" w:sz="8" w:color="auto"/>
              <w:right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Borders>
              <w:bottom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Canada</w:t>
            </w:r>
          </w:p>
        </w:tc>
      </w:tr>
      <w:tr>
        <w:trPr>
          <w:trHeight w:val="193"/>
        </w:trPr>
        <w:tc>
          <w:tcPr>
            <w:tcW w:w="2180" w:type="dxa"/>
            <w:vAlign w:val="bottom"/>
            <w:tcBorders>
              <w:left w:val="single" w:sz="8" w:color="auto"/>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Michael Turner</w:t>
            </w:r>
          </w:p>
        </w:tc>
        <w:tc>
          <w:tcPr>
            <w:tcW w:w="7540" w:type="dxa"/>
            <w:vAlign w:val="bottom"/>
            <w:tcBorders>
              <w:bottom w:val="single" w:sz="8" w:color="auto"/>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Canada</w:t>
            </w:r>
          </w:p>
        </w:tc>
      </w:tr>
      <w:tr>
        <w:trPr>
          <w:trHeight w:val="209"/>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Doug Mouton</w:t>
            </w:r>
          </w:p>
        </w:tc>
        <w:tc>
          <w:tcPr>
            <w:tcW w:w="75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Lance D’Ambrosio</w:t>
            </w:r>
          </w:p>
        </w:tc>
        <w:tc>
          <w:tcPr>
            <w:tcW w:w="75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Colin Yee</w:t>
            </w:r>
          </w:p>
        </w:tc>
        <w:tc>
          <w:tcPr>
            <w:tcW w:w="75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09"/>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William Jackman</w:t>
            </w:r>
          </w:p>
        </w:tc>
        <w:tc>
          <w:tcPr>
            <w:tcW w:w="75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1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10"/>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Jason Chung</w:t>
            </w:r>
          </w:p>
        </w:tc>
        <w:tc>
          <w:tcPr>
            <w:tcW w:w="75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Head of Corporate Development &amp; Strategy</w:t>
            </w:r>
          </w:p>
        </w:tc>
        <w:tc>
          <w:tcPr>
            <w:tcW w:w="1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09"/>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Jonathan Gibbs</w:t>
            </w:r>
          </w:p>
        </w:tc>
        <w:tc>
          <w:tcPr>
            <w:tcW w:w="75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Data Center Officer</w:t>
            </w:r>
          </w:p>
        </w:tc>
        <w:tc>
          <w:tcPr>
            <w:tcW w:w="1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6"/>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Ryan Werner</w:t>
            </w:r>
          </w:p>
        </w:tc>
        <w:tc>
          <w:tcPr>
            <w:tcW w:w="75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tc>
        <w:tc>
          <w:tcPr>
            <w:tcW w:w="1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3"/>
        </w:trPr>
        <w:tc>
          <w:tcPr>
            <w:tcW w:w="2180" w:type="dxa"/>
            <w:vAlign w:val="bottom"/>
            <w:tcBorders>
              <w:left w:val="single" w:sz="8" w:color="auto"/>
              <w:bottom w:val="single" w:sz="8" w:color="auto"/>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rPr>
              <w:t>Stephen Howell</w:t>
            </w:r>
          </w:p>
        </w:tc>
        <w:tc>
          <w:tcPr>
            <w:tcW w:w="7540" w:type="dxa"/>
            <w:vAlign w:val="bottom"/>
            <w:tcBorders>
              <w:bottom w:val="single" w:sz="8" w:color="auto"/>
              <w:right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rPr>
              <w:t>Chief Operating Officer</w:t>
            </w:r>
          </w:p>
        </w:tc>
        <w:tc>
          <w:tcPr>
            <w:tcW w:w="1540" w:type="dxa"/>
            <w:vAlign w:val="bottom"/>
            <w:tcBorders>
              <w:bottom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United States</w:t>
            </w:r>
          </w:p>
        </w:tc>
      </w:tr>
      <w:tr>
        <w:trPr>
          <w:trHeight w:val="672"/>
        </w:trPr>
        <w:tc>
          <w:tcPr>
            <w:tcW w:w="218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table below specifies the date, amount, weighted average price and price range of the Common Shares sold by (or on behalf of) the Reporting Person since the Reporting Person’s last filing on Schedule 13D on June 20, 2025, all of which were sold on the open market. The Common Shares were sold in multiple transactions at prices within the ranges indicated in the Price Range column. The Reporting Person undertakes to provide to the staff of the Securities and Exchange Commission, upon request, full information regarding the number of Common Shares sold at each separate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2680" w:type="dxa"/>
            <w:vAlign w:val="bottom"/>
          </w:tcPr>
          <w:p>
            <w:pPr>
              <w:spacing w:after="0"/>
              <w:rPr>
                <w:sz w:val="18"/>
                <w:szCs w:val="18"/>
                <w:color w:val="auto"/>
              </w:rPr>
            </w:pPr>
          </w:p>
        </w:tc>
      </w:tr>
      <w:tr>
        <w:trPr>
          <w:trHeight w:val="238"/>
        </w:trPr>
        <w:tc>
          <w:tcPr>
            <w:tcW w:w="29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26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Price Range (US$)</w:t>
            </w:r>
          </w:p>
        </w:tc>
      </w:tr>
      <w:tr>
        <w:trPr>
          <w:trHeight w:val="209"/>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6/24/2025</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342,026</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0.800</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0.800 – 0.801</w:t>
            </w: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6/25/2025</w:t>
            </w:r>
          </w:p>
        </w:tc>
        <w:tc>
          <w:tcPr>
            <w:tcW w:w="1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362,782</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0.812</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0.800 – 0.830</w:t>
            </w: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6/26/2025</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0.803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0.803</w:t>
            </w: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6/30/2025</w:t>
            </w:r>
          </w:p>
        </w:tc>
        <w:tc>
          <w:tcPr>
            <w:tcW w:w="1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2,931,888</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0.821</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0.800 – 0.846</w:t>
            </w: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7/1/2025</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2,802,484</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0.838</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0.820 – 0.861</w:t>
            </w:r>
          </w:p>
        </w:tc>
      </w:tr>
      <w:tr>
        <w:trPr>
          <w:trHeight w:val="675"/>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2025-07-01T20:08:51Z</dcterms:created>
  <dcterms:modified xsi:type="dcterms:W3CDTF">2025-07-01T20:08:51Z</dcterms:modified>
</cp:coreProperties>
</file>