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October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ind w:left="444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October 23,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Exhibits listed below.</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Material Change Report dated October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1T4</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23, 2023.</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October 23, 2023 by a newswire company in Canada.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gmorphy@bitfarms.com</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151765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Bitfarms Reaches 240 MW and 6.3 EH/s as Baie-Comeau</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Fully Energizes Initial Phase</w:t>
      </w:r>
    </w:p>
    <w:p>
      <w:pPr>
        <w:spacing w:after="0" w:line="202" w:lineRule="exact"/>
        <w:rPr>
          <w:sz w:val="20"/>
          <w:szCs w:val="20"/>
          <w:color w:val="auto"/>
        </w:rPr>
      </w:pPr>
    </w:p>
    <w:p>
      <w:pPr>
        <w:jc w:val="both"/>
        <w:ind w:hanging="8"/>
        <w:spacing w:after="0" w:line="266" w:lineRule="auto"/>
        <w:rPr>
          <w:sz w:val="20"/>
          <w:szCs w:val="20"/>
          <w:color w:val="auto"/>
        </w:rPr>
      </w:pPr>
      <w:r>
        <w:rPr>
          <w:rFonts w:ascii="Arial" w:cs="Arial" w:eastAsia="Arial" w:hAnsi="Arial"/>
          <w:sz w:val="18"/>
          <w:szCs w:val="18"/>
          <w:b w:val="1"/>
          <w:bCs w:val="1"/>
          <w:color w:val="auto"/>
        </w:rPr>
        <w:t xml:space="preserve">Toronto, Ontario and Brossard, Québec (October 23,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BITF//TSX: BITF</w:t>
      </w:r>
      <w:r>
        <w:rPr>
          <w:rFonts w:ascii="Arial" w:cs="Arial" w:eastAsia="Arial" w:hAnsi="Arial"/>
          <w:sz w:val="18"/>
          <w:szCs w:val="18"/>
          <w:color w:val="auto"/>
        </w:rPr>
        <w:t>), a global vertically integrated Bitcoin</w:t>
      </w:r>
      <w:r>
        <w:rPr>
          <w:rFonts w:ascii="Arial" w:cs="Arial" w:eastAsia="Arial" w:hAnsi="Arial"/>
          <w:sz w:val="18"/>
          <w:szCs w:val="18"/>
          <w:b w:val="1"/>
          <w:bCs w:val="1"/>
          <w:color w:val="auto"/>
        </w:rPr>
        <w:t xml:space="preserve"> </w:t>
      </w:r>
      <w:r>
        <w:rPr>
          <w:rFonts w:ascii="Arial" w:cs="Arial" w:eastAsia="Arial" w:hAnsi="Arial"/>
          <w:sz w:val="18"/>
          <w:szCs w:val="18"/>
          <w:color w:val="auto"/>
        </w:rPr>
        <w:t>mining company, fully energized the first phase of its farm in Baie-Comeau, Québec, increasing its total operating capacity to 240 MW and its hashrate to 6.3 EH/s.</w:t>
      </w:r>
    </w:p>
    <w:p>
      <w:pPr>
        <w:spacing w:after="0" w:line="180" w:lineRule="exact"/>
        <w:rPr>
          <w:sz w:val="20"/>
          <w:szCs w:val="20"/>
          <w:color w:val="auto"/>
        </w:rPr>
      </w:pPr>
    </w:p>
    <w:p>
      <w:pPr>
        <w:jc w:val="both"/>
        <w:ind w:left="20" w:hanging="8"/>
        <w:spacing w:after="0" w:line="286" w:lineRule="auto"/>
        <w:rPr>
          <w:sz w:val="20"/>
          <w:szCs w:val="20"/>
          <w:color w:val="auto"/>
        </w:rPr>
      </w:pPr>
      <w:r>
        <w:rPr>
          <w:rFonts w:ascii="Arial" w:cs="Arial" w:eastAsia="Arial" w:hAnsi="Arial"/>
          <w:sz w:val="17"/>
          <w:szCs w:val="17"/>
          <w:color w:val="auto"/>
        </w:rPr>
        <w:t>“By fully energizing Baie-Comeau, we increased our corporate operating capacity with cost-effective and clean hydro power and achieved our 6.3 EH/s goal,” said Bitfarms CEO Geoff Morphy. “This efficient facility leverages our operating and design expertise. We will continue to manage our balance sheet prudently to be positioned to capture growth opportunities both before and after the next Bitcoin halving, expected in mid-April 2024.”</w:t>
      </w:r>
    </w:p>
    <w:p>
      <w:pPr>
        <w:spacing w:after="0" w:line="165" w:lineRule="exact"/>
        <w:rPr>
          <w:sz w:val="20"/>
          <w:szCs w:val="20"/>
          <w:color w:val="auto"/>
        </w:rPr>
      </w:pPr>
    </w:p>
    <w:p>
      <w:pPr>
        <w:jc w:val="both"/>
        <w:ind w:hanging="8"/>
        <w:spacing w:after="0" w:line="263" w:lineRule="auto"/>
        <w:rPr>
          <w:sz w:val="20"/>
          <w:szCs w:val="20"/>
          <w:color w:val="auto"/>
        </w:rPr>
      </w:pPr>
      <w:r>
        <w:rPr>
          <w:rFonts w:ascii="Arial" w:cs="Arial" w:eastAsia="Arial" w:hAnsi="Arial"/>
          <w:sz w:val="18"/>
          <w:szCs w:val="18"/>
          <w:color w:val="auto"/>
        </w:rPr>
        <w:t>Bitfarms acquired Baie-Comeau in July 2023, with the plan to reach 11 MW by the end of Q3 2023 and add another 11 MW when power is made available, which is expected in 2H 2024. Production initiated with 3 MW and increased to about 5 MW consistently throughout August 2023. In early October 2023, Baie-Comeau added 6 MW, fully energizing the initial 11 MW phase.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1508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23430" cy="150876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59" w:lineRule="auto"/>
        <w:rPr>
          <w:sz w:val="20"/>
          <w:szCs w:val="20"/>
          <w:color w:val="auto"/>
        </w:rPr>
      </w:pPr>
      <w:r>
        <w:rPr>
          <w:rFonts w:ascii="Arial" w:cs="Arial" w:eastAsia="Arial" w:hAnsi="Arial"/>
          <w:sz w:val="18"/>
          <w:szCs w:val="18"/>
          <w:color w:val="auto"/>
        </w:rPr>
        <w:t>Founded in 2017, Bitfarms is a global, publicly traded (NASDAQ/TSX: BITF)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7"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Bitfarms currently has 11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1645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23430" cy="1645920"/>
                    </a:xfrm>
                    <a:prstGeom prst="rect">
                      <a:avLst/>
                    </a:prstGeom>
                    <a:noFill/>
                  </pic:spPr>
                </pic:pic>
              </a:graphicData>
            </a:graphic>
          </wp:anchor>
        </w:drawing>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W/TH = Watts per Terahash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7132320" cy="685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5715</wp:posOffset>
            </wp:positionV>
            <wp:extent cx="67208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5" w:lineRule="exact"/>
        <w:rPr>
          <w:sz w:val="20"/>
          <w:szCs w:val="20"/>
          <w:color w:val="auto"/>
        </w:rPr>
      </w:pPr>
    </w:p>
    <w:p>
      <w:pPr>
        <w:jc w:val="both"/>
        <w:ind w:left="20" w:hanging="8"/>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-422275</wp:posOffset>
            </wp:positionV>
            <wp:extent cx="7123430" cy="8229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23430" cy="82296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left="20" w:hanging="8"/>
        <w:spacing w:after="0" w:line="270" w:lineRule="auto"/>
        <w:rPr>
          <w:sz w:val="20"/>
          <w:szCs w:val="20"/>
          <w:color w:val="auto"/>
        </w:rPr>
      </w:pPr>
      <w:r>
        <w:rPr>
          <w:rFonts w:ascii="Arial" w:cs="Arial" w:eastAsia="Arial" w:hAnsi="Arial"/>
          <w:sz w:val="17"/>
          <w:szCs w:val="17"/>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enhancement of mining facilities, expansion of the Baie-Comeau facility, growth opportunities and prospects, operating and design expertise, management of balance sheet liquidity and other statements regarding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1" w:lineRule="exact"/>
        <w:rPr>
          <w:sz w:val="20"/>
          <w:szCs w:val="20"/>
          <w:color w:val="auto"/>
        </w:rPr>
      </w:pPr>
    </w:p>
    <w:p>
      <w:pPr>
        <w:jc w:val="both"/>
        <w:ind w:left="20" w:hanging="8"/>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left="20" w:hanging="8"/>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highlight w:val="white"/>
        </w:rPr>
        <w:t>-ended December 31, 2022, filed on March 21, 2023. The</w:t>
      </w:r>
      <w:r>
        <w:rPr>
          <w:rFonts w:ascii="Arial" w:cs="Arial" w:eastAsia="Arial" w:hAnsi="Arial"/>
          <w:sz w:val="16"/>
          <w:szCs w:val="16"/>
          <w:i w:val="1"/>
          <w:iCs w:val="1"/>
          <w:color w:val="auto"/>
          <w:highlight w:val="white"/>
        </w:rPr>
        <w:t xml:space="preserv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lmleclerc@tactconseil.ca</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2023-10-23T15:12:18Z</dcterms:created>
  <dcterms:modified xsi:type="dcterms:W3CDTF">2023-10-23T15:12:18Z</dcterms:modified>
</cp:coreProperties>
</file>