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August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7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This report on Form 6-K, including the interim condensed consolidated financial statements for the three and six months ended June 30, 2023 and management’s discussion and analysis for the three and six months ended June 30, 2023, shall be deemed to be incorporated by reference as exhibits to the Registration Statement of Bitfarms Ltd.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 and to be a part thereof from the date on which this report was furnished, to the extent not superseded by documents or reports subsequently filed or furnished.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66"/>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100" w:type="dxa"/>
            <w:vAlign w:val="bottom"/>
          </w:tcPr>
          <w:p>
            <w:pPr>
              <w:spacing w:after="0"/>
              <w:rPr>
                <w:sz w:val="24"/>
                <w:szCs w:val="24"/>
                <w:color w:val="auto"/>
              </w:rPr>
            </w:pPr>
          </w:p>
        </w:tc>
        <w:tc>
          <w:tcPr>
            <w:tcW w:w="1012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rPr>
              <w:t>Description</w:t>
            </w:r>
          </w:p>
        </w:tc>
      </w:tr>
      <w:tr>
        <w:trPr>
          <w:trHeight w:val="230"/>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175"/>
        </w:trPr>
        <w:tc>
          <w:tcPr>
            <w:tcW w:w="1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5"/>
                <w:szCs w:val="15"/>
                <w:color w:val="auto"/>
              </w:rPr>
            </w:pPr>
          </w:p>
        </w:tc>
        <w:tc>
          <w:tcPr>
            <w:tcW w:w="10120" w:type="dxa"/>
            <w:vAlign w:val="bottom"/>
            <w:gridSpan w:val="6"/>
            <w:shd w:val="clear" w:color="auto" w:fill="CCEEFF"/>
          </w:tcPr>
          <w:p>
            <w:pPr>
              <w:ind w:left="20"/>
              <w:spacing w:after="0" w:line="176" w:lineRule="exact"/>
              <w:rPr>
                <w:sz w:val="20"/>
                <w:szCs w:val="20"/>
                <w:color w:val="auto"/>
              </w:rPr>
            </w:pPr>
            <w:r>
              <w:rPr>
                <w:rFonts w:ascii="Arial" w:cs="Arial" w:eastAsia="Arial" w:hAnsi="Arial"/>
                <w:sz w:val="18"/>
                <w:szCs w:val="18"/>
                <w:color w:val="0000EE"/>
              </w:rPr>
              <w:t>Interim Condensed Consolidated Financial Statements for the three and six months ended June 30, 2023.</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0000EE"/>
            </w:tcBorders>
            <w:shd w:val="clear" w:color="auto" w:fill="CCEEFF"/>
          </w:tcPr>
          <w:p>
            <w:pPr>
              <w:spacing w:after="0" w:line="20" w:lineRule="exact"/>
              <w:rPr>
                <w:sz w:val="1"/>
                <w:szCs w:val="1"/>
                <w:color w:val="auto"/>
              </w:rPr>
            </w:pPr>
          </w:p>
        </w:tc>
        <w:tc>
          <w:tcPr>
            <w:tcW w:w="31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Arial" w:cs="Arial" w:eastAsia="Arial" w:hAnsi="Arial"/>
                <w:sz w:val="18"/>
                <w:szCs w:val="18"/>
                <w:color w:val="auto"/>
              </w:rPr>
              <w:t>99.2</w:t>
            </w:r>
          </w:p>
        </w:tc>
        <w:tc>
          <w:tcPr>
            <w:tcW w:w="100" w:type="dxa"/>
            <w:vAlign w:val="bottom"/>
          </w:tcPr>
          <w:p>
            <w:pPr>
              <w:spacing w:after="0"/>
              <w:rPr>
                <w:sz w:val="16"/>
                <w:szCs w:val="16"/>
                <w:color w:val="auto"/>
              </w:rPr>
            </w:pPr>
          </w:p>
        </w:tc>
        <w:tc>
          <w:tcPr>
            <w:tcW w:w="10120" w:type="dxa"/>
            <w:vAlign w:val="bottom"/>
            <w:gridSpan w:val="6"/>
          </w:tcPr>
          <w:p>
            <w:pPr>
              <w:ind w:left="20"/>
              <w:spacing w:after="0" w:line="189" w:lineRule="exact"/>
              <w:rPr>
                <w:sz w:val="20"/>
                <w:szCs w:val="20"/>
                <w:color w:val="auto"/>
              </w:rPr>
            </w:pPr>
            <w:r>
              <w:rPr>
                <w:rFonts w:ascii="Arial" w:cs="Arial" w:eastAsia="Arial" w:hAnsi="Arial"/>
                <w:sz w:val="18"/>
                <w:szCs w:val="18"/>
                <w:color w:val="0000EE"/>
              </w:rPr>
              <w:t>Management’s Discussion &amp; Analysis for the three and six months ended June 30, 2023.</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5"/>
                <w:szCs w:val="15"/>
                <w:color w:val="auto"/>
              </w:rPr>
            </w:pPr>
          </w:p>
        </w:tc>
        <w:tc>
          <w:tcPr>
            <w:tcW w:w="10120" w:type="dxa"/>
            <w:vAlign w:val="bottom"/>
            <w:gridSpan w:val="6"/>
            <w:shd w:val="clear" w:color="auto" w:fill="CCEEFF"/>
          </w:tcPr>
          <w:p>
            <w:pPr>
              <w:ind w:left="20"/>
              <w:spacing w:after="0" w:line="176" w:lineRule="exact"/>
              <w:rPr>
                <w:sz w:val="20"/>
                <w:szCs w:val="20"/>
                <w:color w:val="auto"/>
              </w:rPr>
            </w:pPr>
            <w:r>
              <w:rPr>
                <w:rFonts w:ascii="Arial" w:cs="Arial" w:eastAsia="Arial" w:hAnsi="Arial"/>
                <w:sz w:val="18"/>
                <w:szCs w:val="18"/>
                <w:color w:val="0000EE"/>
              </w:rPr>
              <w:t>CEO Certification of Interim Filings - Interim Certificate dated August 8, 2023.</w:t>
            </w:r>
          </w:p>
        </w:tc>
      </w:tr>
      <w:tr>
        <w:trPr>
          <w:trHeight w:val="34"/>
        </w:trPr>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0000EE"/>
            </w:tcBorders>
            <w:shd w:val="clear" w:color="auto" w:fill="CCEEFF"/>
          </w:tcPr>
          <w:p>
            <w:pPr>
              <w:spacing w:after="0"/>
              <w:rPr>
                <w:sz w:val="2"/>
                <w:szCs w:val="2"/>
                <w:color w:val="auto"/>
              </w:rPr>
            </w:pPr>
          </w:p>
        </w:tc>
        <w:tc>
          <w:tcPr>
            <w:tcW w:w="31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CCEEFF"/>
            </w:tcBorders>
            <w:shd w:val="clear" w:color="auto" w:fill="CCEEFF"/>
          </w:tcPr>
          <w:p>
            <w:pPr>
              <w:spacing w:after="0"/>
              <w:rPr>
                <w:sz w:val="2"/>
                <w:szCs w:val="2"/>
                <w:color w:val="auto"/>
              </w:rPr>
            </w:pPr>
          </w:p>
        </w:tc>
      </w:tr>
      <w:tr>
        <w:trPr>
          <w:trHeight w:val="175"/>
        </w:trPr>
        <w:tc>
          <w:tcPr>
            <w:tcW w:w="1020" w:type="dxa"/>
            <w:vAlign w:val="bottom"/>
          </w:tcPr>
          <w:p>
            <w:pPr>
              <w:ind w:left="20"/>
              <w:spacing w:after="0" w:line="176" w:lineRule="exact"/>
              <w:rPr>
                <w:sz w:val="20"/>
                <w:szCs w:val="20"/>
                <w:color w:val="auto"/>
              </w:rPr>
            </w:pPr>
            <w:r>
              <w:rPr>
                <w:rFonts w:ascii="Arial" w:cs="Arial" w:eastAsia="Arial" w:hAnsi="Arial"/>
                <w:sz w:val="18"/>
                <w:szCs w:val="18"/>
                <w:color w:val="auto"/>
              </w:rPr>
              <w:t>99.4</w:t>
            </w:r>
          </w:p>
        </w:tc>
        <w:tc>
          <w:tcPr>
            <w:tcW w:w="100" w:type="dxa"/>
            <w:vAlign w:val="bottom"/>
          </w:tcPr>
          <w:p>
            <w:pPr>
              <w:spacing w:after="0"/>
              <w:rPr>
                <w:sz w:val="15"/>
                <w:szCs w:val="15"/>
                <w:color w:val="auto"/>
              </w:rPr>
            </w:pPr>
          </w:p>
        </w:tc>
        <w:tc>
          <w:tcPr>
            <w:tcW w:w="10120" w:type="dxa"/>
            <w:vAlign w:val="bottom"/>
            <w:gridSpan w:val="6"/>
          </w:tcPr>
          <w:p>
            <w:pPr>
              <w:ind w:left="20"/>
              <w:spacing w:after="0" w:line="176" w:lineRule="exact"/>
              <w:rPr>
                <w:sz w:val="20"/>
                <w:szCs w:val="20"/>
                <w:color w:val="auto"/>
              </w:rPr>
            </w:pPr>
            <w:r>
              <w:rPr>
                <w:rFonts w:ascii="Arial" w:cs="Arial" w:eastAsia="Arial" w:hAnsi="Arial"/>
                <w:sz w:val="18"/>
                <w:szCs w:val="18"/>
                <w:color w:val="0000EE"/>
              </w:rPr>
              <w:t>CFO Certification of Interim Filings - Interim Certificate dated August 8, 2023.</w:t>
            </w:r>
          </w:p>
        </w:tc>
      </w:tr>
      <w:tr>
        <w:trPr>
          <w:trHeight w:val="21"/>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316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8"/>
                <w:szCs w:val="18"/>
                <w:color w:val="auto"/>
              </w:rPr>
            </w:pPr>
          </w:p>
        </w:tc>
        <w:tc>
          <w:tcPr>
            <w:tcW w:w="10120" w:type="dxa"/>
            <w:vAlign w:val="bottom"/>
            <w:gridSpan w:val="6"/>
            <w:shd w:val="clear" w:color="auto" w:fill="CCEEFF"/>
          </w:tcPr>
          <w:p>
            <w:pPr>
              <w:ind w:left="20"/>
              <w:spacing w:after="0" w:line="189" w:lineRule="exact"/>
              <w:rPr>
                <w:sz w:val="20"/>
                <w:szCs w:val="20"/>
                <w:color w:val="auto"/>
              </w:rPr>
            </w:pPr>
            <w:r>
              <w:rPr>
                <w:rFonts w:ascii="Arial" w:cs="Arial" w:eastAsia="Arial" w:hAnsi="Arial"/>
                <w:sz w:val="18"/>
                <w:szCs w:val="18"/>
                <w:color w:val="0000EE"/>
              </w:rPr>
              <w:t>Press Release dated August 8, 2023</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gridSpan w:val="2"/>
          </w:tcPr>
          <w:p>
            <w:pPr>
              <w:spacing w:after="0"/>
              <w:rPr>
                <w:sz w:val="24"/>
                <w:szCs w:val="24"/>
                <w:color w:val="auto"/>
              </w:rPr>
            </w:pPr>
          </w:p>
        </w:tc>
        <w:tc>
          <w:tcPr>
            <w:tcW w:w="2560" w:type="dxa"/>
            <w:vAlign w:val="bottom"/>
            <w:tcBorders>
              <w:top w:val="single" w:sz="8" w:color="0000EE"/>
              <w:bottom w:val="single" w:sz="8" w:color="auto"/>
            </w:tcBorders>
          </w:tcPr>
          <w:p>
            <w:pPr>
              <w:spacing w:after="0"/>
              <w:rPr>
                <w:sz w:val="24"/>
                <w:szCs w:val="24"/>
                <w:color w:val="auto"/>
              </w:rPr>
            </w:pPr>
          </w:p>
        </w:tc>
        <w:tc>
          <w:tcPr>
            <w:tcW w:w="3160" w:type="dxa"/>
            <w:vAlign w:val="bottom"/>
            <w:tcBorders>
              <w:top w:val="single" w:sz="8" w:color="CCEEFF"/>
              <w:bottom w:val="single" w:sz="8" w:color="auto"/>
            </w:tcBorders>
          </w:tcPr>
          <w:p>
            <w:pPr>
              <w:jc w:val="right"/>
              <w:ind w:right="1110"/>
              <w:spacing w:after="0"/>
              <w:rPr>
                <w:sz w:val="20"/>
                <w:szCs w:val="20"/>
                <w:color w:val="auto"/>
              </w:rPr>
            </w:pPr>
            <w:r>
              <w:rPr>
                <w:rFonts w:ascii="Arial" w:cs="Arial" w:eastAsia="Arial" w:hAnsi="Arial"/>
                <w:sz w:val="18"/>
                <w:szCs w:val="18"/>
                <w:color w:val="auto"/>
              </w:rPr>
              <w:t>1</w:t>
            </w:r>
          </w:p>
        </w:tc>
        <w:tc>
          <w:tcPr>
            <w:tcW w:w="64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25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56"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2074545</wp:posOffset>
            </wp:positionV>
            <wp:extent cx="204025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0402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5440"/>
        <w:spacing w:after="0" w:line="266" w:lineRule="auto"/>
        <w:rPr>
          <w:sz w:val="20"/>
          <w:szCs w:val="20"/>
          <w:color w:val="auto"/>
        </w:rPr>
      </w:pPr>
      <w:r>
        <w:rPr>
          <w:rFonts w:ascii="Arial" w:cs="Arial" w:eastAsia="Arial" w:hAnsi="Arial"/>
          <w:sz w:val="18"/>
          <w:szCs w:val="18"/>
          <w:b w:val="1"/>
          <w:bCs w:val="1"/>
          <w:color w:val="auto"/>
        </w:rPr>
        <w:t xml:space="preserve">INTERIM CONDENSED CONSOLIDATED FINANCIAL STATEMENTS FOR THE THREE AND SIX MONTHS ENDED JUNE 30, 2023 AND 2022 </w:t>
      </w:r>
      <w:r>
        <w:rPr>
          <w:rFonts w:ascii="Arial" w:cs="Arial" w:eastAsia="Arial" w:hAnsi="Arial"/>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3432175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gridSpan w:val="5"/>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46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75"/>
        </w:trPr>
        <w:tc>
          <w:tcPr>
            <w:tcW w:w="6560" w:type="dxa"/>
            <w:vAlign w:val="bottom"/>
            <w:gridSpan w:val="5"/>
            <w:shd w:val="clear" w:color="auto" w:fill="CCEEFF"/>
          </w:tcPr>
          <w:p>
            <w:pPr>
              <w:ind w:left="460"/>
              <w:spacing w:after="0" w:line="176" w:lineRule="exact"/>
              <w:rPr>
                <w:sz w:val="20"/>
                <w:szCs w:val="20"/>
                <w:color w:val="auto"/>
              </w:rPr>
            </w:pPr>
            <w:r>
              <w:rPr>
                <w:rFonts w:ascii="Arial" w:cs="Arial" w:eastAsia="Arial" w:hAnsi="Arial"/>
                <w:sz w:val="18"/>
                <w:szCs w:val="18"/>
                <w:color w:val="0000EE"/>
              </w:rPr>
              <w:t>Interim Consolidated Statements of Financial Position</w:t>
            </w:r>
          </w:p>
        </w:tc>
        <w:tc>
          <w:tcPr>
            <w:tcW w:w="4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560" w:type="dxa"/>
            <w:vAlign w:val="bottom"/>
            <w:gridSpan w:val="5"/>
          </w:tcPr>
          <w:p>
            <w:pPr>
              <w:ind w:left="460"/>
              <w:spacing w:after="0" w:line="176" w:lineRule="exact"/>
              <w:rPr>
                <w:sz w:val="20"/>
                <w:szCs w:val="20"/>
                <w:color w:val="auto"/>
              </w:rPr>
            </w:pPr>
            <w:r>
              <w:rPr>
                <w:rFonts w:ascii="Arial" w:cs="Arial" w:eastAsia="Arial" w:hAnsi="Arial"/>
                <w:sz w:val="18"/>
                <w:szCs w:val="18"/>
                <w:color w:val="0000EE"/>
                <w:w w:val="90"/>
              </w:rPr>
              <w:t>Interim Consolidated Statements of Profit or Loss and Comprehensive Profit or Loss</w:t>
            </w:r>
          </w:p>
        </w:tc>
        <w:tc>
          <w:tcPr>
            <w:tcW w:w="468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r>
      <w:tr>
        <w:trPr>
          <w:trHeight w:val="21"/>
        </w:trPr>
        <w:tc>
          <w:tcPr>
            <w:tcW w:w="460" w:type="dxa"/>
            <w:vAlign w:val="bottom"/>
          </w:tcPr>
          <w:p>
            <w:pPr>
              <w:spacing w:after="0" w:line="20" w:lineRule="exact"/>
              <w:rPr>
                <w:sz w:val="1"/>
                <w:szCs w:val="1"/>
                <w:color w:val="auto"/>
              </w:rPr>
            </w:pPr>
          </w:p>
        </w:tc>
        <w:tc>
          <w:tcPr>
            <w:tcW w:w="34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76"/>
        </w:trPr>
        <w:tc>
          <w:tcPr>
            <w:tcW w:w="6560" w:type="dxa"/>
            <w:vAlign w:val="bottom"/>
            <w:gridSpan w:val="5"/>
            <w:shd w:val="clear" w:color="auto" w:fill="CCEEFF"/>
          </w:tcPr>
          <w:p>
            <w:pPr>
              <w:ind w:left="460"/>
              <w:spacing w:after="0" w:line="176" w:lineRule="exact"/>
              <w:rPr>
                <w:sz w:val="20"/>
                <w:szCs w:val="20"/>
                <w:color w:val="auto"/>
              </w:rPr>
            </w:pPr>
            <w:r>
              <w:rPr>
                <w:rFonts w:ascii="Arial" w:cs="Arial" w:eastAsia="Arial" w:hAnsi="Arial"/>
                <w:sz w:val="18"/>
                <w:szCs w:val="18"/>
                <w:color w:val="0000EE"/>
              </w:rPr>
              <w:t>Interim Consolidated Statements of Changes in Equity</w:t>
            </w:r>
          </w:p>
        </w:tc>
        <w:tc>
          <w:tcPr>
            <w:tcW w:w="4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560" w:type="dxa"/>
            <w:vAlign w:val="bottom"/>
            <w:gridSpan w:val="5"/>
          </w:tcPr>
          <w:p>
            <w:pPr>
              <w:ind w:left="460"/>
              <w:spacing w:after="0" w:line="176" w:lineRule="exact"/>
              <w:rPr>
                <w:sz w:val="20"/>
                <w:szCs w:val="20"/>
                <w:color w:val="auto"/>
              </w:rPr>
            </w:pPr>
            <w:r>
              <w:rPr>
                <w:rFonts w:ascii="Arial" w:cs="Arial" w:eastAsia="Arial" w:hAnsi="Arial"/>
                <w:sz w:val="18"/>
                <w:szCs w:val="18"/>
                <w:color w:val="0000EE"/>
              </w:rPr>
              <w:t>Interim Consolidated Statements of Cash Flows</w:t>
            </w:r>
          </w:p>
        </w:tc>
        <w:tc>
          <w:tcPr>
            <w:tcW w:w="468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r>
      <w:tr>
        <w:trPr>
          <w:trHeight w:val="20"/>
        </w:trPr>
        <w:tc>
          <w:tcPr>
            <w:tcW w:w="460" w:type="dxa"/>
            <w:vAlign w:val="bottom"/>
          </w:tcPr>
          <w:p>
            <w:pPr>
              <w:spacing w:after="0" w:line="20" w:lineRule="exact"/>
              <w:rPr>
                <w:sz w:val="1"/>
                <w:szCs w:val="1"/>
                <w:color w:val="auto"/>
              </w:rPr>
            </w:pPr>
          </w:p>
        </w:tc>
        <w:tc>
          <w:tcPr>
            <w:tcW w:w="34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400" w:type="dxa"/>
            <w:vAlign w:val="bottom"/>
            <w:gridSpan w:val="22"/>
          </w:tcPr>
          <w:p>
            <w:pPr>
              <w:ind w:left="120"/>
              <w:spacing w:after="0"/>
              <w:rPr>
                <w:sz w:val="20"/>
                <w:szCs w:val="20"/>
                <w:color w:val="auto"/>
              </w:rPr>
            </w:pPr>
            <w:r>
              <w:rPr>
                <w:rFonts w:ascii="Arial" w:cs="Arial" w:eastAsia="Arial" w:hAnsi="Arial"/>
                <w:sz w:val="18"/>
                <w:szCs w:val="18"/>
                <w:b w:val="1"/>
                <w:bCs w:val="1"/>
                <w:color w:val="auto"/>
              </w:rPr>
              <w:t>Notes to the Interim Condensed Consolidated Financial Statements</w:t>
            </w:r>
          </w:p>
        </w:tc>
        <w:tc>
          <w:tcPr>
            <w:tcW w:w="4500" w:type="dxa"/>
            <w:vAlign w:val="bottom"/>
          </w:tcPr>
          <w:p>
            <w:pPr>
              <w:spacing w:after="0"/>
              <w:rPr>
                <w:sz w:val="18"/>
                <w:szCs w:val="18"/>
                <w:color w:val="auto"/>
              </w:rPr>
            </w:pPr>
          </w:p>
        </w:tc>
      </w:tr>
      <w:tr>
        <w:trPr>
          <w:trHeight w:val="175"/>
        </w:trPr>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w:t>
            </w:r>
          </w:p>
        </w:tc>
        <w:tc>
          <w:tcPr>
            <w:tcW w:w="6400" w:type="dxa"/>
            <w:vAlign w:val="bottom"/>
            <w:gridSpan w:val="22"/>
            <w:shd w:val="clear" w:color="auto" w:fill="CCEEFF"/>
          </w:tcPr>
          <w:p>
            <w:pPr>
              <w:ind w:left="120"/>
              <w:spacing w:after="0" w:line="176" w:lineRule="exact"/>
              <w:rPr>
                <w:sz w:val="20"/>
                <w:szCs w:val="20"/>
                <w:color w:val="auto"/>
              </w:rPr>
            </w:pPr>
            <w:r>
              <w:rPr>
                <w:rFonts w:ascii="Arial" w:cs="Arial" w:eastAsia="Arial" w:hAnsi="Arial"/>
                <w:sz w:val="18"/>
                <w:szCs w:val="18"/>
                <w:color w:val="0000EE"/>
              </w:rPr>
              <w:t>Nature of Operations</w:t>
            </w:r>
          </w:p>
        </w:tc>
        <w:tc>
          <w:tcPr>
            <w:tcW w:w="4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40" w:type="dxa"/>
            <w:vAlign w:val="bottom"/>
          </w:tcPr>
          <w:p>
            <w:pPr>
              <w:spacing w:after="0" w:line="176" w:lineRule="exact"/>
              <w:rPr>
                <w:sz w:val="20"/>
                <w:szCs w:val="20"/>
                <w:color w:val="auto"/>
              </w:rPr>
            </w:pPr>
            <w:r>
              <w:rPr>
                <w:rFonts w:ascii="Arial" w:cs="Arial" w:eastAsia="Arial" w:hAnsi="Arial"/>
                <w:sz w:val="18"/>
                <w:szCs w:val="18"/>
                <w:color w:val="auto"/>
              </w:rPr>
              <w:t>2.</w:t>
            </w:r>
          </w:p>
        </w:tc>
        <w:tc>
          <w:tcPr>
            <w:tcW w:w="6400" w:type="dxa"/>
            <w:vAlign w:val="bottom"/>
            <w:gridSpan w:val="22"/>
          </w:tcPr>
          <w:p>
            <w:pPr>
              <w:ind w:left="120"/>
              <w:spacing w:after="0" w:line="176" w:lineRule="exact"/>
              <w:rPr>
                <w:sz w:val="20"/>
                <w:szCs w:val="20"/>
                <w:color w:val="auto"/>
              </w:rPr>
            </w:pPr>
            <w:r>
              <w:rPr>
                <w:rFonts w:ascii="Arial" w:cs="Arial" w:eastAsia="Arial" w:hAnsi="Arial"/>
                <w:sz w:val="18"/>
                <w:szCs w:val="18"/>
                <w:color w:val="0000EE"/>
              </w:rPr>
              <w:t>Liquidity</w:t>
            </w:r>
          </w:p>
        </w:tc>
        <w:tc>
          <w:tcPr>
            <w:tcW w:w="450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w:t>
            </w:r>
          </w:p>
        </w:tc>
        <w:tc>
          <w:tcPr>
            <w:tcW w:w="6400" w:type="dxa"/>
            <w:vAlign w:val="bottom"/>
            <w:gridSpan w:val="22"/>
            <w:shd w:val="clear" w:color="auto" w:fill="CCEEFF"/>
          </w:tcPr>
          <w:p>
            <w:pPr>
              <w:ind w:left="120"/>
              <w:spacing w:after="0" w:line="176" w:lineRule="exact"/>
              <w:rPr>
                <w:sz w:val="20"/>
                <w:szCs w:val="20"/>
                <w:color w:val="auto"/>
              </w:rPr>
            </w:pPr>
            <w:r>
              <w:rPr>
                <w:rFonts w:ascii="Arial" w:cs="Arial" w:eastAsia="Arial" w:hAnsi="Arial"/>
                <w:sz w:val="18"/>
                <w:szCs w:val="18"/>
                <w:color w:val="0000EE"/>
              </w:rPr>
              <w:t>Basis of Presentation and Significant Accounting Policies</w:t>
            </w:r>
          </w:p>
        </w:tc>
        <w:tc>
          <w:tcPr>
            <w:tcW w:w="4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40" w:type="dxa"/>
            <w:vAlign w:val="bottom"/>
          </w:tcPr>
          <w:p>
            <w:pPr>
              <w:spacing w:after="0" w:line="176" w:lineRule="exact"/>
              <w:rPr>
                <w:sz w:val="20"/>
                <w:szCs w:val="20"/>
                <w:color w:val="auto"/>
              </w:rPr>
            </w:pPr>
            <w:r>
              <w:rPr>
                <w:rFonts w:ascii="Arial" w:cs="Arial" w:eastAsia="Arial" w:hAnsi="Arial"/>
                <w:sz w:val="18"/>
                <w:szCs w:val="18"/>
                <w:color w:val="auto"/>
              </w:rPr>
              <w:t>4.</w:t>
            </w:r>
          </w:p>
        </w:tc>
        <w:tc>
          <w:tcPr>
            <w:tcW w:w="6400" w:type="dxa"/>
            <w:vAlign w:val="bottom"/>
            <w:gridSpan w:val="22"/>
          </w:tcPr>
          <w:p>
            <w:pPr>
              <w:ind w:left="120"/>
              <w:spacing w:after="0" w:line="176" w:lineRule="exact"/>
              <w:rPr>
                <w:sz w:val="20"/>
                <w:szCs w:val="20"/>
                <w:color w:val="auto"/>
              </w:rPr>
            </w:pPr>
            <w:r>
              <w:rPr>
                <w:rFonts w:ascii="Arial" w:cs="Arial" w:eastAsia="Arial" w:hAnsi="Arial"/>
                <w:sz w:val="18"/>
                <w:szCs w:val="18"/>
                <w:color w:val="0000EE"/>
              </w:rPr>
              <w:t>Significant Accounting Judgments and Estimates</w:t>
            </w:r>
          </w:p>
        </w:tc>
        <w:tc>
          <w:tcPr>
            <w:tcW w:w="450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r>
      <w:tr>
        <w:trPr>
          <w:trHeight w:val="21"/>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w:t>
            </w:r>
          </w:p>
        </w:tc>
        <w:tc>
          <w:tcPr>
            <w:tcW w:w="6400" w:type="dxa"/>
            <w:vAlign w:val="bottom"/>
            <w:gridSpan w:val="22"/>
            <w:shd w:val="clear" w:color="auto" w:fill="CCEEFF"/>
          </w:tcPr>
          <w:p>
            <w:pPr>
              <w:ind w:left="120"/>
              <w:spacing w:after="0" w:line="176" w:lineRule="exact"/>
              <w:rPr>
                <w:sz w:val="20"/>
                <w:szCs w:val="20"/>
                <w:color w:val="auto"/>
              </w:rPr>
            </w:pPr>
            <w:r>
              <w:rPr>
                <w:rFonts w:ascii="Arial" w:cs="Arial" w:eastAsia="Arial" w:hAnsi="Arial"/>
                <w:sz w:val="18"/>
                <w:szCs w:val="18"/>
                <w:color w:val="0000EE"/>
              </w:rPr>
              <w:t>Other Assets</w:t>
            </w:r>
          </w:p>
        </w:tc>
        <w:tc>
          <w:tcPr>
            <w:tcW w:w="4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line="176" w:lineRule="exact"/>
              <w:rPr>
                <w:sz w:val="20"/>
                <w:szCs w:val="20"/>
                <w:color w:val="auto"/>
              </w:rPr>
            </w:pPr>
            <w:r>
              <w:rPr>
                <w:rFonts w:ascii="Arial" w:cs="Arial" w:eastAsia="Arial" w:hAnsi="Arial"/>
                <w:sz w:val="18"/>
                <w:szCs w:val="18"/>
                <w:color w:val="auto"/>
              </w:rPr>
              <w:t>6.</w:t>
            </w:r>
          </w:p>
        </w:tc>
        <w:tc>
          <w:tcPr>
            <w:tcW w:w="6400" w:type="dxa"/>
            <w:vAlign w:val="bottom"/>
            <w:gridSpan w:val="22"/>
          </w:tcPr>
          <w:p>
            <w:pPr>
              <w:ind w:left="120"/>
              <w:spacing w:after="0" w:line="176" w:lineRule="exact"/>
              <w:rPr>
                <w:sz w:val="20"/>
                <w:szCs w:val="20"/>
                <w:color w:val="auto"/>
              </w:rPr>
            </w:pPr>
            <w:r>
              <w:rPr>
                <w:rFonts w:ascii="Arial" w:cs="Arial" w:eastAsia="Arial" w:hAnsi="Arial"/>
                <w:sz w:val="18"/>
                <w:szCs w:val="18"/>
                <w:color w:val="0000EE"/>
              </w:rPr>
              <w:t>Digital Assets</w:t>
            </w:r>
          </w:p>
        </w:tc>
        <w:tc>
          <w:tcPr>
            <w:tcW w:w="450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r>
      <w:tr>
        <w:trPr>
          <w:trHeight w:val="21"/>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7.</w:t>
            </w:r>
          </w:p>
        </w:tc>
        <w:tc>
          <w:tcPr>
            <w:tcW w:w="6400" w:type="dxa"/>
            <w:vAlign w:val="bottom"/>
            <w:gridSpan w:val="22"/>
            <w:shd w:val="clear" w:color="auto" w:fill="CCEEFF"/>
          </w:tcPr>
          <w:p>
            <w:pPr>
              <w:ind w:left="120"/>
              <w:spacing w:after="0" w:line="176" w:lineRule="exact"/>
              <w:rPr>
                <w:sz w:val="20"/>
                <w:szCs w:val="20"/>
                <w:color w:val="auto"/>
              </w:rPr>
            </w:pPr>
            <w:r>
              <w:rPr>
                <w:rFonts w:ascii="Arial" w:cs="Arial" w:eastAsia="Arial" w:hAnsi="Arial"/>
                <w:sz w:val="18"/>
                <w:szCs w:val="18"/>
                <w:color w:val="0000EE"/>
              </w:rPr>
              <w:t>Impairment</w:t>
            </w:r>
          </w:p>
        </w:tc>
        <w:tc>
          <w:tcPr>
            <w:tcW w:w="4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40" w:type="dxa"/>
            <w:vAlign w:val="bottom"/>
          </w:tcPr>
          <w:p>
            <w:pPr>
              <w:spacing w:after="0" w:line="176" w:lineRule="exact"/>
              <w:rPr>
                <w:sz w:val="20"/>
                <w:szCs w:val="20"/>
                <w:color w:val="auto"/>
              </w:rPr>
            </w:pPr>
            <w:r>
              <w:rPr>
                <w:rFonts w:ascii="Arial" w:cs="Arial" w:eastAsia="Arial" w:hAnsi="Arial"/>
                <w:sz w:val="18"/>
                <w:szCs w:val="18"/>
                <w:color w:val="auto"/>
              </w:rPr>
              <w:t>8.</w:t>
            </w:r>
          </w:p>
        </w:tc>
        <w:tc>
          <w:tcPr>
            <w:tcW w:w="6400" w:type="dxa"/>
            <w:vAlign w:val="bottom"/>
            <w:gridSpan w:val="22"/>
          </w:tcPr>
          <w:p>
            <w:pPr>
              <w:ind w:left="120"/>
              <w:spacing w:after="0" w:line="176" w:lineRule="exact"/>
              <w:rPr>
                <w:sz w:val="20"/>
                <w:szCs w:val="20"/>
                <w:color w:val="auto"/>
              </w:rPr>
            </w:pPr>
            <w:r>
              <w:rPr>
                <w:rFonts w:ascii="Arial" w:cs="Arial" w:eastAsia="Arial" w:hAnsi="Arial"/>
                <w:sz w:val="18"/>
                <w:szCs w:val="18"/>
                <w:color w:val="0000EE"/>
              </w:rPr>
              <w:t>Property, Plant and Equipment</w:t>
            </w:r>
          </w:p>
        </w:tc>
        <w:tc>
          <w:tcPr>
            <w:tcW w:w="450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w:t>
            </w:r>
          </w:p>
        </w:tc>
        <w:tc>
          <w:tcPr>
            <w:tcW w:w="6400" w:type="dxa"/>
            <w:vAlign w:val="bottom"/>
            <w:gridSpan w:val="22"/>
            <w:shd w:val="clear" w:color="auto" w:fill="CCEEFF"/>
          </w:tcPr>
          <w:p>
            <w:pPr>
              <w:ind w:left="120"/>
              <w:spacing w:after="0" w:line="176" w:lineRule="exact"/>
              <w:rPr>
                <w:sz w:val="20"/>
                <w:szCs w:val="20"/>
                <w:color w:val="auto"/>
              </w:rPr>
            </w:pPr>
            <w:r>
              <w:rPr>
                <w:rFonts w:ascii="Arial" w:cs="Arial" w:eastAsia="Arial" w:hAnsi="Arial"/>
                <w:sz w:val="18"/>
                <w:szCs w:val="18"/>
                <w:color w:val="0000EE"/>
              </w:rPr>
              <w:t>Long-term Deposits, Equipment Prepayments, Other and Commitments</w:t>
            </w:r>
          </w:p>
        </w:tc>
        <w:tc>
          <w:tcPr>
            <w:tcW w:w="4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line="176" w:lineRule="exact"/>
              <w:rPr>
                <w:sz w:val="20"/>
                <w:szCs w:val="20"/>
                <w:color w:val="auto"/>
              </w:rPr>
            </w:pPr>
            <w:r>
              <w:rPr>
                <w:rFonts w:ascii="Arial" w:cs="Arial" w:eastAsia="Arial" w:hAnsi="Arial"/>
                <w:sz w:val="18"/>
                <w:szCs w:val="18"/>
                <w:color w:val="auto"/>
              </w:rPr>
              <w:t>10.</w:t>
            </w:r>
          </w:p>
        </w:tc>
        <w:tc>
          <w:tcPr>
            <w:tcW w:w="6400" w:type="dxa"/>
            <w:vAlign w:val="bottom"/>
            <w:gridSpan w:val="22"/>
          </w:tcPr>
          <w:p>
            <w:pPr>
              <w:ind w:left="120"/>
              <w:spacing w:after="0" w:line="176" w:lineRule="exact"/>
              <w:rPr>
                <w:sz w:val="20"/>
                <w:szCs w:val="20"/>
                <w:color w:val="auto"/>
              </w:rPr>
            </w:pPr>
            <w:r>
              <w:rPr>
                <w:rFonts w:ascii="Arial" w:cs="Arial" w:eastAsia="Arial" w:hAnsi="Arial"/>
                <w:sz w:val="18"/>
                <w:szCs w:val="18"/>
                <w:color w:val="0000EE"/>
              </w:rPr>
              <w:t>Trade Payables and Accrued Liabilities</w:t>
            </w:r>
          </w:p>
        </w:tc>
        <w:tc>
          <w:tcPr>
            <w:tcW w:w="450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r>
      <w:tr>
        <w:trPr>
          <w:trHeight w:val="21"/>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6400" w:type="dxa"/>
            <w:vAlign w:val="bottom"/>
            <w:gridSpan w:val="22"/>
            <w:shd w:val="clear" w:color="auto" w:fill="CCEEFF"/>
          </w:tcPr>
          <w:p>
            <w:pPr>
              <w:ind w:left="120"/>
              <w:spacing w:after="0" w:line="176" w:lineRule="exact"/>
              <w:rPr>
                <w:sz w:val="20"/>
                <w:szCs w:val="20"/>
                <w:color w:val="auto"/>
              </w:rPr>
            </w:pPr>
            <w:r>
              <w:rPr>
                <w:rFonts w:ascii="Arial" w:cs="Arial" w:eastAsia="Arial" w:hAnsi="Arial"/>
                <w:sz w:val="18"/>
                <w:szCs w:val="18"/>
                <w:color w:val="0000EE"/>
              </w:rPr>
              <w:t>Long-term Debt</w:t>
            </w:r>
          </w:p>
        </w:tc>
        <w:tc>
          <w:tcPr>
            <w:tcW w:w="4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40" w:type="dxa"/>
            <w:vAlign w:val="bottom"/>
          </w:tcPr>
          <w:p>
            <w:pPr>
              <w:spacing w:after="0" w:line="176" w:lineRule="exact"/>
              <w:rPr>
                <w:sz w:val="20"/>
                <w:szCs w:val="20"/>
                <w:color w:val="auto"/>
              </w:rPr>
            </w:pPr>
            <w:r>
              <w:rPr>
                <w:rFonts w:ascii="Arial" w:cs="Arial" w:eastAsia="Arial" w:hAnsi="Arial"/>
                <w:sz w:val="18"/>
                <w:szCs w:val="18"/>
                <w:color w:val="auto"/>
              </w:rPr>
              <w:t>12.</w:t>
            </w:r>
          </w:p>
        </w:tc>
        <w:tc>
          <w:tcPr>
            <w:tcW w:w="6400" w:type="dxa"/>
            <w:vAlign w:val="bottom"/>
            <w:gridSpan w:val="22"/>
          </w:tcPr>
          <w:p>
            <w:pPr>
              <w:ind w:left="120"/>
              <w:spacing w:after="0" w:line="176" w:lineRule="exact"/>
              <w:rPr>
                <w:sz w:val="20"/>
                <w:szCs w:val="20"/>
                <w:color w:val="auto"/>
              </w:rPr>
            </w:pPr>
            <w:r>
              <w:rPr>
                <w:rFonts w:ascii="Arial" w:cs="Arial" w:eastAsia="Arial" w:hAnsi="Arial"/>
                <w:sz w:val="18"/>
                <w:szCs w:val="18"/>
                <w:color w:val="0000EE"/>
              </w:rPr>
              <w:t>Leases</w:t>
            </w:r>
          </w:p>
        </w:tc>
        <w:tc>
          <w:tcPr>
            <w:tcW w:w="450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13.</w:t>
            </w:r>
          </w:p>
        </w:tc>
        <w:tc>
          <w:tcPr>
            <w:tcW w:w="6400" w:type="dxa"/>
            <w:vAlign w:val="bottom"/>
            <w:gridSpan w:val="22"/>
            <w:shd w:val="clear" w:color="auto" w:fill="CCEEFF"/>
          </w:tcPr>
          <w:p>
            <w:pPr>
              <w:ind w:left="120"/>
              <w:spacing w:after="0" w:line="176" w:lineRule="exact"/>
              <w:rPr>
                <w:sz w:val="20"/>
                <w:szCs w:val="20"/>
                <w:color w:val="auto"/>
              </w:rPr>
            </w:pPr>
            <w:r>
              <w:rPr>
                <w:rFonts w:ascii="Arial" w:cs="Arial" w:eastAsia="Arial" w:hAnsi="Arial"/>
                <w:sz w:val="18"/>
                <w:szCs w:val="18"/>
                <w:color w:val="0000EE"/>
              </w:rPr>
              <w:t>Income Taxes</w:t>
            </w:r>
          </w:p>
        </w:tc>
        <w:tc>
          <w:tcPr>
            <w:tcW w:w="4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40" w:type="dxa"/>
            <w:vAlign w:val="bottom"/>
          </w:tcPr>
          <w:p>
            <w:pPr>
              <w:spacing w:after="0" w:line="176" w:lineRule="exact"/>
              <w:rPr>
                <w:sz w:val="20"/>
                <w:szCs w:val="20"/>
                <w:color w:val="auto"/>
              </w:rPr>
            </w:pPr>
            <w:r>
              <w:rPr>
                <w:rFonts w:ascii="Arial" w:cs="Arial" w:eastAsia="Arial" w:hAnsi="Arial"/>
                <w:sz w:val="18"/>
                <w:szCs w:val="18"/>
                <w:color w:val="auto"/>
              </w:rPr>
              <w:t>14.</w:t>
            </w:r>
          </w:p>
        </w:tc>
        <w:tc>
          <w:tcPr>
            <w:tcW w:w="6400" w:type="dxa"/>
            <w:vAlign w:val="bottom"/>
            <w:gridSpan w:val="22"/>
          </w:tcPr>
          <w:p>
            <w:pPr>
              <w:ind w:left="120"/>
              <w:spacing w:after="0" w:line="176" w:lineRule="exact"/>
              <w:rPr>
                <w:sz w:val="20"/>
                <w:szCs w:val="20"/>
                <w:color w:val="auto"/>
              </w:rPr>
            </w:pPr>
            <w:r>
              <w:rPr>
                <w:rFonts w:ascii="Arial" w:cs="Arial" w:eastAsia="Arial" w:hAnsi="Arial"/>
                <w:sz w:val="18"/>
                <w:szCs w:val="18"/>
                <w:color w:val="0000EE"/>
              </w:rPr>
              <w:t>Asset Retirement Provision</w:t>
            </w:r>
          </w:p>
        </w:tc>
        <w:tc>
          <w:tcPr>
            <w:tcW w:w="450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r>
      <w:tr>
        <w:trPr>
          <w:trHeight w:val="21"/>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15.</w:t>
            </w:r>
          </w:p>
        </w:tc>
        <w:tc>
          <w:tcPr>
            <w:tcW w:w="6400" w:type="dxa"/>
            <w:vAlign w:val="bottom"/>
            <w:gridSpan w:val="22"/>
            <w:shd w:val="clear" w:color="auto" w:fill="CCEEFF"/>
          </w:tcPr>
          <w:p>
            <w:pPr>
              <w:ind w:left="120"/>
              <w:spacing w:after="0" w:line="176" w:lineRule="exact"/>
              <w:rPr>
                <w:sz w:val="20"/>
                <w:szCs w:val="20"/>
                <w:color w:val="auto"/>
              </w:rPr>
            </w:pPr>
            <w:r>
              <w:rPr>
                <w:rFonts w:ascii="Arial" w:cs="Arial" w:eastAsia="Arial" w:hAnsi="Arial"/>
                <w:sz w:val="18"/>
                <w:szCs w:val="18"/>
                <w:color w:val="0000EE"/>
              </w:rPr>
              <w:t>Share Capital</w:t>
            </w:r>
          </w:p>
        </w:tc>
        <w:tc>
          <w:tcPr>
            <w:tcW w:w="4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line="176" w:lineRule="exact"/>
              <w:rPr>
                <w:sz w:val="20"/>
                <w:szCs w:val="20"/>
                <w:color w:val="auto"/>
              </w:rPr>
            </w:pPr>
            <w:r>
              <w:rPr>
                <w:rFonts w:ascii="Arial" w:cs="Arial" w:eastAsia="Arial" w:hAnsi="Arial"/>
                <w:sz w:val="18"/>
                <w:szCs w:val="18"/>
                <w:color w:val="auto"/>
              </w:rPr>
              <w:t>16.</w:t>
            </w:r>
          </w:p>
        </w:tc>
        <w:tc>
          <w:tcPr>
            <w:tcW w:w="6400" w:type="dxa"/>
            <w:vAlign w:val="bottom"/>
            <w:gridSpan w:val="22"/>
          </w:tcPr>
          <w:p>
            <w:pPr>
              <w:ind w:left="120"/>
              <w:spacing w:after="0" w:line="176" w:lineRule="exact"/>
              <w:rPr>
                <w:sz w:val="20"/>
                <w:szCs w:val="20"/>
                <w:color w:val="auto"/>
              </w:rPr>
            </w:pPr>
            <w:r>
              <w:rPr>
                <w:rFonts w:ascii="Arial" w:cs="Arial" w:eastAsia="Arial" w:hAnsi="Arial"/>
                <w:sz w:val="18"/>
                <w:szCs w:val="18"/>
                <w:color w:val="0000EE"/>
              </w:rPr>
              <w:t>Financial Instruments</w:t>
            </w:r>
          </w:p>
        </w:tc>
        <w:tc>
          <w:tcPr>
            <w:tcW w:w="450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r>
      <w:tr>
        <w:trPr>
          <w:trHeight w:val="21"/>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17.</w:t>
            </w:r>
          </w:p>
        </w:tc>
        <w:tc>
          <w:tcPr>
            <w:tcW w:w="6400" w:type="dxa"/>
            <w:vAlign w:val="bottom"/>
            <w:gridSpan w:val="22"/>
            <w:shd w:val="clear" w:color="auto" w:fill="CCEEFF"/>
          </w:tcPr>
          <w:p>
            <w:pPr>
              <w:ind w:left="120"/>
              <w:spacing w:after="0" w:line="176" w:lineRule="exact"/>
              <w:rPr>
                <w:sz w:val="20"/>
                <w:szCs w:val="20"/>
                <w:color w:val="auto"/>
              </w:rPr>
            </w:pPr>
            <w:r>
              <w:rPr>
                <w:rFonts w:ascii="Arial" w:cs="Arial" w:eastAsia="Arial" w:hAnsi="Arial"/>
                <w:sz w:val="18"/>
                <w:szCs w:val="18"/>
                <w:color w:val="0000EE"/>
              </w:rPr>
              <w:t>Transactions and Balances with Related Parties</w:t>
            </w:r>
          </w:p>
        </w:tc>
        <w:tc>
          <w:tcPr>
            <w:tcW w:w="4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line="176" w:lineRule="exact"/>
              <w:rPr>
                <w:sz w:val="20"/>
                <w:szCs w:val="20"/>
                <w:color w:val="auto"/>
              </w:rPr>
            </w:pPr>
            <w:r>
              <w:rPr>
                <w:rFonts w:ascii="Arial" w:cs="Arial" w:eastAsia="Arial" w:hAnsi="Arial"/>
                <w:sz w:val="18"/>
                <w:szCs w:val="18"/>
                <w:color w:val="auto"/>
              </w:rPr>
              <w:t>18.</w:t>
            </w:r>
          </w:p>
        </w:tc>
        <w:tc>
          <w:tcPr>
            <w:tcW w:w="6400" w:type="dxa"/>
            <w:vAlign w:val="bottom"/>
            <w:gridSpan w:val="22"/>
          </w:tcPr>
          <w:p>
            <w:pPr>
              <w:ind w:left="120"/>
              <w:spacing w:after="0" w:line="176" w:lineRule="exact"/>
              <w:rPr>
                <w:sz w:val="20"/>
                <w:szCs w:val="20"/>
                <w:color w:val="auto"/>
              </w:rPr>
            </w:pPr>
            <w:r>
              <w:rPr>
                <w:rFonts w:ascii="Arial" w:cs="Arial" w:eastAsia="Arial" w:hAnsi="Arial"/>
                <w:sz w:val="18"/>
                <w:szCs w:val="18"/>
                <w:color w:val="0000EE"/>
              </w:rPr>
              <w:t>Net Earnings (Loss) Per Share</w:t>
            </w:r>
          </w:p>
        </w:tc>
        <w:tc>
          <w:tcPr>
            <w:tcW w:w="450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r>
      <w:tr>
        <w:trPr>
          <w:trHeight w:val="21"/>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19.</w:t>
            </w:r>
          </w:p>
        </w:tc>
        <w:tc>
          <w:tcPr>
            <w:tcW w:w="6400" w:type="dxa"/>
            <w:vAlign w:val="bottom"/>
            <w:gridSpan w:val="22"/>
            <w:shd w:val="clear" w:color="auto" w:fill="CCEEFF"/>
          </w:tcPr>
          <w:p>
            <w:pPr>
              <w:ind w:left="120"/>
              <w:spacing w:after="0" w:line="176" w:lineRule="exact"/>
              <w:rPr>
                <w:sz w:val="20"/>
                <w:szCs w:val="20"/>
                <w:color w:val="auto"/>
              </w:rPr>
            </w:pPr>
            <w:r>
              <w:rPr>
                <w:rFonts w:ascii="Arial" w:cs="Arial" w:eastAsia="Arial" w:hAnsi="Arial"/>
                <w:sz w:val="18"/>
                <w:szCs w:val="18"/>
                <w:color w:val="0000EE"/>
              </w:rPr>
              <w:t>Share-based Payment</w:t>
            </w:r>
          </w:p>
        </w:tc>
        <w:tc>
          <w:tcPr>
            <w:tcW w:w="4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line="176" w:lineRule="exact"/>
              <w:rPr>
                <w:sz w:val="20"/>
                <w:szCs w:val="20"/>
                <w:color w:val="auto"/>
              </w:rPr>
            </w:pPr>
            <w:r>
              <w:rPr>
                <w:rFonts w:ascii="Arial" w:cs="Arial" w:eastAsia="Arial" w:hAnsi="Arial"/>
                <w:sz w:val="18"/>
                <w:szCs w:val="18"/>
                <w:color w:val="auto"/>
              </w:rPr>
              <w:t>20.</w:t>
            </w:r>
          </w:p>
        </w:tc>
        <w:tc>
          <w:tcPr>
            <w:tcW w:w="6400" w:type="dxa"/>
            <w:vAlign w:val="bottom"/>
            <w:gridSpan w:val="22"/>
          </w:tcPr>
          <w:p>
            <w:pPr>
              <w:ind w:left="120"/>
              <w:spacing w:after="0" w:line="176" w:lineRule="exact"/>
              <w:rPr>
                <w:sz w:val="20"/>
                <w:szCs w:val="20"/>
                <w:color w:val="auto"/>
              </w:rPr>
            </w:pPr>
            <w:r>
              <w:rPr>
                <w:rFonts w:ascii="Arial" w:cs="Arial" w:eastAsia="Arial" w:hAnsi="Arial"/>
                <w:sz w:val="18"/>
                <w:szCs w:val="18"/>
                <w:color w:val="0000EE"/>
                <w:w w:val="91"/>
              </w:rPr>
              <w:t>Additional Details to the Statement of Profit or Loss and Comprehensive Profit or Loss</w:t>
            </w:r>
          </w:p>
        </w:tc>
        <w:tc>
          <w:tcPr>
            <w:tcW w:w="450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6400" w:type="dxa"/>
            <w:vAlign w:val="bottom"/>
            <w:gridSpan w:val="22"/>
            <w:shd w:val="clear" w:color="auto" w:fill="CCEEFF"/>
          </w:tcPr>
          <w:p>
            <w:pPr>
              <w:ind w:left="120"/>
              <w:spacing w:after="0" w:line="176" w:lineRule="exact"/>
              <w:rPr>
                <w:sz w:val="20"/>
                <w:szCs w:val="20"/>
                <w:color w:val="auto"/>
              </w:rPr>
            </w:pPr>
            <w:r>
              <w:rPr>
                <w:rFonts w:ascii="Arial" w:cs="Arial" w:eastAsia="Arial" w:hAnsi="Arial"/>
                <w:sz w:val="18"/>
                <w:szCs w:val="18"/>
                <w:color w:val="0000EE"/>
              </w:rPr>
              <w:t>Geographical Information</w:t>
            </w:r>
          </w:p>
        </w:tc>
        <w:tc>
          <w:tcPr>
            <w:tcW w:w="4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6400" w:type="dxa"/>
            <w:vAlign w:val="bottom"/>
            <w:gridSpan w:val="22"/>
          </w:tcPr>
          <w:p>
            <w:pPr>
              <w:ind w:left="120"/>
              <w:spacing w:after="0" w:line="176" w:lineRule="exact"/>
              <w:rPr>
                <w:sz w:val="20"/>
                <w:szCs w:val="20"/>
                <w:color w:val="auto"/>
              </w:rPr>
            </w:pPr>
            <w:r>
              <w:rPr>
                <w:rFonts w:ascii="Arial" w:cs="Arial" w:eastAsia="Arial" w:hAnsi="Arial"/>
                <w:sz w:val="18"/>
                <w:szCs w:val="18"/>
                <w:color w:val="0000EE"/>
              </w:rPr>
              <w:t>Additional Details to the Statements of Cash Flows</w:t>
            </w:r>
          </w:p>
        </w:tc>
        <w:tc>
          <w:tcPr>
            <w:tcW w:w="450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6400" w:type="dxa"/>
            <w:vAlign w:val="bottom"/>
            <w:gridSpan w:val="22"/>
            <w:shd w:val="clear" w:color="auto" w:fill="CCEEFF"/>
          </w:tcPr>
          <w:p>
            <w:pPr>
              <w:ind w:left="120"/>
              <w:spacing w:after="0" w:line="176" w:lineRule="exact"/>
              <w:rPr>
                <w:sz w:val="20"/>
                <w:szCs w:val="20"/>
                <w:color w:val="auto"/>
              </w:rPr>
            </w:pPr>
            <w:r>
              <w:rPr>
                <w:rFonts w:ascii="Arial" w:cs="Arial" w:eastAsia="Arial" w:hAnsi="Arial"/>
                <w:sz w:val="18"/>
                <w:szCs w:val="18"/>
                <w:color w:val="0000EE"/>
              </w:rPr>
              <w:t>Subsequent Events</w:t>
            </w:r>
          </w:p>
        </w:tc>
        <w:tc>
          <w:tcPr>
            <w:tcW w:w="4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680"/>
        <w:spacing w:after="0"/>
        <w:rPr>
          <w:sz w:val="20"/>
          <w:szCs w:val="20"/>
          <w:color w:val="auto"/>
        </w:rPr>
      </w:pPr>
      <w:r>
        <w:rPr>
          <w:rFonts w:ascii="Arial" w:cs="Arial" w:eastAsia="Arial" w:hAnsi="Arial"/>
          <w:sz w:val="15"/>
          <w:szCs w:val="15"/>
          <w:color w:val="auto"/>
        </w:rPr>
        <w:t>2 | Page</w:t>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right="5420"/>
        <w:spacing w:after="0" w:line="260" w:lineRule="auto"/>
        <w:rPr>
          <w:sz w:val="20"/>
          <w:szCs w:val="20"/>
          <w:color w:val="auto"/>
        </w:rPr>
      </w:pPr>
      <w:r>
        <w:rPr>
          <w:rFonts w:ascii="Arial" w:cs="Arial" w:eastAsia="Arial" w:hAnsi="Arial"/>
          <w:sz w:val="18"/>
          <w:szCs w:val="18"/>
          <w:b w:val="1"/>
          <w:bCs w:val="1"/>
          <w:color w:val="auto"/>
        </w:rPr>
        <w:t xml:space="preserve">INTERIM CONSOLIDATED STATEMENTS OF FINANCIAL POSITION </w:t>
      </w:r>
      <w:r>
        <w:rPr>
          <w:rFonts w:ascii="Arial" w:cs="Arial" w:eastAsia="Arial" w:hAnsi="Arial"/>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8380"/>
        <w:spacing w:after="0"/>
        <w:tabs>
          <w:tab w:leader="none" w:pos="9660" w:val="left"/>
        </w:tabs>
        <w:rPr>
          <w:sz w:val="20"/>
          <w:szCs w:val="20"/>
          <w:color w:val="auto"/>
        </w:rPr>
      </w:pPr>
      <w:r>
        <w:rPr>
          <w:rFonts w:ascii="Arial" w:cs="Arial" w:eastAsia="Arial" w:hAnsi="Arial"/>
          <w:sz w:val="18"/>
          <w:szCs w:val="18"/>
          <w:b w:val="1"/>
          <w:bCs w:val="1"/>
          <w:color w:val="auto"/>
        </w:rPr>
        <w:t>As of June 30,</w:t>
      </w:r>
      <w:r>
        <w:rPr>
          <w:sz w:val="20"/>
          <w:szCs w:val="20"/>
          <w:color w:val="auto"/>
        </w:rPr>
        <w:tab/>
      </w:r>
      <w:r>
        <w:rPr>
          <w:rFonts w:ascii="Arial" w:cs="Arial" w:eastAsia="Arial" w:hAnsi="Arial"/>
          <w:sz w:val="16"/>
          <w:szCs w:val="16"/>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0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Notes</w:t>
            </w:r>
          </w:p>
        </w:tc>
        <w:tc>
          <w:tcPr>
            <w:tcW w:w="15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195"/>
        </w:trPr>
        <w:tc>
          <w:tcPr>
            <w:tcW w:w="5900" w:type="dxa"/>
            <w:vAlign w:val="bottom"/>
          </w:tcPr>
          <w:p>
            <w:pPr>
              <w:spacing w:after="0" w:line="195" w:lineRule="exact"/>
              <w:rPr>
                <w:sz w:val="20"/>
                <w:szCs w:val="20"/>
                <w:color w:val="auto"/>
              </w:rPr>
            </w:pPr>
            <w:r>
              <w:rPr>
                <w:rFonts w:ascii="Arial" w:cs="Arial" w:eastAsia="Arial" w:hAnsi="Arial"/>
                <w:sz w:val="18"/>
                <w:szCs w:val="18"/>
                <w:b w:val="1"/>
                <w:bCs w:val="1"/>
                <w:color w:val="auto"/>
              </w:rPr>
              <w:t>Assets</w:t>
            </w:r>
          </w:p>
        </w:tc>
        <w:tc>
          <w:tcPr>
            <w:tcW w:w="2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Current</w:t>
            </w:r>
          </w:p>
        </w:tc>
        <w:tc>
          <w:tcPr>
            <w:tcW w:w="2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5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30,891</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30,887</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2560" w:type="dxa"/>
            <w:vAlign w:val="bottom"/>
          </w:tcPr>
          <w:p>
            <w:pPr>
              <w:spacing w:after="0"/>
              <w:rPr>
                <w:sz w:val="18"/>
                <w:szCs w:val="18"/>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1,019</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701</w:t>
            </w: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5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6,815</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4,512</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Short-term prepaid deposits</w:t>
            </w:r>
          </w:p>
        </w:tc>
        <w:tc>
          <w:tcPr>
            <w:tcW w:w="2560" w:type="dxa"/>
            <w:vAlign w:val="bottom"/>
          </w:tcPr>
          <w:p>
            <w:pPr>
              <w:jc w:val="right"/>
              <w:ind w:right="250"/>
              <w:spacing w:after="0"/>
              <w:rPr>
                <w:sz w:val="20"/>
                <w:szCs w:val="20"/>
                <w:color w:val="auto"/>
              </w:rPr>
            </w:pPr>
            <w:r>
              <w:rPr>
                <w:rFonts w:ascii="Arial" w:cs="Arial" w:eastAsia="Arial" w:hAnsi="Arial"/>
                <w:sz w:val="18"/>
                <w:szCs w:val="18"/>
                <w:b w:val="1"/>
                <w:bCs w:val="1"/>
                <w:color w:val="auto"/>
              </w:rPr>
              <w:t>7</w:t>
            </w: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2,849</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12,921</w:t>
            </w: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receivable</w:t>
            </w:r>
          </w:p>
        </w:tc>
        <w:tc>
          <w:tcPr>
            <w:tcW w:w="25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12,196</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12,142</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Digital assets</w:t>
            </w:r>
          </w:p>
        </w:tc>
        <w:tc>
          <w:tcPr>
            <w:tcW w:w="2560" w:type="dxa"/>
            <w:vAlign w:val="bottom"/>
          </w:tcPr>
          <w:p>
            <w:pPr>
              <w:jc w:val="right"/>
              <w:ind w:right="250"/>
              <w:spacing w:after="0"/>
              <w:rPr>
                <w:sz w:val="20"/>
                <w:szCs w:val="20"/>
                <w:color w:val="auto"/>
              </w:rPr>
            </w:pPr>
            <w:r>
              <w:rPr>
                <w:rFonts w:ascii="Arial" w:cs="Arial" w:eastAsia="Arial" w:hAnsi="Arial"/>
                <w:sz w:val="18"/>
                <w:szCs w:val="18"/>
                <w:b w:val="1"/>
                <w:bCs w:val="1"/>
                <w:color w:val="auto"/>
              </w:rPr>
              <w:t>6</w:t>
            </w: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14,597</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4,635</w:t>
            </w: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Digital assets - pledged as collateral</w:t>
            </w:r>
          </w:p>
        </w:tc>
        <w:tc>
          <w:tcPr>
            <w:tcW w:w="25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6, 11</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2,137</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2,070</w:t>
            </w:r>
          </w:p>
        </w:tc>
      </w:tr>
      <w:tr>
        <w:trPr>
          <w:trHeight w:val="216"/>
        </w:trPr>
        <w:tc>
          <w:tcPr>
            <w:tcW w:w="5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Assets held for sale</w:t>
            </w:r>
          </w:p>
        </w:tc>
        <w:tc>
          <w:tcPr>
            <w:tcW w:w="25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1,554</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1,220</w:t>
            </w:r>
          </w:p>
        </w:tc>
      </w:tr>
      <w:tr>
        <w:trPr>
          <w:trHeight w:val="210"/>
        </w:trPr>
        <w:tc>
          <w:tcPr>
            <w:tcW w:w="59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72,058</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69,088</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Non-current</w:t>
            </w:r>
          </w:p>
        </w:tc>
        <w:tc>
          <w:tcPr>
            <w:tcW w:w="2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25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8, 21</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200,530</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219,428</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2560" w:type="dxa"/>
            <w:vAlign w:val="bottom"/>
          </w:tcPr>
          <w:p>
            <w:pPr>
              <w:jc w:val="right"/>
              <w:ind w:right="250"/>
              <w:spacing w:after="0"/>
              <w:rPr>
                <w:sz w:val="20"/>
                <w:szCs w:val="20"/>
                <w:color w:val="auto"/>
              </w:rPr>
            </w:pPr>
            <w:r>
              <w:rPr>
                <w:rFonts w:ascii="Arial" w:cs="Arial" w:eastAsia="Arial" w:hAnsi="Arial"/>
                <w:sz w:val="18"/>
                <w:szCs w:val="18"/>
                <w:b w:val="1"/>
                <w:bCs w:val="1"/>
                <w:color w:val="auto"/>
              </w:rPr>
              <w:t>12</w:t>
            </w: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14,732</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16,364</w:t>
            </w: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deposits, equipment prepayments and other</w:t>
            </w:r>
          </w:p>
        </w:tc>
        <w:tc>
          <w:tcPr>
            <w:tcW w:w="25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38,296</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38,185</w:t>
            </w:r>
          </w:p>
        </w:tc>
      </w:tr>
      <w:tr>
        <w:trPr>
          <w:trHeight w:val="216"/>
        </w:trPr>
        <w:tc>
          <w:tcPr>
            <w:tcW w:w="5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Intangible assets</w:t>
            </w:r>
          </w:p>
        </w:tc>
        <w:tc>
          <w:tcPr>
            <w:tcW w:w="25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21</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r>
      <w:tr>
        <w:trPr>
          <w:trHeight w:val="216"/>
        </w:trPr>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5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325,637</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343,098</w:t>
            </w: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Trade payables and accrued liabilities</w:t>
            </w:r>
          </w:p>
        </w:tc>
        <w:tc>
          <w:tcPr>
            <w:tcW w:w="2560" w:type="dxa"/>
            <w:vAlign w:val="bottom"/>
          </w:tcPr>
          <w:p>
            <w:pPr>
              <w:jc w:val="right"/>
              <w:ind w:right="250"/>
              <w:spacing w:after="0"/>
              <w:rPr>
                <w:sz w:val="20"/>
                <w:szCs w:val="20"/>
                <w:color w:val="auto"/>
              </w:rPr>
            </w:pPr>
            <w:r>
              <w:rPr>
                <w:rFonts w:ascii="Arial" w:cs="Arial" w:eastAsia="Arial" w:hAnsi="Arial"/>
                <w:sz w:val="18"/>
                <w:szCs w:val="18"/>
                <w:b w:val="1"/>
                <w:bCs w:val="1"/>
                <w:color w:val="auto"/>
              </w:rPr>
              <w:t>10</w:t>
            </w: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18,875</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20,541</w:t>
            </w: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5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15,556</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43,054</w:t>
            </w:r>
          </w:p>
        </w:tc>
      </w:tr>
      <w:tr>
        <w:trPr>
          <w:trHeight w:val="216"/>
        </w:trPr>
        <w:tc>
          <w:tcPr>
            <w:tcW w:w="5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Current portion of lease liabilities</w:t>
            </w:r>
          </w:p>
        </w:tc>
        <w:tc>
          <w:tcPr>
            <w:tcW w:w="2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12</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2,982</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3,649</w:t>
            </w:r>
          </w:p>
        </w:tc>
      </w:tr>
      <w:tr>
        <w:trPr>
          <w:trHeight w:val="210"/>
        </w:trPr>
        <w:tc>
          <w:tcPr>
            <w:tcW w:w="59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37,413</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67,244</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Non-current</w:t>
            </w:r>
          </w:p>
        </w:tc>
        <w:tc>
          <w:tcPr>
            <w:tcW w:w="2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5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73</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4,093</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Lease liabilities</w:t>
            </w:r>
          </w:p>
        </w:tc>
        <w:tc>
          <w:tcPr>
            <w:tcW w:w="2560" w:type="dxa"/>
            <w:vAlign w:val="bottom"/>
          </w:tcPr>
          <w:p>
            <w:pPr>
              <w:jc w:val="right"/>
              <w:ind w:right="250"/>
              <w:spacing w:after="0"/>
              <w:rPr>
                <w:sz w:val="20"/>
                <w:szCs w:val="20"/>
                <w:color w:val="auto"/>
              </w:rPr>
            </w:pPr>
            <w:r>
              <w:rPr>
                <w:rFonts w:ascii="Arial" w:cs="Arial" w:eastAsia="Arial" w:hAnsi="Arial"/>
                <w:sz w:val="18"/>
                <w:szCs w:val="18"/>
                <w:b w:val="1"/>
                <w:bCs w:val="1"/>
                <w:color w:val="auto"/>
              </w:rPr>
              <w:t>12</w:t>
            </w: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13,122</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14,215</w:t>
            </w:r>
          </w:p>
        </w:tc>
      </w:tr>
      <w:tr>
        <w:trPr>
          <w:trHeight w:val="216"/>
        </w:trPr>
        <w:tc>
          <w:tcPr>
            <w:tcW w:w="5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Asset retirement provision</w:t>
            </w:r>
          </w:p>
        </w:tc>
        <w:tc>
          <w:tcPr>
            <w:tcW w:w="2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14</w:t>
            </w: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2,284</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1,979</w:t>
            </w:r>
          </w:p>
        </w:tc>
      </w:tr>
      <w:tr>
        <w:trPr>
          <w:trHeight w:val="217"/>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25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52,892</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87,531</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Share capital</w:t>
            </w:r>
          </w:p>
        </w:tc>
        <w:tc>
          <w:tcPr>
            <w:tcW w:w="2560" w:type="dxa"/>
            <w:vAlign w:val="bottom"/>
          </w:tcPr>
          <w:p>
            <w:pPr>
              <w:spacing w:after="0"/>
              <w:rPr>
                <w:sz w:val="18"/>
                <w:szCs w:val="18"/>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467,281</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429,120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Contributed surplus</w:t>
            </w:r>
          </w:p>
        </w:tc>
        <w:tc>
          <w:tcPr>
            <w:tcW w:w="25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70,098</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65,512</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Revaluation surplus</w:t>
            </w:r>
          </w:p>
        </w:tc>
        <w:tc>
          <w:tcPr>
            <w:tcW w:w="2560" w:type="dxa"/>
            <w:vAlign w:val="bottom"/>
          </w:tcPr>
          <w:p>
            <w:pPr>
              <w:spacing w:after="0"/>
              <w:rPr>
                <w:sz w:val="18"/>
                <w:szCs w:val="18"/>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1,144</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5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(265,778)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(239,065)</w:t>
            </w:r>
          </w:p>
        </w:tc>
      </w:tr>
      <w:tr>
        <w:trPr>
          <w:trHeight w:val="209"/>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equity</w:t>
            </w:r>
          </w:p>
        </w:tc>
        <w:tc>
          <w:tcPr>
            <w:tcW w:w="25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272,745</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255,567</w:t>
            </w:r>
          </w:p>
        </w:tc>
      </w:tr>
      <w:tr>
        <w:trPr>
          <w:trHeight w:val="217"/>
        </w:trPr>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25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325,637</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343,098</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gridSpan w:val="5"/>
          </w:tcPr>
          <w:p>
            <w:pPr>
              <w:spacing w:after="0"/>
              <w:rPr>
                <w:sz w:val="20"/>
                <w:szCs w:val="20"/>
                <w:color w:val="auto"/>
              </w:rPr>
            </w:pPr>
            <w:r>
              <w:rPr>
                <w:rFonts w:ascii="Arial" w:cs="Arial" w:eastAsia="Arial" w:hAnsi="Arial"/>
                <w:sz w:val="18"/>
                <w:szCs w:val="18"/>
                <w:color w:val="auto"/>
              </w:rPr>
              <w:t>Should be read in conjunction with the notes to the interim condensed consolidated financial statements</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66"/>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August 4, 2023</w:t>
            </w:r>
          </w:p>
        </w:tc>
        <w:tc>
          <w:tcPr>
            <w:tcW w:w="100" w:type="dxa"/>
            <w:vAlign w:val="bottom"/>
          </w:tcPr>
          <w:p>
            <w:pPr>
              <w:spacing w:after="0"/>
              <w:rPr>
                <w:sz w:val="24"/>
                <w:szCs w:val="24"/>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/s/ Nicolas Bonta</w:t>
            </w:r>
          </w:p>
        </w:tc>
        <w:tc>
          <w:tcPr>
            <w:tcW w:w="120" w:type="dxa"/>
            <w:vAlign w:val="bottom"/>
          </w:tcPr>
          <w:p>
            <w:pPr>
              <w:spacing w:after="0"/>
              <w:rPr>
                <w:sz w:val="24"/>
                <w:szCs w:val="24"/>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/s/ Geoffrey Morphy</w:t>
            </w:r>
          </w:p>
        </w:tc>
        <w:tc>
          <w:tcPr>
            <w:tcW w:w="100" w:type="dxa"/>
            <w:vAlign w:val="bottom"/>
          </w:tcPr>
          <w:p>
            <w:pPr>
              <w:spacing w:after="0"/>
              <w:rPr>
                <w:sz w:val="24"/>
                <w:szCs w:val="24"/>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6"/>
              </w:rPr>
              <w:t>/s/ Jeffrey Lucas</w:t>
            </w:r>
          </w:p>
        </w:tc>
      </w:tr>
      <w:tr>
        <w:trPr>
          <w:trHeight w:val="198"/>
        </w:trPr>
        <w:tc>
          <w:tcPr>
            <w:tcW w:w="28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Date of approval of the financial</w:t>
            </w:r>
          </w:p>
        </w:tc>
        <w:tc>
          <w:tcPr>
            <w:tcW w:w="100" w:type="dxa"/>
            <w:vAlign w:val="bottom"/>
          </w:tcPr>
          <w:p>
            <w:pPr>
              <w:spacing w:after="0"/>
              <w:rPr>
                <w:sz w:val="17"/>
                <w:szCs w:val="17"/>
                <w:color w:val="auto"/>
              </w:rPr>
            </w:pPr>
          </w:p>
        </w:tc>
        <w:tc>
          <w:tcPr>
            <w:tcW w:w="2700" w:type="dxa"/>
            <w:vAlign w:val="bottom"/>
          </w:tcPr>
          <w:p>
            <w:pPr>
              <w:ind w:left="380"/>
              <w:spacing w:after="0" w:line="198" w:lineRule="exact"/>
              <w:rPr>
                <w:sz w:val="20"/>
                <w:szCs w:val="20"/>
                <w:color w:val="auto"/>
              </w:rPr>
            </w:pPr>
            <w:r>
              <w:rPr>
                <w:rFonts w:ascii="Arial" w:cs="Arial" w:eastAsia="Arial" w:hAnsi="Arial"/>
                <w:sz w:val="18"/>
                <w:szCs w:val="18"/>
                <w:b w:val="1"/>
                <w:bCs w:val="1"/>
                <w:color w:val="auto"/>
              </w:rPr>
              <w:t>Chairman of the Board of</w:t>
            </w:r>
          </w:p>
        </w:tc>
        <w:tc>
          <w:tcPr>
            <w:tcW w:w="120" w:type="dxa"/>
            <w:vAlign w:val="bottom"/>
          </w:tcPr>
          <w:p>
            <w:pPr>
              <w:spacing w:after="0"/>
              <w:rPr>
                <w:sz w:val="17"/>
                <w:szCs w:val="17"/>
                <w:color w:val="auto"/>
              </w:rPr>
            </w:pPr>
          </w:p>
        </w:tc>
        <w:tc>
          <w:tcPr>
            <w:tcW w:w="27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President &amp; Chief Executive</w:t>
            </w:r>
          </w:p>
        </w:tc>
        <w:tc>
          <w:tcPr>
            <w:tcW w:w="100" w:type="dxa"/>
            <w:vAlign w:val="bottom"/>
          </w:tcPr>
          <w:p>
            <w:pPr>
              <w:spacing w:after="0"/>
              <w:rPr>
                <w:sz w:val="17"/>
                <w:szCs w:val="17"/>
                <w:color w:val="auto"/>
              </w:rPr>
            </w:pPr>
          </w:p>
        </w:tc>
        <w:tc>
          <w:tcPr>
            <w:tcW w:w="27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86"/>
              </w:rPr>
              <w:t>statements</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1"/>
              </w:rPr>
              <w:t>Directors</w:t>
            </w:r>
          </w:p>
        </w:tc>
        <w:tc>
          <w:tcPr>
            <w:tcW w:w="12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6"/>
              </w:rPr>
              <w:t>Officer</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680"/>
        <w:spacing w:after="0"/>
        <w:rPr>
          <w:sz w:val="20"/>
          <w:szCs w:val="20"/>
          <w:color w:val="auto"/>
        </w:rPr>
      </w:pPr>
      <w:r>
        <w:rPr>
          <w:rFonts w:ascii="Arial" w:cs="Arial" w:eastAsia="Arial" w:hAnsi="Arial"/>
          <w:sz w:val="15"/>
          <w:szCs w:val="15"/>
          <w:color w:val="auto"/>
        </w:rPr>
        <w:t>3 | Page</w:t>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right="2240"/>
        <w:spacing w:after="0" w:line="260" w:lineRule="auto"/>
        <w:rPr>
          <w:sz w:val="20"/>
          <w:szCs w:val="20"/>
          <w:color w:val="auto"/>
        </w:rPr>
      </w:pPr>
      <w:r>
        <w:rPr>
          <w:rFonts w:ascii="Arial" w:cs="Arial" w:eastAsia="Arial" w:hAnsi="Arial"/>
          <w:sz w:val="18"/>
          <w:szCs w:val="18"/>
          <w:b w:val="1"/>
          <w:bCs w:val="1"/>
          <w:color w:val="auto"/>
        </w:rPr>
        <w:t xml:space="preserve">INTERIM CONSOLIDATED STATEMENTS OF PROFIT OR LOSS AND COMPREHENSIVE PROFIT OR LOSS </w:t>
      </w:r>
      <w:r>
        <w:rPr>
          <w:rFonts w:ascii="Arial" w:cs="Arial" w:eastAsia="Arial" w:hAnsi="Arial"/>
          <w:sz w:val="18"/>
          <w:szCs w:val="18"/>
          <w:color w:val="auto"/>
        </w:rPr>
        <w:t>(Expressed in thousands of U.S. dollars, except per share amounts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w w:val="94"/>
              </w:rPr>
              <w:t>Three months ended June 30,</w:t>
            </w:r>
          </w:p>
        </w:tc>
        <w:tc>
          <w:tcPr>
            <w:tcW w:w="25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w w:val="95"/>
              </w:rPr>
              <w:t>Six months ended June 30,</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Notes</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6, 21</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35,479</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41,815</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65,529</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82,144</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revenues</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41,519</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32,311</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79,922</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55,603</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Gross (loss) profit</w:t>
            </w:r>
          </w:p>
        </w:tc>
        <w:tc>
          <w:tcPr>
            <w:tcW w:w="1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(6,040)</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9,504</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(14,393)</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26,541</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9,155</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15,392</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17,515</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29,235</w:t>
            </w: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Realized loss on disposition of digital assets</w:t>
            </w: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6</w:t>
            </w: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77,880</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77,914</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(Reversal of) revaluation loss on digital assets</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70,475</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(2,695)</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66,773</w:t>
            </w:r>
          </w:p>
        </w:tc>
        <w:tc>
          <w:tcPr>
            <w:tcW w:w="0" w:type="dxa"/>
            <w:vAlign w:val="bottom"/>
          </w:tcPr>
          <w:p>
            <w:pPr>
              <w:spacing w:after="0"/>
              <w:rPr>
                <w:sz w:val="1"/>
                <w:szCs w:val="1"/>
                <w:color w:val="auto"/>
              </w:rPr>
            </w:pPr>
          </w:p>
        </w:tc>
      </w:tr>
      <w:tr>
        <w:trPr>
          <w:trHeight w:val="202"/>
        </w:trPr>
        <w:tc>
          <w:tcPr>
            <w:tcW w:w="4780" w:type="dxa"/>
            <w:vAlign w:val="bottom"/>
          </w:tcPr>
          <w:p>
            <w:pPr>
              <w:ind w:left="180"/>
              <w:spacing w:after="0" w:line="201" w:lineRule="exact"/>
              <w:rPr>
                <w:sz w:val="20"/>
                <w:szCs w:val="20"/>
                <w:color w:val="auto"/>
              </w:rPr>
            </w:pPr>
            <w:r>
              <w:rPr>
                <w:rFonts w:ascii="Arial" w:cs="Arial" w:eastAsia="Arial" w:hAnsi="Arial"/>
                <w:sz w:val="18"/>
                <w:szCs w:val="18"/>
                <w:color w:val="auto"/>
              </w:rPr>
              <w:t>(Gain) loss on disposition of property, plant and</w:t>
            </w:r>
          </w:p>
        </w:tc>
        <w:tc>
          <w:tcPr>
            <w:tcW w:w="1120" w:type="dxa"/>
            <w:vAlign w:val="bottom"/>
          </w:tcPr>
          <w:p>
            <w:pPr>
              <w:spacing w:after="0"/>
              <w:rPr>
                <w:sz w:val="17"/>
                <w:szCs w:val="17"/>
                <w:color w:val="auto"/>
              </w:rPr>
            </w:pPr>
          </w:p>
        </w:tc>
        <w:tc>
          <w:tcPr>
            <w:tcW w:w="14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w:t>
            </w:r>
          </w:p>
        </w:tc>
        <w:tc>
          <w:tcPr>
            <w:tcW w:w="1340" w:type="dxa"/>
            <w:vAlign w:val="bottom"/>
          </w:tcPr>
          <w:p>
            <w:pPr>
              <w:spacing w:after="0"/>
              <w:rPr>
                <w:sz w:val="17"/>
                <w:szCs w:val="17"/>
                <w:color w:val="auto"/>
              </w:rPr>
            </w:pPr>
          </w:p>
        </w:tc>
        <w:tc>
          <w:tcPr>
            <w:tcW w:w="13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1,559</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340"/>
              <w:spacing w:after="0"/>
              <w:rPr>
                <w:sz w:val="20"/>
                <w:szCs w:val="20"/>
                <w:color w:val="auto"/>
              </w:rPr>
            </w:pPr>
            <w:r>
              <w:rPr>
                <w:rFonts w:ascii="Arial" w:cs="Arial" w:eastAsia="Arial" w:hAnsi="Arial"/>
                <w:sz w:val="18"/>
                <w:szCs w:val="18"/>
                <w:color w:val="auto"/>
              </w:rPr>
              <w:t>equipment</w:t>
            </w:r>
          </w:p>
        </w:tc>
        <w:tc>
          <w:tcPr>
            <w:tcW w:w="112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948</w:t>
            </w:r>
          </w:p>
        </w:tc>
        <w:tc>
          <w:tcPr>
            <w:tcW w:w="1360" w:type="dxa"/>
            <w:vAlign w:val="bottom"/>
            <w:vMerge w:val="continue"/>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Impairment on short-term prepaid deposits and property,</w:t>
            </w:r>
          </w:p>
        </w:tc>
        <w:tc>
          <w:tcPr>
            <w:tcW w:w="11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w:t>
            </w:r>
          </w:p>
        </w:tc>
        <w:tc>
          <w:tcPr>
            <w:tcW w:w="14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9,982</w:t>
            </w:r>
          </w:p>
        </w:tc>
        <w:tc>
          <w:tcPr>
            <w:tcW w:w="13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9,982</w:t>
            </w: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plant and equipment</w:t>
            </w:r>
          </w:p>
        </w:tc>
        <w:tc>
          <w:tcPr>
            <w:tcW w:w="1120" w:type="dxa"/>
            <w:vAlign w:val="bottom"/>
            <w:vMerge w:val="continue"/>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Impairment on goodwill</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17,900</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17,900</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(25,170)</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(173,091)</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(40,754)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(166,217)</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financial income</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w:t>
            </w: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(182)</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(11,857)</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(12,370)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(15,940)</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loss before income taxes</w:t>
            </w:r>
          </w:p>
        </w:tc>
        <w:tc>
          <w:tcPr>
            <w:tcW w:w="1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(24,988)</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(161,234)</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(28,384)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(150,277)</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recovery</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w:t>
            </w: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(94)</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(19,316)</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(424)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(12,878)</w:t>
            </w:r>
          </w:p>
        </w:tc>
        <w:tc>
          <w:tcPr>
            <w:tcW w:w="0" w:type="dxa"/>
            <w:vAlign w:val="bottom"/>
          </w:tcPr>
          <w:p>
            <w:pPr>
              <w:spacing w:after="0"/>
              <w:rPr>
                <w:sz w:val="1"/>
                <w:szCs w:val="1"/>
                <w:color w:val="auto"/>
              </w:rPr>
            </w:pPr>
          </w:p>
        </w:tc>
      </w:tr>
      <w:tr>
        <w:trPr>
          <w:trHeight w:val="217"/>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(24,894)</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(141,918)</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(27,960)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(137,399)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1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Item that will not be reclassified to profit or loss:</w:t>
            </w: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Change in revaluation surplus - digital assets, net of tax</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w:t>
            </w: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579</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2,391</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comprehensive loss, net of tax</w:t>
            </w:r>
          </w:p>
        </w:tc>
        <w:tc>
          <w:tcPr>
            <w:tcW w:w="1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(24,315)</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(141,918)</w:t>
            </w: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(25,569)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(137,399)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18</w:t>
            </w: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(0.10)</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(0.70)</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(0.12)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191"/>
        </w:trPr>
        <w:tc>
          <w:tcPr>
            <w:tcW w:w="4780" w:type="dxa"/>
            <w:vAlign w:val="bottom"/>
          </w:tcPr>
          <w:p>
            <w:pPr>
              <w:spacing w:after="0" w:line="191" w:lineRule="exact"/>
              <w:rPr>
                <w:sz w:val="20"/>
                <w:szCs w:val="20"/>
                <w:color w:val="auto"/>
              </w:rPr>
            </w:pPr>
            <w:r>
              <w:rPr>
                <w:rFonts w:ascii="Arial" w:cs="Arial" w:eastAsia="Arial" w:hAnsi="Arial"/>
                <w:sz w:val="18"/>
                <w:szCs w:val="18"/>
                <w:b w:val="1"/>
                <w:bCs w:val="1"/>
                <w:color w:val="auto"/>
              </w:rPr>
              <w:t>Weighted average number of common shares</w:t>
            </w:r>
          </w:p>
        </w:tc>
        <w:tc>
          <w:tcPr>
            <w:tcW w:w="1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180"/>
              <w:spacing w:after="0"/>
              <w:rPr>
                <w:sz w:val="20"/>
                <w:szCs w:val="20"/>
                <w:color w:val="auto"/>
              </w:rPr>
            </w:pPr>
            <w:r>
              <w:rPr>
                <w:rFonts w:ascii="Arial" w:cs="Arial" w:eastAsia="Arial" w:hAnsi="Arial"/>
                <w:sz w:val="18"/>
                <w:szCs w:val="18"/>
                <w:b w:val="1"/>
                <w:bCs w:val="1"/>
                <w:color w:val="auto"/>
              </w:rPr>
              <w:t>outstanding</w:t>
            </w: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18</w:t>
            </w:r>
          </w:p>
        </w:tc>
        <w:tc>
          <w:tcPr>
            <w:tcW w:w="1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246,129,000</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203,503,000</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239,372,000</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200,515,000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680"/>
        <w:spacing w:after="0"/>
        <w:rPr>
          <w:sz w:val="20"/>
          <w:szCs w:val="20"/>
          <w:color w:val="auto"/>
        </w:rPr>
      </w:pPr>
      <w:r>
        <w:rPr>
          <w:rFonts w:ascii="Arial" w:cs="Arial" w:eastAsia="Arial" w:hAnsi="Arial"/>
          <w:sz w:val="15"/>
          <w:szCs w:val="15"/>
          <w:color w:val="auto"/>
        </w:rPr>
        <w:t>4 | Page</w:t>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ind w:right="5460"/>
        <w:spacing w:after="0" w:line="323" w:lineRule="auto"/>
        <w:rPr>
          <w:sz w:val="20"/>
          <w:szCs w:val="20"/>
          <w:color w:val="auto"/>
        </w:rPr>
      </w:pPr>
      <w:r>
        <w:rPr>
          <w:rFonts w:ascii="Arial" w:cs="Arial" w:eastAsia="Arial" w:hAnsi="Arial"/>
          <w:sz w:val="16"/>
          <w:szCs w:val="16"/>
          <w:b w:val="1"/>
          <w:bCs w:val="1"/>
          <w:color w:val="auto"/>
        </w:rPr>
        <w:t xml:space="preserve">INTERIM CONSOLIDATED STATEMENTS OF CHANGES IN EQUITY </w:t>
      </w:r>
      <w:r>
        <w:rPr>
          <w:rFonts w:ascii="Arial" w:cs="Arial" w:eastAsia="Arial" w:hAnsi="Arial"/>
          <w:sz w:val="16"/>
          <w:szCs w:val="16"/>
          <w:color w:val="auto"/>
        </w:rPr>
        <w:t>(Expressed in thousands of U.S. dollars, except number of shares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earnings</w:t>
            </w: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Share</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6"/>
              </w:rPr>
              <w:t>Contributed</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(accumulated</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Revaluation</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6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Notes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capital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surplus</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deficit)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surplus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2023</w:t>
            </w:r>
          </w:p>
        </w:tc>
        <w:tc>
          <w:tcPr>
            <w:tcW w:w="7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224,200,000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429,120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65,512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(239,065)</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255,567</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(27,960)</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(27,960)</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revaluation surplus - digital assets, net of tax</w:t>
            </w:r>
          </w:p>
        </w:tc>
        <w:tc>
          <w:tcPr>
            <w:tcW w:w="7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2,391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2,391</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comprehensive loss, net of tax</w:t>
            </w:r>
          </w:p>
        </w:tc>
        <w:tc>
          <w:tcPr>
            <w:tcW w:w="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(27,960)</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2,391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(25,569)</w:t>
            </w:r>
          </w:p>
        </w:tc>
        <w:tc>
          <w:tcPr>
            <w:tcW w:w="0" w:type="dxa"/>
            <w:vAlign w:val="bottom"/>
          </w:tcPr>
          <w:p>
            <w:pPr>
              <w:spacing w:after="0"/>
              <w:rPr>
                <w:sz w:val="1"/>
                <w:szCs w:val="1"/>
                <w:color w:val="auto"/>
              </w:rPr>
            </w:pPr>
          </w:p>
        </w:tc>
      </w:tr>
      <w:tr>
        <w:trPr>
          <w:trHeight w:val="195"/>
        </w:trPr>
        <w:tc>
          <w:tcPr>
            <w:tcW w:w="4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Transfer of revaluation surplus on disposal of digital assets to</w:t>
            </w:r>
          </w:p>
        </w:tc>
        <w:tc>
          <w:tcPr>
            <w:tcW w:w="7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1,247</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(1,247)</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 net of tax</w:t>
            </w:r>
          </w:p>
        </w:tc>
        <w:tc>
          <w:tcPr>
            <w:tcW w:w="72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Share-based payment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4,998</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4,998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33,551,000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37,587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37,587</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Settlement of restricted share units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108,000</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17"/>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as of June 30, 2023</w:t>
            </w:r>
          </w:p>
        </w:tc>
        <w:tc>
          <w:tcPr>
            <w:tcW w:w="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258,259,000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467,281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70,098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(265,778)</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1,144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272,745</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as of January 1, 2022</w:t>
            </w:r>
          </w:p>
        </w:tc>
        <w:tc>
          <w:tcPr>
            <w:tcW w:w="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194,806,000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378,893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422,582</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(137,399)</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(137,399)</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Share-based payment</w:t>
            </w: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14,032</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14,032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and warrants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11,478,000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35,947</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Exercise of stock options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2022</w:t>
            </w:r>
          </w:p>
        </w:tc>
        <w:tc>
          <w:tcPr>
            <w:tcW w:w="7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206,339,000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414,853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(137,414)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335,185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680"/>
        <w:spacing w:after="0"/>
        <w:rPr>
          <w:sz w:val="20"/>
          <w:szCs w:val="20"/>
          <w:color w:val="auto"/>
        </w:rPr>
      </w:pPr>
      <w:r>
        <w:rPr>
          <w:rFonts w:ascii="Arial" w:cs="Arial" w:eastAsia="Arial" w:hAnsi="Arial"/>
          <w:sz w:val="15"/>
          <w:szCs w:val="15"/>
          <w:color w:val="auto"/>
        </w:rPr>
        <w:t>5 | Page</w:t>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number of shares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8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Notes</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426"/>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(used in) operating activities</w:t>
            </w:r>
          </w:p>
        </w:tc>
        <w:tc>
          <w:tcPr>
            <w:tcW w:w="1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w w:val="94"/>
              </w:rPr>
              <w:t>(Revised - Note 3d)</w:t>
            </w:r>
          </w:p>
        </w:tc>
        <w:tc>
          <w:tcPr>
            <w:tcW w:w="0" w:type="dxa"/>
            <w:vAlign w:val="bottom"/>
          </w:tcPr>
          <w:p>
            <w:pPr>
              <w:spacing w:after="0"/>
              <w:rPr>
                <w:sz w:val="1"/>
                <w:szCs w:val="1"/>
                <w:color w:val="auto"/>
              </w:rPr>
            </w:pPr>
          </w:p>
        </w:tc>
      </w:tr>
      <w:tr>
        <w:trPr>
          <w:trHeight w:val="216"/>
        </w:trPr>
        <w:tc>
          <w:tcPr>
            <w:tcW w:w="678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(27,960)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(137,399)</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Adjustments for:</w:t>
            </w:r>
          </w:p>
        </w:tc>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41,228</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30,923</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Impairment on short-term prepaid deposits and property, plant and equipment</w:t>
            </w:r>
          </w:p>
        </w:tc>
        <w:tc>
          <w:tcPr>
            <w:tcW w:w="1820" w:type="dxa"/>
            <w:vAlign w:val="bottom"/>
          </w:tcPr>
          <w:p>
            <w:pPr>
              <w:jc w:val="right"/>
              <w:ind w:right="230"/>
              <w:spacing w:after="0"/>
              <w:rPr>
                <w:sz w:val="20"/>
                <w:szCs w:val="20"/>
                <w:color w:val="auto"/>
              </w:rPr>
            </w:pPr>
            <w:r>
              <w:rPr>
                <w:rFonts w:ascii="Arial" w:cs="Arial" w:eastAsia="Arial" w:hAnsi="Arial"/>
                <w:sz w:val="18"/>
                <w:szCs w:val="18"/>
                <w:b w:val="1"/>
                <w:bCs w:val="1"/>
                <w:color w:val="auto"/>
              </w:rPr>
              <w:t>7</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9,982</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on goodwill</w:t>
            </w:r>
          </w:p>
        </w:tc>
        <w:tc>
          <w:tcPr>
            <w:tcW w:w="1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7</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17,900</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Net financial income</w:t>
            </w:r>
          </w:p>
        </w:tc>
        <w:tc>
          <w:tcPr>
            <w:tcW w:w="1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(12,370)</w:t>
            </w:r>
          </w:p>
        </w:tc>
        <w:tc>
          <w:tcPr>
            <w:tcW w:w="1620" w:type="dxa"/>
            <w:vAlign w:val="bottom"/>
          </w:tcPr>
          <w:p>
            <w:pPr>
              <w:jc w:val="right"/>
              <w:spacing w:after="0"/>
              <w:rPr>
                <w:sz w:val="20"/>
                <w:szCs w:val="20"/>
                <w:color w:val="auto"/>
              </w:rPr>
            </w:pPr>
            <w:r>
              <w:rPr>
                <w:rFonts w:ascii="Arial" w:cs="Arial" w:eastAsia="Arial" w:hAnsi="Arial"/>
                <w:sz w:val="18"/>
                <w:szCs w:val="18"/>
                <w:color w:val="auto"/>
              </w:rPr>
              <w:t>(15,940)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Digital assets mined</w:t>
            </w:r>
          </w:p>
        </w:tc>
        <w:tc>
          <w:tcPr>
            <w:tcW w:w="1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(63,451)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(80,773)</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Proceeds from sale of digital assets mined</w:t>
            </w:r>
          </w:p>
        </w:tc>
        <w:tc>
          <w:tcPr>
            <w:tcW w:w="1820" w:type="dxa"/>
            <w:vAlign w:val="bottom"/>
          </w:tcPr>
          <w:p>
            <w:pPr>
              <w:jc w:val="right"/>
              <w:ind w:right="230"/>
              <w:spacing w:after="0"/>
              <w:rPr>
                <w:sz w:val="20"/>
                <w:szCs w:val="20"/>
                <w:color w:val="auto"/>
              </w:rPr>
            </w:pPr>
            <w:r>
              <w:rPr>
                <w:rFonts w:ascii="Arial" w:cs="Arial" w:eastAsia="Arial" w:hAnsi="Arial"/>
                <w:sz w:val="18"/>
                <w:szCs w:val="18"/>
                <w:b w:val="1"/>
                <w:bCs w:val="1"/>
                <w:color w:val="auto"/>
              </w:rPr>
              <w:t>6</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59,370</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58,459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Realized loss on disposition of digital assets</w:t>
            </w:r>
          </w:p>
        </w:tc>
        <w:tc>
          <w:tcPr>
            <w:tcW w:w="1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6</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77,914</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(Reversal of) revaluation loss on digital assets</w:t>
            </w:r>
          </w:p>
        </w:tc>
        <w:tc>
          <w:tcPr>
            <w:tcW w:w="1820" w:type="dxa"/>
            <w:vAlign w:val="bottom"/>
          </w:tcPr>
          <w:p>
            <w:pPr>
              <w:jc w:val="right"/>
              <w:ind w:right="230"/>
              <w:spacing w:after="0"/>
              <w:rPr>
                <w:sz w:val="20"/>
                <w:szCs w:val="20"/>
                <w:color w:val="auto"/>
              </w:rPr>
            </w:pPr>
            <w:r>
              <w:rPr>
                <w:rFonts w:ascii="Arial" w:cs="Arial" w:eastAsia="Arial" w:hAnsi="Arial"/>
                <w:sz w:val="18"/>
                <w:szCs w:val="18"/>
                <w:b w:val="1"/>
                <w:bCs w:val="1"/>
                <w:color w:val="auto"/>
              </w:rPr>
              <w:t>6</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(2,695)</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66,773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payment</w:t>
            </w:r>
          </w:p>
        </w:tc>
        <w:tc>
          <w:tcPr>
            <w:tcW w:w="1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19</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4,998</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14,032</w:t>
            </w: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Income tax recovery</w:t>
            </w:r>
          </w:p>
        </w:tc>
        <w:tc>
          <w:tcPr>
            <w:tcW w:w="1820" w:type="dxa"/>
            <w:vAlign w:val="bottom"/>
          </w:tcPr>
          <w:p>
            <w:pPr>
              <w:jc w:val="right"/>
              <w:ind w:right="230"/>
              <w:spacing w:after="0"/>
              <w:rPr>
                <w:sz w:val="20"/>
                <w:szCs w:val="20"/>
                <w:color w:val="auto"/>
              </w:rPr>
            </w:pPr>
            <w:r>
              <w:rPr>
                <w:rFonts w:ascii="Arial" w:cs="Arial" w:eastAsia="Arial" w:hAnsi="Arial"/>
                <w:sz w:val="18"/>
                <w:szCs w:val="18"/>
                <w:b w:val="1"/>
                <w:bCs w:val="1"/>
                <w:color w:val="auto"/>
              </w:rPr>
              <w:t>13</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(424)</w:t>
            </w:r>
          </w:p>
        </w:tc>
        <w:tc>
          <w:tcPr>
            <w:tcW w:w="1620" w:type="dxa"/>
            <w:vAlign w:val="bottom"/>
          </w:tcPr>
          <w:p>
            <w:pPr>
              <w:jc w:val="right"/>
              <w:spacing w:after="0"/>
              <w:rPr>
                <w:sz w:val="20"/>
                <w:szCs w:val="20"/>
                <w:color w:val="auto"/>
              </w:rPr>
            </w:pPr>
            <w:r>
              <w:rPr>
                <w:rFonts w:ascii="Arial" w:cs="Arial" w:eastAsia="Arial" w:hAnsi="Arial"/>
                <w:sz w:val="18"/>
                <w:szCs w:val="18"/>
                <w:color w:val="auto"/>
              </w:rPr>
              <w:t>(12,878)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disposition of property, plant and equipment</w:t>
            </w:r>
          </w:p>
        </w:tc>
        <w:tc>
          <w:tcPr>
            <w:tcW w:w="18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1,559</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Interest and financial expenses paid</w:t>
            </w:r>
          </w:p>
        </w:tc>
        <w:tc>
          <w:tcPr>
            <w:tcW w:w="18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(4,947)</w:t>
            </w:r>
          </w:p>
        </w:tc>
        <w:tc>
          <w:tcPr>
            <w:tcW w:w="1620" w:type="dxa"/>
            <w:vAlign w:val="bottom"/>
          </w:tcPr>
          <w:p>
            <w:pPr>
              <w:jc w:val="right"/>
              <w:spacing w:after="0"/>
              <w:rPr>
                <w:sz w:val="20"/>
                <w:szCs w:val="20"/>
                <w:color w:val="auto"/>
              </w:rPr>
            </w:pPr>
            <w:r>
              <w:rPr>
                <w:rFonts w:ascii="Arial" w:cs="Arial" w:eastAsia="Arial" w:hAnsi="Arial"/>
                <w:sz w:val="18"/>
                <w:szCs w:val="18"/>
                <w:color w:val="auto"/>
              </w:rPr>
              <w:t>(8,982)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8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(13,170)</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non-cash working capital components</w:t>
            </w: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(9,540)</w:t>
            </w:r>
          </w:p>
        </w:tc>
        <w:tc>
          <w:tcPr>
            <w:tcW w:w="0" w:type="dxa"/>
            <w:vAlign w:val="bottom"/>
          </w:tcPr>
          <w:p>
            <w:pPr>
              <w:spacing w:after="0"/>
              <w:rPr>
                <w:sz w:val="1"/>
                <w:szCs w:val="1"/>
                <w:color w:val="auto"/>
              </w:rPr>
            </w:pPr>
          </w:p>
        </w:tc>
      </w:tr>
      <w:tr>
        <w:trPr>
          <w:trHeight w:val="210"/>
        </w:trPr>
        <w:tc>
          <w:tcPr>
            <w:tcW w:w="6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 related to operating activities</w:t>
            </w:r>
          </w:p>
        </w:tc>
        <w:tc>
          <w:tcPr>
            <w:tcW w:w="18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2,472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(11,745)</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18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(19,025)</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(71,253)</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Proceeds from sale of property, plant and equipment</w:t>
            </w:r>
          </w:p>
        </w:tc>
        <w:tc>
          <w:tcPr>
            <w:tcW w:w="18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2,626</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1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(21,368)</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(36,425)</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Proceeds from disposition of marketable securities</w:t>
            </w:r>
          </w:p>
        </w:tc>
        <w:tc>
          <w:tcPr>
            <w:tcW w:w="1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28,494</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67,067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Purchase of digital assets</w:t>
            </w:r>
          </w:p>
        </w:tc>
        <w:tc>
          <w:tcPr>
            <w:tcW w:w="1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6</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Proceeds from sale of digital assets purchased</w:t>
            </w:r>
          </w:p>
        </w:tc>
        <w:tc>
          <w:tcPr>
            <w:tcW w:w="1820" w:type="dxa"/>
            <w:vAlign w:val="bottom"/>
          </w:tcPr>
          <w:p>
            <w:pPr>
              <w:jc w:val="right"/>
              <w:ind w:right="230"/>
              <w:spacing w:after="0"/>
              <w:rPr>
                <w:sz w:val="20"/>
                <w:szCs w:val="20"/>
                <w:color w:val="auto"/>
              </w:rPr>
            </w:pPr>
            <w:r>
              <w:rPr>
                <w:rFonts w:ascii="Arial" w:cs="Arial" w:eastAsia="Arial" w:hAnsi="Arial"/>
                <w:sz w:val="18"/>
                <w:szCs w:val="18"/>
                <w:b w:val="1"/>
                <w:bCs w:val="1"/>
                <w:color w:val="auto"/>
              </w:rPr>
              <w:t>6</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11,516</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Equipment and construction prepayments and other</w:t>
            </w:r>
          </w:p>
        </w:tc>
        <w:tc>
          <w:tcPr>
            <w:tcW w:w="18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(9,956)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(64,172)</w:t>
            </w:r>
          </w:p>
        </w:tc>
        <w:tc>
          <w:tcPr>
            <w:tcW w:w="0" w:type="dxa"/>
            <w:vAlign w:val="bottom"/>
          </w:tcPr>
          <w:p>
            <w:pPr>
              <w:spacing w:after="0"/>
              <w:rPr>
                <w:sz w:val="1"/>
                <w:szCs w:val="1"/>
                <w:color w:val="auto"/>
              </w:rPr>
            </w:pPr>
          </w:p>
        </w:tc>
      </w:tr>
      <w:tr>
        <w:trPr>
          <w:trHeight w:val="209"/>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change in cash related to investing activities</w:t>
            </w:r>
          </w:p>
        </w:tc>
        <w:tc>
          <w:tcPr>
            <w:tcW w:w="18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(19,229)</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(135,750)</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Issuance of common shares</w:t>
            </w:r>
          </w:p>
        </w:tc>
        <w:tc>
          <w:tcPr>
            <w:tcW w:w="1820" w:type="dxa"/>
            <w:vAlign w:val="bottom"/>
          </w:tcPr>
          <w:p>
            <w:pPr>
              <w:jc w:val="right"/>
              <w:ind w:right="230"/>
              <w:spacing w:after="0"/>
              <w:rPr>
                <w:sz w:val="20"/>
                <w:szCs w:val="20"/>
                <w:color w:val="auto"/>
              </w:rPr>
            </w:pPr>
            <w:r>
              <w:rPr>
                <w:rFonts w:ascii="Arial" w:cs="Arial" w:eastAsia="Arial" w:hAnsi="Arial"/>
                <w:sz w:val="18"/>
                <w:szCs w:val="18"/>
                <w:b w:val="1"/>
                <w:bCs w:val="1"/>
                <w:color w:val="auto"/>
              </w:rPr>
              <w:t>15</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37,587</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35,912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1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(18,938)</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(11,103)</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Proceeds from long-term debt</w:t>
            </w:r>
          </w:p>
        </w:tc>
        <w:tc>
          <w:tcPr>
            <w:tcW w:w="1820" w:type="dxa"/>
            <w:vAlign w:val="bottom"/>
          </w:tcPr>
          <w:p>
            <w:pPr>
              <w:jc w:val="right"/>
              <w:ind w:right="230"/>
              <w:spacing w:after="0"/>
              <w:rPr>
                <w:sz w:val="20"/>
                <w:szCs w:val="20"/>
                <w:color w:val="auto"/>
              </w:rPr>
            </w:pPr>
            <w:r>
              <w:rPr>
                <w:rFonts w:ascii="Arial" w:cs="Arial" w:eastAsia="Arial" w:hAnsi="Arial"/>
                <w:sz w:val="18"/>
                <w:szCs w:val="18"/>
                <w:b w:val="1"/>
                <w:bCs w:val="1"/>
                <w:color w:val="auto"/>
              </w:rPr>
              <w:t>11</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67,168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Repayment of lease liabilities</w:t>
            </w:r>
          </w:p>
        </w:tc>
        <w:tc>
          <w:tcPr>
            <w:tcW w:w="1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(2,118)</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820" w:type="dxa"/>
            <w:vAlign w:val="bottom"/>
          </w:tcPr>
          <w:p>
            <w:pPr>
              <w:jc w:val="right"/>
              <w:ind w:right="230"/>
              <w:spacing w:after="0"/>
              <w:rPr>
                <w:sz w:val="20"/>
                <w:szCs w:val="20"/>
                <w:color w:val="auto"/>
              </w:rPr>
            </w:pPr>
            <w:r>
              <w:rPr>
                <w:rFonts w:ascii="Arial" w:cs="Arial" w:eastAsia="Arial" w:hAnsi="Arial"/>
                <w:sz w:val="18"/>
                <w:szCs w:val="18"/>
                <w:b w:val="1"/>
                <w:bCs w:val="1"/>
                <w:color w:val="auto"/>
              </w:rPr>
              <w:t>15, 19</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162</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credit facility</w:t>
            </w:r>
          </w:p>
        </w:tc>
        <w:tc>
          <w:tcPr>
            <w:tcW w:w="18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Repayment of credit facility</w:t>
            </w:r>
          </w:p>
        </w:tc>
        <w:tc>
          <w:tcPr>
            <w:tcW w:w="18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(61,846)</w:t>
            </w:r>
          </w:p>
        </w:tc>
        <w:tc>
          <w:tcPr>
            <w:tcW w:w="0" w:type="dxa"/>
            <w:vAlign w:val="bottom"/>
          </w:tcPr>
          <w:p>
            <w:pPr>
              <w:spacing w:after="0"/>
              <w:rPr>
                <w:sz w:val="1"/>
                <w:szCs w:val="1"/>
                <w:color w:val="auto"/>
              </w:rPr>
            </w:pPr>
          </w:p>
        </w:tc>
      </w:tr>
      <w:tr>
        <w:trPr>
          <w:trHeight w:val="210"/>
        </w:trPr>
        <w:tc>
          <w:tcPr>
            <w:tcW w:w="6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 related to financing activities</w:t>
            </w:r>
          </w:p>
        </w:tc>
        <w:tc>
          <w:tcPr>
            <w:tcW w:w="18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16,693</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67,910</w:t>
            </w:r>
          </w:p>
        </w:tc>
        <w:tc>
          <w:tcPr>
            <w:tcW w:w="0" w:type="dxa"/>
            <w:vAlign w:val="bottom"/>
          </w:tcPr>
          <w:p>
            <w:pPr>
              <w:spacing w:after="0"/>
              <w:rPr>
                <w:sz w:val="1"/>
                <w:szCs w:val="1"/>
                <w:color w:val="auto"/>
              </w:rPr>
            </w:pPr>
          </w:p>
        </w:tc>
      </w:tr>
      <w:tr>
        <w:trPr>
          <w:trHeight w:val="210"/>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increase (decrease) in cash</w:t>
            </w:r>
          </w:p>
        </w:tc>
        <w:tc>
          <w:tcPr>
            <w:tcW w:w="18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(79,585)</w:t>
            </w: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the period</w:t>
            </w:r>
          </w:p>
        </w:tc>
        <w:tc>
          <w:tcPr>
            <w:tcW w:w="18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30,887</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125,595</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Exchange rate differences on currency translation</w:t>
            </w:r>
          </w:p>
        </w:tc>
        <w:tc>
          <w:tcPr>
            <w:tcW w:w="18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68</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end of the period</w:t>
            </w:r>
          </w:p>
        </w:tc>
        <w:tc>
          <w:tcPr>
            <w:tcW w:w="18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30,891</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45,982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680"/>
        <w:spacing w:after="0"/>
        <w:rPr>
          <w:sz w:val="20"/>
          <w:szCs w:val="20"/>
          <w:color w:val="auto"/>
        </w:rPr>
      </w:pPr>
      <w:r>
        <w:rPr>
          <w:rFonts w:ascii="Arial" w:cs="Arial" w:eastAsia="Arial" w:hAnsi="Arial"/>
          <w:sz w:val="15"/>
          <w:szCs w:val="15"/>
          <w:color w:val="auto"/>
        </w:rPr>
        <w:t>6 | Page</w:t>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29" w:lineRule="exact"/>
        <w:rPr>
          <w:sz w:val="20"/>
          <w:szCs w:val="20"/>
          <w:color w:val="auto"/>
        </w:rPr>
      </w:pPr>
    </w:p>
    <w:p>
      <w:pPr>
        <w:jc w:val="both"/>
        <w:ind w:hanging="4"/>
        <w:spacing w:after="0" w:line="311" w:lineRule="auto"/>
        <w:rPr>
          <w:sz w:val="20"/>
          <w:szCs w:val="20"/>
          <w:color w:val="auto"/>
        </w:rPr>
      </w:pPr>
      <w:r>
        <w:rPr>
          <w:rFonts w:ascii="Arial" w:cs="Arial" w:eastAsia="Arial" w:hAnsi="Arial"/>
          <w:sz w:val="16"/>
          <w:szCs w:val="16"/>
          <w:color w:val="auto"/>
        </w:rPr>
        <w:t>Bitfarms Ltd. (the “Company” or “Bitfarms”) was incorporated under the Canada Business Corporations Act on October 11, 2018 and continued under the Business Corporations Act (Ontario) on August 27, 2021. The common shares of the Company are listed on the Nasdaq Stock Market and the Toronto Stock Exchange (NASDAQ/TSX: BITF). Its registered office is located on 18 King Street East, Suite 902, Toronto, Ontario, Canada, M5C 1C4.</w:t>
      </w:r>
    </w:p>
    <w:p>
      <w:pPr>
        <w:spacing w:after="0" w:line="149" w:lineRule="exact"/>
        <w:rPr>
          <w:sz w:val="20"/>
          <w:szCs w:val="20"/>
          <w:color w:val="auto"/>
        </w:rPr>
      </w:pPr>
    </w:p>
    <w:p>
      <w:pPr>
        <w:jc w:val="both"/>
        <w:ind w:left="20" w:hanging="4"/>
        <w:spacing w:after="0" w:line="259" w:lineRule="auto"/>
        <w:rPr>
          <w:sz w:val="20"/>
          <w:szCs w:val="20"/>
          <w:color w:val="auto"/>
        </w:rPr>
      </w:pPr>
      <w:r>
        <w:rPr>
          <w:rFonts w:ascii="Arial" w:cs="Arial" w:eastAsia="Arial" w:hAnsi="Arial"/>
          <w:sz w:val="18"/>
          <w:szCs w:val="18"/>
          <w:color w:val="auto"/>
        </w:rPr>
        <w:t>The activities of the Company mainly consist of selling its computational power for the purpose of cryptocurrency mining in multiple jurisdictions as described in Note 21 “Geographical Information”. The Company’s operations are currently located in Canada, the United States, Argentina and Paraguay. 9159-9290 Quebec Inc. (“Volta”), a wholly-owned subsidiary of the Company, assists the Company in building and maintaining its server farms and provides electrician services to both commercial and residential customers in Quebec.</w:t>
      </w:r>
    </w:p>
    <w:p>
      <w:pPr>
        <w:spacing w:after="0" w:line="187" w:lineRule="exact"/>
        <w:rPr>
          <w:sz w:val="20"/>
          <w:szCs w:val="20"/>
          <w:color w:val="auto"/>
        </w:rPr>
      </w:pPr>
    </w:p>
    <w:p>
      <w:pPr>
        <w:jc w:val="both"/>
        <w:ind w:left="20" w:hanging="4"/>
        <w:spacing w:after="0" w:line="270" w:lineRule="auto"/>
        <w:rPr>
          <w:sz w:val="20"/>
          <w:szCs w:val="20"/>
          <w:color w:val="auto"/>
        </w:rPr>
      </w:pPr>
      <w:r>
        <w:rPr>
          <w:rFonts w:ascii="Arial" w:cs="Arial" w:eastAsia="Arial" w:hAnsi="Arial"/>
          <w:sz w:val="17"/>
          <w:szCs w:val="17"/>
          <w:color w:val="auto"/>
        </w:rPr>
        <w:t>Bitfarms owns and operates server farms comprised of computers (referred to as “Miners”) designed for the purpose of validating transactions on the BTC Blockchain (referred to as “Mining”). Bitfarms generally operates Miners 24 hours a day producing computational power (measured by hashrate) which it sells to Mining Pools under a formula driven rate commonly known in the industry as Full Pay Per Share (“FPPS”). Under FPPS, pools compensate Mining companies for their hashrate based on what the pool would expect to generate in revenue for a given time period if there was no randomness involved. The fee paid by a Mining Pool to Bitfarms for its hashrate may be in cryptocurrency, U.S. dollars, or other currency. Bitfarms accumulates the cryptocurrency fees it receives or exchanges them for U.S. dollars, as determined to be needed, through reputable and established cryptocurrency trading platforms. Mining Pools generate revenue by Mining with purchased hashrate through the accumulation of Block Rewards and transaction fees issued by the BTC network. Mining pools purchase hashrate and accept the risk of rewards not being commensurate with compensation paid with the aim to mine more blocks than their proportionate share in a given time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these financial statements, the terms below have the following definitions: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Term</w:t>
            </w:r>
          </w:p>
        </w:tc>
        <w:tc>
          <w:tcPr>
            <w:tcW w:w="770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b w:val="1"/>
                <w:bCs w:val="1"/>
                <w:color w:val="auto"/>
              </w:rPr>
              <w:t>Definition</w:t>
            </w:r>
          </w:p>
        </w:tc>
      </w:tr>
      <w:tr>
        <w:trPr>
          <w:trHeight w:val="209"/>
        </w:trPr>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w:t>
            </w:r>
          </w:p>
        </w:tc>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Backbone</w:t>
            </w:r>
          </w:p>
        </w:tc>
        <w:tc>
          <w:tcPr>
            <w:tcW w:w="77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Backbone Hosting Solutions Inc.</w:t>
            </w:r>
          </w:p>
        </w:tc>
      </w:tr>
      <w:tr>
        <w:trPr>
          <w:trHeight w:val="216"/>
        </w:trPr>
        <w:tc>
          <w:tcPr>
            <w:tcW w:w="600" w:type="dxa"/>
            <w:vAlign w:val="bottom"/>
          </w:tcPr>
          <w:p>
            <w:pPr>
              <w:ind w:left="60"/>
              <w:spacing w:after="0"/>
              <w:rPr>
                <w:sz w:val="20"/>
                <w:szCs w:val="20"/>
                <w:color w:val="auto"/>
              </w:rPr>
            </w:pPr>
            <w:r>
              <w:rPr>
                <w:rFonts w:ascii="Arial" w:cs="Arial" w:eastAsia="Arial" w:hAnsi="Arial"/>
                <w:sz w:val="18"/>
                <w:szCs w:val="18"/>
                <w:color w:val="auto"/>
              </w:rPr>
              <w:t>2</w:t>
            </w:r>
          </w:p>
        </w:tc>
        <w:tc>
          <w:tcPr>
            <w:tcW w:w="2940" w:type="dxa"/>
            <w:vAlign w:val="bottom"/>
          </w:tcPr>
          <w:p>
            <w:pPr>
              <w:ind w:left="360"/>
              <w:spacing w:after="0"/>
              <w:rPr>
                <w:sz w:val="20"/>
                <w:szCs w:val="20"/>
                <w:color w:val="auto"/>
              </w:rPr>
            </w:pPr>
            <w:r>
              <w:rPr>
                <w:rFonts w:ascii="Arial" w:cs="Arial" w:eastAsia="Arial" w:hAnsi="Arial"/>
                <w:sz w:val="18"/>
                <w:szCs w:val="18"/>
                <w:color w:val="auto"/>
              </w:rPr>
              <w:t>Volta</w:t>
            </w:r>
          </w:p>
        </w:tc>
        <w:tc>
          <w:tcPr>
            <w:tcW w:w="7700" w:type="dxa"/>
            <w:vAlign w:val="bottom"/>
          </w:tcPr>
          <w:p>
            <w:pPr>
              <w:ind w:left="1120"/>
              <w:spacing w:after="0"/>
              <w:rPr>
                <w:sz w:val="20"/>
                <w:szCs w:val="20"/>
                <w:color w:val="auto"/>
              </w:rPr>
            </w:pPr>
            <w:r>
              <w:rPr>
                <w:rFonts w:ascii="Arial" w:cs="Arial" w:eastAsia="Arial" w:hAnsi="Arial"/>
                <w:sz w:val="18"/>
                <w:szCs w:val="18"/>
                <w:color w:val="auto"/>
              </w:rPr>
              <w:t>9159-9290 Quebec Inc.</w:t>
            </w:r>
          </w:p>
        </w:tc>
      </w:tr>
      <w:tr>
        <w:trPr>
          <w:trHeight w:val="216"/>
        </w:trPr>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3</w:t>
            </w:r>
          </w:p>
        </w:tc>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Backbone Argentina</w:t>
            </w:r>
          </w:p>
        </w:tc>
        <w:tc>
          <w:tcPr>
            <w:tcW w:w="77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Backbone Hosting Solutions SAU</w:t>
            </w:r>
          </w:p>
        </w:tc>
      </w:tr>
      <w:tr>
        <w:trPr>
          <w:trHeight w:val="216"/>
        </w:trPr>
        <w:tc>
          <w:tcPr>
            <w:tcW w:w="600" w:type="dxa"/>
            <w:vAlign w:val="bottom"/>
          </w:tcPr>
          <w:p>
            <w:pPr>
              <w:ind w:left="60"/>
              <w:spacing w:after="0"/>
              <w:rPr>
                <w:sz w:val="20"/>
                <w:szCs w:val="20"/>
                <w:color w:val="auto"/>
              </w:rPr>
            </w:pPr>
            <w:r>
              <w:rPr>
                <w:rFonts w:ascii="Arial" w:cs="Arial" w:eastAsia="Arial" w:hAnsi="Arial"/>
                <w:sz w:val="18"/>
                <w:szCs w:val="18"/>
                <w:color w:val="auto"/>
              </w:rPr>
              <w:t>4</w:t>
            </w:r>
          </w:p>
        </w:tc>
        <w:tc>
          <w:tcPr>
            <w:tcW w:w="2940" w:type="dxa"/>
            <w:vAlign w:val="bottom"/>
          </w:tcPr>
          <w:p>
            <w:pPr>
              <w:ind w:left="360"/>
              <w:spacing w:after="0"/>
              <w:rPr>
                <w:sz w:val="20"/>
                <w:szCs w:val="20"/>
                <w:color w:val="auto"/>
              </w:rPr>
            </w:pPr>
            <w:r>
              <w:rPr>
                <w:rFonts w:ascii="Arial" w:cs="Arial" w:eastAsia="Arial" w:hAnsi="Arial"/>
                <w:sz w:val="18"/>
                <w:szCs w:val="18"/>
                <w:color w:val="auto"/>
              </w:rPr>
              <w:t>Backbone Paraguay</w:t>
            </w:r>
          </w:p>
        </w:tc>
        <w:tc>
          <w:tcPr>
            <w:tcW w:w="7700" w:type="dxa"/>
            <w:vAlign w:val="bottom"/>
          </w:tcPr>
          <w:p>
            <w:pPr>
              <w:ind w:left="1120"/>
              <w:spacing w:after="0"/>
              <w:rPr>
                <w:sz w:val="20"/>
                <w:szCs w:val="20"/>
                <w:color w:val="auto"/>
              </w:rPr>
            </w:pPr>
            <w:r>
              <w:rPr>
                <w:rFonts w:ascii="Arial" w:cs="Arial" w:eastAsia="Arial" w:hAnsi="Arial"/>
                <w:sz w:val="18"/>
                <w:szCs w:val="18"/>
                <w:color w:val="auto"/>
              </w:rPr>
              <w:t>Backbone Hosting Solutions Paraguay SA</w:t>
            </w:r>
          </w:p>
        </w:tc>
      </w:tr>
      <w:tr>
        <w:trPr>
          <w:trHeight w:val="216"/>
        </w:trPr>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5</w:t>
            </w:r>
          </w:p>
        </w:tc>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Backbone Mining</w:t>
            </w:r>
          </w:p>
        </w:tc>
        <w:tc>
          <w:tcPr>
            <w:tcW w:w="77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Backbone Mining Solutions LLC</w:t>
            </w:r>
          </w:p>
        </w:tc>
      </w:tr>
      <w:tr>
        <w:trPr>
          <w:trHeight w:val="216"/>
        </w:trPr>
        <w:tc>
          <w:tcPr>
            <w:tcW w:w="600" w:type="dxa"/>
            <w:vAlign w:val="bottom"/>
          </w:tcPr>
          <w:p>
            <w:pPr>
              <w:ind w:left="60"/>
              <w:spacing w:after="0"/>
              <w:rPr>
                <w:sz w:val="20"/>
                <w:szCs w:val="20"/>
                <w:color w:val="auto"/>
              </w:rPr>
            </w:pPr>
            <w:r>
              <w:rPr>
                <w:rFonts w:ascii="Arial" w:cs="Arial" w:eastAsia="Arial" w:hAnsi="Arial"/>
                <w:sz w:val="18"/>
                <w:szCs w:val="18"/>
                <w:color w:val="auto"/>
              </w:rPr>
              <w:t>6</w:t>
            </w:r>
          </w:p>
        </w:tc>
        <w:tc>
          <w:tcPr>
            <w:tcW w:w="2940" w:type="dxa"/>
            <w:vAlign w:val="bottom"/>
          </w:tcPr>
          <w:p>
            <w:pPr>
              <w:ind w:left="360"/>
              <w:spacing w:after="0"/>
              <w:rPr>
                <w:sz w:val="20"/>
                <w:szCs w:val="20"/>
                <w:color w:val="auto"/>
              </w:rPr>
            </w:pPr>
            <w:r>
              <w:rPr>
                <w:rFonts w:ascii="Arial" w:cs="Arial" w:eastAsia="Arial" w:hAnsi="Arial"/>
                <w:sz w:val="18"/>
                <w:szCs w:val="18"/>
                <w:color w:val="auto"/>
              </w:rPr>
              <w:t>BTC</w:t>
            </w:r>
          </w:p>
        </w:tc>
        <w:tc>
          <w:tcPr>
            <w:tcW w:w="7700" w:type="dxa"/>
            <w:vAlign w:val="bottom"/>
          </w:tcPr>
          <w:p>
            <w:pPr>
              <w:ind w:left="1120"/>
              <w:spacing w:after="0"/>
              <w:rPr>
                <w:sz w:val="20"/>
                <w:szCs w:val="20"/>
                <w:color w:val="auto"/>
              </w:rPr>
            </w:pPr>
            <w:r>
              <w:rPr>
                <w:rFonts w:ascii="Arial" w:cs="Arial" w:eastAsia="Arial" w:hAnsi="Arial"/>
                <w:sz w:val="18"/>
                <w:szCs w:val="18"/>
                <w:color w:val="auto"/>
              </w:rPr>
              <w:t>Bitcoin</w:t>
            </w:r>
          </w:p>
        </w:tc>
      </w:tr>
      <w:tr>
        <w:trPr>
          <w:trHeight w:val="216"/>
        </w:trPr>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7</w:t>
            </w:r>
          </w:p>
        </w:tc>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BVVE</w:t>
            </w:r>
          </w:p>
        </w:tc>
        <w:tc>
          <w:tcPr>
            <w:tcW w:w="77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Blockchain Verification and Validation Equipment</w:t>
            </w:r>
          </w:p>
        </w:tc>
      </w:tr>
      <w:tr>
        <w:trPr>
          <w:trHeight w:val="216"/>
        </w:trPr>
        <w:tc>
          <w:tcPr>
            <w:tcW w:w="600" w:type="dxa"/>
            <w:vAlign w:val="bottom"/>
          </w:tcPr>
          <w:p>
            <w:pPr>
              <w:ind w:left="60"/>
              <w:spacing w:after="0"/>
              <w:rPr>
                <w:sz w:val="20"/>
                <w:szCs w:val="20"/>
                <w:color w:val="auto"/>
              </w:rPr>
            </w:pPr>
            <w:r>
              <w:rPr>
                <w:rFonts w:ascii="Arial" w:cs="Arial" w:eastAsia="Arial" w:hAnsi="Arial"/>
                <w:sz w:val="18"/>
                <w:szCs w:val="18"/>
                <w:color w:val="auto"/>
              </w:rPr>
              <w:t>8</w:t>
            </w:r>
          </w:p>
        </w:tc>
        <w:tc>
          <w:tcPr>
            <w:tcW w:w="2940" w:type="dxa"/>
            <w:vAlign w:val="bottom"/>
          </w:tcPr>
          <w:p>
            <w:pPr>
              <w:ind w:left="360"/>
              <w:spacing w:after="0"/>
              <w:rPr>
                <w:sz w:val="20"/>
                <w:szCs w:val="20"/>
                <w:color w:val="auto"/>
              </w:rPr>
            </w:pPr>
            <w:r>
              <w:rPr>
                <w:rFonts w:ascii="Arial" w:cs="Arial" w:eastAsia="Arial" w:hAnsi="Arial"/>
                <w:sz w:val="18"/>
                <w:szCs w:val="18"/>
                <w:color w:val="auto"/>
              </w:rPr>
              <w:t>CAD</w:t>
            </w:r>
          </w:p>
        </w:tc>
        <w:tc>
          <w:tcPr>
            <w:tcW w:w="7700" w:type="dxa"/>
            <w:vAlign w:val="bottom"/>
          </w:tcPr>
          <w:p>
            <w:pPr>
              <w:ind w:left="1120"/>
              <w:spacing w:after="0"/>
              <w:rPr>
                <w:sz w:val="20"/>
                <w:szCs w:val="20"/>
                <w:color w:val="auto"/>
              </w:rPr>
            </w:pPr>
            <w:r>
              <w:rPr>
                <w:rFonts w:ascii="Arial" w:cs="Arial" w:eastAsia="Arial" w:hAnsi="Arial"/>
                <w:sz w:val="18"/>
                <w:szCs w:val="18"/>
                <w:color w:val="auto"/>
              </w:rPr>
              <w:t>Canadian Dollars</w:t>
            </w:r>
          </w:p>
        </w:tc>
      </w:tr>
      <w:tr>
        <w:trPr>
          <w:trHeight w:val="216"/>
        </w:trPr>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9</w:t>
            </w:r>
          </w:p>
        </w:tc>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USD</w:t>
            </w:r>
          </w:p>
        </w:tc>
        <w:tc>
          <w:tcPr>
            <w:tcW w:w="77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U.S. Dollars</w:t>
            </w:r>
          </w:p>
        </w:tc>
      </w:tr>
      <w:tr>
        <w:trPr>
          <w:trHeight w:val="223"/>
        </w:trPr>
        <w:tc>
          <w:tcPr>
            <w:tcW w:w="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29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ARS</w:t>
            </w:r>
          </w:p>
        </w:tc>
        <w:tc>
          <w:tcPr>
            <w:tcW w:w="77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Argentine Pesos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680"/>
        <w:spacing w:after="0"/>
        <w:rPr>
          <w:sz w:val="20"/>
          <w:szCs w:val="20"/>
          <w:color w:val="auto"/>
        </w:rPr>
      </w:pPr>
      <w:r>
        <w:rPr>
          <w:rFonts w:ascii="Arial" w:cs="Arial" w:eastAsia="Arial" w:hAnsi="Arial"/>
          <w:sz w:val="15"/>
          <w:szCs w:val="15"/>
          <w:color w:val="auto"/>
        </w:rPr>
        <w:t>7 | Page</w:t>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tab/>
        <w:t>LIQUIDITY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Bitfarms is primarily engaged in cryptocurrency mining, a highly volatile industry with significant inherent risk. Declines in the market prices of cryptocurrencies, an increase in the difficulty of BTC mining, delays in the delivery of mining equipment, changes in the regulatory environment and adverse changes in other inherent risks can significantly and negatively impact the Company’s operations and cash flows and its ability to maintain sufficient liquidity to meet its financial obligations. Adverse changes to the factors mentioned above have impacted the recoverability of the Company’s digital assets and property, plant and equipment, resulting in impairment losses being recorded.</w:t>
      </w:r>
    </w:p>
    <w:p>
      <w:pPr>
        <w:spacing w:after="0" w:line="188" w:lineRule="exact"/>
        <w:rPr>
          <w:sz w:val="20"/>
          <w:szCs w:val="20"/>
          <w:color w:val="auto"/>
        </w:rPr>
      </w:pPr>
    </w:p>
    <w:p>
      <w:pPr>
        <w:jc w:val="both"/>
        <w:ind w:left="20" w:hanging="4"/>
        <w:spacing w:after="0" w:line="259" w:lineRule="auto"/>
        <w:rPr>
          <w:sz w:val="20"/>
          <w:szCs w:val="20"/>
          <w:color w:val="auto"/>
        </w:rPr>
      </w:pPr>
      <w:r>
        <w:rPr>
          <w:rFonts w:ascii="Arial" w:cs="Arial" w:eastAsia="Arial" w:hAnsi="Arial"/>
          <w:sz w:val="18"/>
          <w:szCs w:val="18"/>
          <w:color w:val="auto"/>
        </w:rPr>
        <w:t>The Company’s current operating budget and future estimated cash flows indicate that the Company will generate positive cash flow in excess of required interest and principal payments on its long-term debt due within the twelve-month period. These analyses are based on BTC market factors including price, difficulty and network hashrate, for the twelve-month period following the date of these interim condensed consolidated financial statements were authorized for issuance.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current BTC prices, the Company’s existing cash resources and the proceeds from any sale of its treasury and mined BTC may not be sufficient to fund capital investments to support its growth objectives. If the proceeds from the sale of BTC are not sufficient, the Company would be required to raise additional funds from external sources to meet these requirements. There is no assurance that the Company will be able to raise such additional funds on acceptable terms, if at all.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raises additional funds by issuing securities, existing shareholders may be diluted. If the Company was unable to obtain financing from external sources or issuing securities, or if funds from operations and proceeds from any sale of the Company’s BTC holdings were negatively impacted by the BTC price, the Company may have difficulty meeting its payment obligations.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BASIS OF PRESENTATION AND SIGNIFICANT ACCOUNTING POLICIES</w:t>
      </w:r>
    </w:p>
    <w:p>
      <w:pPr>
        <w:spacing w:after="0" w:line="225"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measurement</w:t>
      </w:r>
    </w:p>
    <w:p>
      <w:pPr>
        <w:spacing w:after="0" w:line="229" w:lineRule="exact"/>
        <w:rPr>
          <w:sz w:val="20"/>
          <w:szCs w:val="20"/>
          <w:color w:val="auto"/>
        </w:rPr>
      </w:pPr>
    </w:p>
    <w:p>
      <w:pPr>
        <w:jc w:val="both"/>
        <w:ind w:left="20" w:hanging="4"/>
        <w:spacing w:after="0" w:line="301" w:lineRule="auto"/>
        <w:rPr>
          <w:sz w:val="20"/>
          <w:szCs w:val="20"/>
          <w:color w:val="auto"/>
        </w:rPr>
      </w:pPr>
      <w:r>
        <w:rPr>
          <w:rFonts w:ascii="Arial" w:cs="Arial" w:eastAsia="Arial" w:hAnsi="Arial"/>
          <w:sz w:val="16"/>
          <w:szCs w:val="16"/>
          <w:color w:val="auto"/>
        </w:rPr>
        <w:t xml:space="preserve">The interim condensed consolidated financial statements (“Financial Statements”) of the Company comprise the accounts of Bitfarms Ltd. and its wholly-owned subsidiaries. These Financial Statements have been prepared in accordance with International Financial Reporting Standards (“IFRS”) as issued by the International Accounting Standards Board applicable to the preparation of interim financial statements, including International Accounting Standard (“IAS”) 34,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These Financial Statements were approved by the Board of Directors on August 4, 2023.</w:t>
      </w:r>
    </w:p>
    <w:p>
      <w:pPr>
        <w:spacing w:after="0" w:line="157" w:lineRule="exact"/>
        <w:rPr>
          <w:sz w:val="20"/>
          <w:szCs w:val="20"/>
          <w:color w:val="auto"/>
        </w:rPr>
      </w:pPr>
    </w:p>
    <w:p>
      <w:pPr>
        <w:jc w:val="both"/>
        <w:ind w:left="20" w:hanging="4"/>
        <w:spacing w:after="0" w:line="277" w:lineRule="auto"/>
        <w:rPr>
          <w:sz w:val="20"/>
          <w:szCs w:val="20"/>
          <w:color w:val="auto"/>
        </w:rPr>
      </w:pPr>
      <w:r>
        <w:rPr>
          <w:rFonts w:ascii="Arial" w:cs="Arial" w:eastAsia="Arial" w:hAnsi="Arial"/>
          <w:sz w:val="18"/>
          <w:szCs w:val="18"/>
          <w:color w:val="auto"/>
        </w:rPr>
        <w:t>These Financial Statements do not include all the information required for full annual financial statements and should be read in conjunction with the audited annual consolidated financial statements of the Company and the notes thereto for the year ended December 31, 2022.</w:t>
      </w:r>
    </w:p>
    <w:p>
      <w:pPr>
        <w:spacing w:after="0" w:line="170" w:lineRule="exact"/>
        <w:rPr>
          <w:sz w:val="20"/>
          <w:szCs w:val="20"/>
          <w:color w:val="auto"/>
        </w:rPr>
      </w:pPr>
    </w:p>
    <w:p>
      <w:pPr>
        <w:jc w:val="both"/>
        <w:ind w:hanging="4"/>
        <w:spacing w:after="0" w:line="311" w:lineRule="auto"/>
        <w:rPr>
          <w:sz w:val="20"/>
          <w:szCs w:val="20"/>
          <w:color w:val="auto"/>
        </w:rPr>
      </w:pPr>
      <w:r>
        <w:rPr>
          <w:rFonts w:ascii="Arial" w:cs="Arial" w:eastAsia="Arial" w:hAnsi="Arial"/>
          <w:sz w:val="16"/>
          <w:szCs w:val="16"/>
          <w:color w:val="auto"/>
        </w:rPr>
        <w:t>These Financial Statements have been prepared under the same accounting policies used in the audited annual consolidated financial statements for the year ended December 31, 2022, except for new accounting standards issued and adopted by the Company which are described below. The accounting policies have been applied consistently by the Company’s entities and to all periods presented in these Financial Statements, unless otherwise indicated.</w:t>
      </w:r>
    </w:p>
    <w:p>
      <w:pPr>
        <w:spacing w:after="0" w:line="149" w:lineRule="exact"/>
        <w:rPr>
          <w:sz w:val="20"/>
          <w:szCs w:val="20"/>
          <w:color w:val="auto"/>
        </w:rPr>
      </w:pPr>
    </w:p>
    <w:p>
      <w:pPr>
        <w:ind w:left="20" w:hanging="4"/>
        <w:spacing w:after="0" w:line="277" w:lineRule="auto"/>
        <w:rPr>
          <w:sz w:val="20"/>
          <w:szCs w:val="20"/>
          <w:color w:val="auto"/>
        </w:rPr>
      </w:pPr>
      <w:r>
        <w:rPr>
          <w:rFonts w:ascii="Arial" w:cs="Arial" w:eastAsia="Arial" w:hAnsi="Arial"/>
          <w:sz w:val="18"/>
          <w:szCs w:val="18"/>
          <w:color w:val="auto"/>
        </w:rPr>
        <w:t>The Financial Statements have been prepared on the historical cost basis, except for the revaluation of certain financial instruments and digital assets recorded at fair value, and assets held for sale measured at the lower of its carrying amount and fair value less costs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3" w:lineRule="exact"/>
        <w:rPr>
          <w:sz w:val="20"/>
          <w:szCs w:val="20"/>
          <w:color w:val="auto"/>
        </w:rPr>
      </w:pPr>
    </w:p>
    <w:p>
      <w:pPr>
        <w:ind w:left="10680"/>
        <w:spacing w:after="0"/>
        <w:rPr>
          <w:sz w:val="20"/>
          <w:szCs w:val="20"/>
          <w:color w:val="auto"/>
        </w:rPr>
      </w:pPr>
      <w:r>
        <w:rPr>
          <w:rFonts w:ascii="Arial" w:cs="Arial" w:eastAsia="Arial" w:hAnsi="Arial"/>
          <w:sz w:val="15"/>
          <w:szCs w:val="15"/>
          <w:color w:val="auto"/>
        </w:rPr>
        <w:t>8 | Page</w:t>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 xml:space="preserve">BASIS OF PRESENTATION AND SIGNIFICANT ACCOUNTING POLICIES </w:t>
      </w:r>
      <w:r>
        <w:rPr>
          <w:rFonts w:ascii="Arial" w:cs="Arial" w:eastAsia="Arial" w:hAnsi="Arial"/>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amendments issued and adopted by the Company</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amendments to existing standards were adopted by the Company as of January 1, 2023:</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Amendments to IAS 1, Presentation of Financial Statements (“IAS 1”)</w:t>
      </w:r>
    </w:p>
    <w:p>
      <w:pPr>
        <w:spacing w:after="0" w:line="27" w:lineRule="exact"/>
        <w:rPr>
          <w:sz w:val="20"/>
          <w:szCs w:val="20"/>
          <w:color w:val="auto"/>
        </w:rPr>
      </w:pPr>
    </w:p>
    <w:p>
      <w:pPr>
        <w:jc w:val="both"/>
        <w:ind w:left="20" w:hanging="4"/>
        <w:spacing w:after="0" w:line="255" w:lineRule="auto"/>
        <w:rPr>
          <w:sz w:val="20"/>
          <w:szCs w:val="20"/>
          <w:color w:val="auto"/>
        </w:rPr>
      </w:pPr>
      <w:r>
        <w:rPr>
          <w:rFonts w:ascii="Arial" w:cs="Arial" w:eastAsia="Arial" w:hAnsi="Arial"/>
          <w:sz w:val="18"/>
          <w:szCs w:val="18"/>
          <w:color w:val="auto"/>
        </w:rPr>
        <w:t>Amendments to IAS 1 change the requirements in IAS 1 with regard to disclosure of accounting policies. Applying the amendments, an entity discloses its material accounting policies instead of its significant accounting policies. Further amendments to IAS 1 explain how an entity can identify a material accounting policy.</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Amendments to IAS 8, </w:t>
      </w:r>
      <w:r>
        <w:rPr>
          <w:rFonts w:ascii="Arial" w:cs="Arial" w:eastAsia="Arial" w:hAnsi="Arial"/>
          <w:sz w:val="18"/>
          <w:szCs w:val="18"/>
          <w:b w:val="1"/>
          <w:bCs w:val="1"/>
          <w:i w:val="1"/>
          <w:iCs w:val="1"/>
          <w:color w:val="auto"/>
        </w:rPr>
        <w:t>Accounting Policies, Changes in Accounting Estimates and Errors</w:t>
      </w:r>
      <w:r>
        <w:rPr>
          <w:rFonts w:ascii="Arial" w:cs="Arial" w:eastAsia="Arial" w:hAnsi="Arial"/>
          <w:sz w:val="18"/>
          <w:szCs w:val="18"/>
          <w:b w:val="1"/>
          <w:bCs w:val="1"/>
          <w:color w:val="auto"/>
        </w:rPr>
        <w:t xml:space="preserve"> (“IAS 8”)</w:t>
      </w:r>
    </w:p>
    <w:p>
      <w:pPr>
        <w:spacing w:after="0" w:line="27" w:lineRule="exact"/>
        <w:rPr>
          <w:sz w:val="20"/>
          <w:szCs w:val="20"/>
          <w:color w:val="auto"/>
        </w:rPr>
      </w:pPr>
    </w:p>
    <w:p>
      <w:pPr>
        <w:ind w:hanging="4"/>
        <w:spacing w:after="0" w:line="260" w:lineRule="auto"/>
        <w:rPr>
          <w:sz w:val="20"/>
          <w:szCs w:val="20"/>
          <w:color w:val="auto"/>
        </w:rPr>
      </w:pPr>
      <w:r>
        <w:rPr>
          <w:rFonts w:ascii="Arial" w:cs="Arial" w:eastAsia="Arial" w:hAnsi="Arial"/>
          <w:sz w:val="18"/>
          <w:szCs w:val="18"/>
          <w:color w:val="auto"/>
        </w:rPr>
        <w:t>Amendments to IAS 8 replace the definition of a change in accounting estimates. Under the new definition, accounting estimates are “monetary amounts in financial statements that are subject to measurement uncertainty.”</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adoption of the amendments listed above did not have a significant impact on the Company’s Financial Statements.</w:t>
      </w:r>
    </w:p>
    <w:p>
      <w:pPr>
        <w:spacing w:after="0" w:line="22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amendments issued to be adopted at a later date</w:t>
      </w:r>
    </w:p>
    <w:p>
      <w:pPr>
        <w:spacing w:after="0" w:line="229" w:lineRule="exact"/>
        <w:rPr>
          <w:sz w:val="20"/>
          <w:szCs w:val="20"/>
          <w:color w:val="auto"/>
        </w:rPr>
      </w:pPr>
    </w:p>
    <w:p>
      <w:pPr>
        <w:jc w:val="both"/>
        <w:ind w:left="20" w:hanging="4"/>
        <w:spacing w:after="0" w:line="277" w:lineRule="auto"/>
        <w:rPr>
          <w:sz w:val="20"/>
          <w:szCs w:val="20"/>
          <w:color w:val="auto"/>
        </w:rPr>
      </w:pPr>
      <w:r>
        <w:rPr>
          <w:rFonts w:ascii="Arial" w:cs="Arial" w:eastAsia="Arial" w:hAnsi="Arial"/>
          <w:sz w:val="18"/>
          <w:szCs w:val="18"/>
          <w:color w:val="auto"/>
        </w:rPr>
        <w:t>The following amendments to existing standards have been issued and are applicable to the Company for its annual period beginning on January 1, 2024 and thereafter, with an earlier application permitted:</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Amendments to IFRS 16, </w:t>
      </w:r>
      <w:r>
        <w:rPr>
          <w:rFonts w:ascii="Arial" w:cs="Arial" w:eastAsia="Arial" w:hAnsi="Arial"/>
          <w:sz w:val="18"/>
          <w:szCs w:val="18"/>
          <w:b w:val="1"/>
          <w:bCs w:val="1"/>
          <w:i w:val="1"/>
          <w:iCs w:val="1"/>
          <w:color w:val="auto"/>
        </w:rPr>
        <w:t>Leases</w:t>
      </w:r>
      <w:r>
        <w:rPr>
          <w:rFonts w:ascii="Arial" w:cs="Arial" w:eastAsia="Arial" w:hAnsi="Arial"/>
          <w:sz w:val="18"/>
          <w:szCs w:val="18"/>
          <w:b w:val="1"/>
          <w:bCs w:val="1"/>
          <w:color w:val="auto"/>
        </w:rPr>
        <w:t xml:space="preserve"> (“IFRS 16”)</w:t>
      </w:r>
    </w:p>
    <w:p>
      <w:pPr>
        <w:spacing w:after="0" w:line="27" w:lineRule="exact"/>
        <w:rPr>
          <w:sz w:val="20"/>
          <w:szCs w:val="20"/>
          <w:color w:val="auto"/>
        </w:rPr>
      </w:pPr>
    </w:p>
    <w:p>
      <w:pPr>
        <w:jc w:val="both"/>
        <w:ind w:left="20" w:hanging="4"/>
        <w:spacing w:after="0" w:line="255" w:lineRule="auto"/>
        <w:rPr>
          <w:sz w:val="20"/>
          <w:szCs w:val="20"/>
          <w:color w:val="auto"/>
        </w:rPr>
      </w:pPr>
      <w:r>
        <w:rPr>
          <w:rFonts w:ascii="Arial" w:cs="Arial" w:eastAsia="Arial" w:hAnsi="Arial"/>
          <w:sz w:val="18"/>
          <w:szCs w:val="18"/>
          <w:color w:val="auto"/>
        </w:rPr>
        <w:t>Amendments to IFRS 16 require a seller-lessee to subsequently measure lease liabilities arising from a leaseback in a manner that does not recognize any amount of the gain or loss that relates to the right of use retained. The new requirements do not prevent a seller-lessee from recognizing in profit or loss any gain or loss relating to the partial or full termination of a lease.</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Amendments to IAS 1</w:t>
      </w:r>
    </w:p>
    <w:p>
      <w:pPr>
        <w:spacing w:after="0" w:line="27" w:lineRule="exact"/>
        <w:rPr>
          <w:sz w:val="20"/>
          <w:szCs w:val="20"/>
          <w:color w:val="auto"/>
        </w:rPr>
      </w:pPr>
    </w:p>
    <w:p>
      <w:pPr>
        <w:jc w:val="both"/>
        <w:ind w:left="20" w:hanging="4"/>
        <w:spacing w:after="0" w:line="253" w:lineRule="auto"/>
        <w:rPr>
          <w:sz w:val="20"/>
          <w:szCs w:val="20"/>
          <w:color w:val="auto"/>
        </w:rPr>
      </w:pPr>
      <w:r>
        <w:rPr>
          <w:rFonts w:ascii="Arial" w:cs="Arial" w:eastAsia="Arial" w:hAnsi="Arial"/>
          <w:sz w:val="18"/>
          <w:szCs w:val="18"/>
          <w:color w:val="auto"/>
        </w:rPr>
        <w:t>Amendments to IAS 1 clarify how to classify debt and other liabilities as current or non-current. The amendments help to determine whether, in the interim consolidated statements of financial position, debt and other liabilities with an uncertain settlement date should be classified as current (due or potentially due to be settled within one year) or non-current. The amendments also include clarifying the classification requirements for debt that an entity might settle by converting into equity.</w:t>
      </w:r>
    </w:p>
    <w:p>
      <w:pPr>
        <w:spacing w:after="0" w:line="193" w:lineRule="exact"/>
        <w:rPr>
          <w:sz w:val="20"/>
          <w:szCs w:val="20"/>
          <w:color w:val="auto"/>
        </w:rPr>
      </w:pPr>
    </w:p>
    <w:p>
      <w:pPr>
        <w:jc w:val="both"/>
        <w:ind w:left="20" w:hanging="4"/>
        <w:spacing w:after="0" w:line="342" w:lineRule="auto"/>
        <w:rPr>
          <w:sz w:val="20"/>
          <w:szCs w:val="20"/>
          <w:color w:val="auto"/>
        </w:rPr>
      </w:pPr>
      <w:r>
        <w:rPr>
          <w:rFonts w:ascii="Arial" w:cs="Arial" w:eastAsia="Arial" w:hAnsi="Arial"/>
          <w:sz w:val="16"/>
          <w:szCs w:val="16"/>
          <w:color w:val="auto"/>
        </w:rPr>
        <w:t>Amendments to IAS 1 specify that covenants to be complied with after the reporting date do not affect the classification of debt as current or non-current at the reporting date. Instead, the amendments require information about these covenants be disclosed in the notes to the financial statements.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is currently evaluating the impact of adopting the amendments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680"/>
        <w:spacing w:after="0"/>
        <w:rPr>
          <w:sz w:val="20"/>
          <w:szCs w:val="20"/>
          <w:color w:val="auto"/>
        </w:rPr>
      </w:pPr>
      <w:r>
        <w:rPr>
          <w:rFonts w:ascii="Arial" w:cs="Arial" w:eastAsia="Arial" w:hAnsi="Arial"/>
          <w:sz w:val="15"/>
          <w:szCs w:val="15"/>
          <w:color w:val="auto"/>
        </w:rPr>
        <w:t>9 | Page</w:t>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 xml:space="preserve">BASIS OF PRESENTATION AND SIGNIFICANT ACCOUNTING POLICIES </w:t>
      </w:r>
      <w:r>
        <w:rPr>
          <w:rFonts w:ascii="Arial" w:cs="Arial" w:eastAsia="Arial" w:hAnsi="Arial"/>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Comparative figures revised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figures in the comparative period of the Financial Statements have been revised to conform to the current presentation. Specifically, within the interim consolidated statements of cash flow, cash flows related to the purchase and disposal of marketable securities were amended to be presented on a gross basis within investing activities, and as such, the financial statement line item “Gain in disposition of marketable securities” was removed in the comparative period, within operating activities, with the offsetting impact in “Purchase of property, plant and equipment”, within investing activities. The revision between operating and investing activities was $30,642.</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4:</w:t>
        <w:tab/>
        <w:t>SIGNIFICANT ACCOUNTING JUDGMENTS AND ESTIMATES</w:t>
      </w:r>
    </w:p>
    <w:p>
      <w:pPr>
        <w:spacing w:after="0" w:line="229" w:lineRule="exact"/>
        <w:rPr>
          <w:sz w:val="20"/>
          <w:szCs w:val="20"/>
          <w:color w:val="auto"/>
        </w:rPr>
      </w:pPr>
    </w:p>
    <w:p>
      <w:pPr>
        <w:jc w:val="both"/>
        <w:ind w:left="20" w:hanging="4"/>
        <w:spacing w:after="0" w:line="286" w:lineRule="auto"/>
        <w:rPr>
          <w:sz w:val="20"/>
          <w:szCs w:val="20"/>
          <w:color w:val="auto"/>
        </w:rPr>
      </w:pPr>
      <w:r>
        <w:rPr>
          <w:rFonts w:ascii="Arial" w:cs="Arial" w:eastAsia="Arial" w:hAnsi="Arial"/>
          <w:sz w:val="17"/>
          <w:szCs w:val="17"/>
          <w:color w:val="auto"/>
        </w:rPr>
        <w:t>The preparation of the Financial Statements requires management to undertake judgments, estimates and assumptions about recognition and measurement of assets, liabilities, income and expenses. These estimates and judgments are based on management’s best knowledge of the events or circumstances and actions the Company may take in the future. The actual results may differ from these assumptions and estimates.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estimates and underlying assumptions are reviewed on an ongoing basis. Revisions to assumptions and estimates are recognized in the period in which the assumption or estimate is revised if the revision affects only that period or in the period of the revision and future periods if the revision affects both current and future periods.</w:t>
      </w:r>
    </w:p>
    <w:p>
      <w:pPr>
        <w:spacing w:after="0" w:line="184" w:lineRule="exact"/>
        <w:rPr>
          <w:sz w:val="20"/>
          <w:szCs w:val="20"/>
          <w:color w:val="auto"/>
        </w:rPr>
      </w:pPr>
    </w:p>
    <w:p>
      <w:pPr>
        <w:jc w:val="both"/>
        <w:ind w:left="20" w:hanging="4"/>
        <w:spacing w:after="0" w:line="277" w:lineRule="auto"/>
        <w:rPr>
          <w:sz w:val="20"/>
          <w:szCs w:val="20"/>
          <w:color w:val="auto"/>
        </w:rPr>
      </w:pPr>
      <w:r>
        <w:rPr>
          <w:rFonts w:ascii="Arial" w:cs="Arial" w:eastAsia="Arial" w:hAnsi="Arial"/>
          <w:sz w:val="18"/>
          <w:szCs w:val="18"/>
          <w:color w:val="auto"/>
        </w:rPr>
        <w:t>The significant judgements made by management in applying the Company’s accounting policies and the key sources of estimation uncertainty were the same as those described in the audited annual consolidated financial statements for year ended December 31, 2022.</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OTHER ASSETS</w:t>
      </w:r>
    </w:p>
    <w:p>
      <w:pPr>
        <w:spacing w:after="0" w:line="225" w:lineRule="exact"/>
        <w:rPr>
          <w:sz w:val="20"/>
          <w:szCs w:val="20"/>
          <w:color w:val="auto"/>
        </w:rPr>
      </w:pPr>
    </w:p>
    <w:p>
      <w:pPr>
        <w:ind w:left="8380"/>
        <w:spacing w:after="0"/>
        <w:tabs>
          <w:tab w:leader="none" w:pos="9660" w:val="left"/>
        </w:tabs>
        <w:rPr>
          <w:sz w:val="20"/>
          <w:szCs w:val="20"/>
          <w:color w:val="auto"/>
        </w:rPr>
      </w:pPr>
      <w:r>
        <w:rPr>
          <w:rFonts w:ascii="Arial" w:cs="Arial" w:eastAsia="Arial" w:hAnsi="Arial"/>
          <w:sz w:val="18"/>
          <w:szCs w:val="18"/>
          <w:b w:val="1"/>
          <w:bCs w:val="1"/>
          <w:color w:val="auto"/>
        </w:rPr>
        <w:t>As of June 30,</w:t>
      </w:r>
      <w:r>
        <w:rPr>
          <w:sz w:val="20"/>
          <w:szCs w:val="20"/>
          <w:color w:val="auto"/>
        </w:rPr>
        <w:tab/>
      </w:r>
      <w:r>
        <w:rPr>
          <w:rFonts w:ascii="Arial" w:cs="Arial" w:eastAsia="Arial" w:hAnsi="Arial"/>
          <w:sz w:val="16"/>
          <w:szCs w:val="16"/>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Borders>
              <w:top w:val="single" w:sz="8" w:color="auto"/>
              <w:bottom w:val="single" w:sz="8" w:color="auto"/>
            </w:tcBorders>
          </w:tcPr>
          <w:p>
            <w:pPr>
              <w:spacing w:after="0"/>
              <w:rPr>
                <w:sz w:val="18"/>
                <w:szCs w:val="18"/>
                <w:color w:val="auto"/>
              </w:rPr>
            </w:pPr>
          </w:p>
        </w:tc>
        <w:tc>
          <w:tcPr>
            <w:tcW w:w="44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Sales taxes receivable*</w:t>
            </w:r>
          </w:p>
        </w:tc>
        <w:tc>
          <w:tcPr>
            <w:tcW w:w="444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5,861</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3,816</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Electrical component inventory</w:t>
            </w:r>
          </w:p>
        </w:tc>
        <w:tc>
          <w:tcPr>
            <w:tcW w:w="4440" w:type="dxa"/>
            <w:vAlign w:val="bottom"/>
          </w:tcPr>
          <w:p>
            <w:pPr>
              <w:jc w:val="right"/>
              <w:ind w:right="550"/>
              <w:spacing w:after="0"/>
              <w:rPr>
                <w:sz w:val="20"/>
                <w:szCs w:val="20"/>
                <w:color w:val="auto"/>
              </w:rPr>
            </w:pPr>
            <w:r>
              <w:rPr>
                <w:rFonts w:ascii="Arial" w:cs="Arial" w:eastAsia="Arial" w:hAnsi="Arial"/>
                <w:sz w:val="18"/>
                <w:szCs w:val="18"/>
                <w:b w:val="1"/>
                <w:bCs w:val="1"/>
                <w:color w:val="auto"/>
              </w:rPr>
              <w:t>663</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16"/>
        </w:trPr>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44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291</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17"/>
        </w:trPr>
        <w:tc>
          <w:tcPr>
            <w:tcW w:w="56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6,815</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4,512</w:t>
            </w:r>
          </w:p>
        </w:tc>
      </w:tr>
    </w:tbl>
    <w:p>
      <w:pPr>
        <w:spacing w:after="0" w:line="20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 to Note 20c for more details about the provision applied to the Argentine value-added tax (VAT) receivable included in sales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10 | Page</w:t>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DIGITAL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BTC transactions and the corresponding values for the three and six months ended June 30, 2023 and 2022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w w:val="93"/>
              </w:rPr>
              <w:t>Three months ended June 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Quantity</w:t>
            </w: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Quantity</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195"/>
        </w:trPr>
        <w:tc>
          <w:tcPr>
            <w:tcW w:w="6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Balance of digital assets including digital assets pledged as collateral as of April</w:t>
            </w:r>
          </w:p>
        </w:tc>
        <w:tc>
          <w:tcPr>
            <w:tcW w:w="12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435</w:t>
            </w:r>
          </w:p>
        </w:tc>
        <w:tc>
          <w:tcPr>
            <w:tcW w:w="154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12,379</w:t>
            </w:r>
          </w:p>
        </w:tc>
        <w:tc>
          <w:tcPr>
            <w:tcW w:w="1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5,244</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238,792</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8"/>
                <w:szCs w:val="18"/>
                <w:color w:val="auto"/>
              </w:rPr>
              <w:t>BTC mined*</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1,223</w:t>
            </w:r>
          </w:p>
        </w:tc>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34,243</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1,257</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41,048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BTC exchanged for cash and services</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(1,109)</w:t>
            </w:r>
          </w:p>
        </w:tc>
        <w:tc>
          <w:tcPr>
            <w:tcW w:w="15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(30,887)</w:t>
            </w:r>
          </w:p>
        </w:tc>
        <w:tc>
          <w:tcPr>
            <w:tcW w:w="1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(3,357)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Realized gain (loss) on disposition of digital assets**</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1,110</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(77,880)</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unrealized loss on revaluation of digital assets**</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(111)</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(70,475)</w:t>
            </w:r>
          </w:p>
        </w:tc>
        <w:tc>
          <w:tcPr>
            <w:tcW w:w="0" w:type="dxa"/>
            <w:vAlign w:val="bottom"/>
          </w:tcPr>
          <w:p>
            <w:pPr>
              <w:spacing w:after="0"/>
              <w:rPr>
                <w:sz w:val="1"/>
                <w:szCs w:val="1"/>
                <w:color w:val="auto"/>
              </w:rPr>
            </w:pPr>
          </w:p>
        </w:tc>
      </w:tr>
      <w:tr>
        <w:trPr>
          <w:trHeight w:val="191"/>
        </w:trPr>
        <w:tc>
          <w:tcPr>
            <w:tcW w:w="6080" w:type="dxa"/>
            <w:vAlign w:val="bottom"/>
          </w:tcPr>
          <w:p>
            <w:pPr>
              <w:spacing w:after="0" w:line="191" w:lineRule="exact"/>
              <w:rPr>
                <w:sz w:val="20"/>
                <w:szCs w:val="20"/>
                <w:color w:val="auto"/>
              </w:rPr>
            </w:pPr>
            <w:r>
              <w:rPr>
                <w:rFonts w:ascii="Arial" w:cs="Arial" w:eastAsia="Arial" w:hAnsi="Arial"/>
                <w:sz w:val="18"/>
                <w:szCs w:val="18"/>
                <w:b w:val="1"/>
                <w:bCs w:val="1"/>
                <w:color w:val="auto"/>
                <w:w w:val="94"/>
              </w:rPr>
              <w:t>Balance of digital assets including digital assets pledged as collateral as of</w:t>
            </w: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June 30,</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549</w:t>
            </w: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16,734</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3,144</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62,204</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digital assets pledged as collateral as of June 30,***</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(70)</w:t>
            </w:r>
          </w:p>
        </w:tc>
        <w:tc>
          <w:tcPr>
            <w:tcW w:w="15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(2,137)</w:t>
            </w: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(2,598)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(51,403)</w:t>
            </w:r>
          </w:p>
        </w:tc>
        <w:tc>
          <w:tcPr>
            <w:tcW w:w="0" w:type="dxa"/>
            <w:vAlign w:val="bottom"/>
          </w:tcPr>
          <w:p>
            <w:pPr>
              <w:spacing w:after="0"/>
              <w:rPr>
                <w:sz w:val="1"/>
                <w:szCs w:val="1"/>
                <w:color w:val="auto"/>
              </w:rPr>
            </w:pPr>
          </w:p>
        </w:tc>
      </w:tr>
      <w:tr>
        <w:trPr>
          <w:trHeight w:val="191"/>
        </w:trPr>
        <w:tc>
          <w:tcPr>
            <w:tcW w:w="6080" w:type="dxa"/>
            <w:vAlign w:val="bottom"/>
          </w:tcPr>
          <w:p>
            <w:pPr>
              <w:spacing w:after="0" w:line="191" w:lineRule="exact"/>
              <w:rPr>
                <w:sz w:val="20"/>
                <w:szCs w:val="20"/>
                <w:color w:val="auto"/>
              </w:rPr>
            </w:pPr>
            <w:r>
              <w:rPr>
                <w:rFonts w:ascii="Arial" w:cs="Arial" w:eastAsia="Arial" w:hAnsi="Arial"/>
                <w:sz w:val="18"/>
                <w:szCs w:val="18"/>
                <w:b w:val="1"/>
                <w:bCs w:val="1"/>
                <w:color w:val="auto"/>
                <w:w w:val="93"/>
              </w:rPr>
              <w:t>Balance of digital assets excluding digital assets pledged as collateral as of</w:t>
            </w: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June 30,</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479</w:t>
            </w: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14,597</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546</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10,801</w:t>
            </w:r>
          </w:p>
        </w:tc>
        <w:tc>
          <w:tcPr>
            <w:tcW w:w="0" w:type="dxa"/>
            <w:vAlign w:val="bottom"/>
          </w:tcPr>
          <w:p>
            <w:pPr>
              <w:spacing w:after="0"/>
              <w:rPr>
                <w:sz w:val="1"/>
                <w:szCs w:val="1"/>
                <w:color w:val="auto"/>
              </w:rPr>
            </w:pPr>
          </w:p>
        </w:tc>
      </w:tr>
      <w:tr>
        <w:trPr>
          <w:trHeight w:val="432"/>
        </w:trPr>
        <w:tc>
          <w:tcPr>
            <w:tcW w:w="60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w w:val="97"/>
              </w:rPr>
              <w:t>Six months ended June 30,</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Quantity</w:t>
            </w: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Quantity</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195"/>
        </w:trPr>
        <w:tc>
          <w:tcPr>
            <w:tcW w:w="6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of digital assets including digital assets pledged as collateral as of</w:t>
            </w:r>
          </w:p>
        </w:tc>
        <w:tc>
          <w:tcPr>
            <w:tcW w:w="12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405</w:t>
            </w:r>
          </w:p>
        </w:tc>
        <w:tc>
          <w:tcPr>
            <w:tcW w:w="154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6,705</w:t>
            </w:r>
          </w:p>
        </w:tc>
        <w:tc>
          <w:tcPr>
            <w:tcW w:w="1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January 1,</w:t>
            </w: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3,301</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152,856</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BTC mined*</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2,520</w:t>
            </w:r>
          </w:p>
        </w:tc>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63,451</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2,218</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80,773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BTC purchased</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1,000</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43,237</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BTC exchanged for cash and services</w:t>
            </w: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(2,376)</w:t>
            </w: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(59,370)</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(3,375)</w:t>
            </w:r>
          </w:p>
        </w:tc>
        <w:tc>
          <w:tcPr>
            <w:tcW w:w="1040" w:type="dxa"/>
            <w:vAlign w:val="bottom"/>
          </w:tcPr>
          <w:p>
            <w:pPr>
              <w:jc w:val="right"/>
              <w:spacing w:after="0"/>
              <w:rPr>
                <w:sz w:val="20"/>
                <w:szCs w:val="20"/>
                <w:color w:val="auto"/>
              </w:rPr>
            </w:pPr>
            <w:r>
              <w:rPr>
                <w:rFonts w:ascii="Arial" w:cs="Arial" w:eastAsia="Arial" w:hAnsi="Arial"/>
                <w:sz w:val="18"/>
                <w:szCs w:val="18"/>
                <w:color w:val="auto"/>
              </w:rPr>
              <w:t>(69,975)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on disposition of digital assets**</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1,697</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(77,914)</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 in unrealized gain (loss) on revaluation of digital assets**</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4,251</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(66,773)</w:t>
            </w:r>
          </w:p>
        </w:tc>
        <w:tc>
          <w:tcPr>
            <w:tcW w:w="0" w:type="dxa"/>
            <w:vAlign w:val="bottom"/>
          </w:tcPr>
          <w:p>
            <w:pPr>
              <w:spacing w:after="0"/>
              <w:rPr>
                <w:sz w:val="1"/>
                <w:szCs w:val="1"/>
                <w:color w:val="auto"/>
              </w:rPr>
            </w:pPr>
          </w:p>
        </w:tc>
      </w:tr>
      <w:tr>
        <w:trPr>
          <w:trHeight w:val="191"/>
        </w:trPr>
        <w:tc>
          <w:tcPr>
            <w:tcW w:w="608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4"/>
              </w:rPr>
              <w:t>Balance of digital assets including digital assets pledged as collateral as of</w:t>
            </w:r>
          </w:p>
        </w:tc>
        <w:tc>
          <w:tcPr>
            <w:tcW w:w="1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June 30,</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549</w:t>
            </w:r>
          </w:p>
        </w:tc>
        <w:tc>
          <w:tcPr>
            <w:tcW w:w="15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16,734</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3,144</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62,204</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digital assets pledged as collateral as of June 30,***</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(70)</w:t>
            </w:r>
          </w:p>
        </w:tc>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(2,137)</w:t>
            </w: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(2,598)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(51,403)</w:t>
            </w:r>
          </w:p>
        </w:tc>
        <w:tc>
          <w:tcPr>
            <w:tcW w:w="0" w:type="dxa"/>
            <w:vAlign w:val="bottom"/>
          </w:tcPr>
          <w:p>
            <w:pPr>
              <w:spacing w:after="0"/>
              <w:rPr>
                <w:sz w:val="1"/>
                <w:szCs w:val="1"/>
                <w:color w:val="auto"/>
              </w:rPr>
            </w:pPr>
          </w:p>
        </w:tc>
      </w:tr>
      <w:tr>
        <w:trPr>
          <w:trHeight w:val="191"/>
        </w:trPr>
        <w:tc>
          <w:tcPr>
            <w:tcW w:w="608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3"/>
              </w:rPr>
              <w:t>Balance of digital assets excluding digital assets pledged as collateral as of</w:t>
            </w:r>
          </w:p>
        </w:tc>
        <w:tc>
          <w:tcPr>
            <w:tcW w:w="1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0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June 30,</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479</w:t>
            </w:r>
          </w:p>
        </w:tc>
        <w:tc>
          <w:tcPr>
            <w:tcW w:w="15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14,597</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546</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10,801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Management estimates the fair value of BTC mined on a daily basis as the quantity of cryptocurrency received multiplied by the price quoted on Coinmarketcap on the day it was received. Management considers the prices quoted on Coinmarketcap to be a level 2 input under IFRS 13,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w:t>
      </w:r>
    </w:p>
    <w:p>
      <w:pPr>
        <w:spacing w:after="0" w:line="184" w:lineRule="exact"/>
        <w:rPr>
          <w:sz w:val="20"/>
          <w:szCs w:val="20"/>
          <w:color w:val="auto"/>
        </w:rPr>
      </w:pPr>
    </w:p>
    <w:p>
      <w:pPr>
        <w:jc w:val="both"/>
        <w:ind w:left="340" w:hanging="332"/>
        <w:spacing w:after="0" w:line="301"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portion of the realized gain on disposition of digital assets and the change in unrealized gain on revaluation of digital assets is presented in other comprehensive income after reversing previously recorded revaluation loss on digital assets in the statement of profit or loss. For the three and six months ended June 30, 2023, a gain of $579, net of $420 of deferred income tax expense, and a gain of $2,391, net of $862 of deferred income tax expense, respectively, were presented in other comprehensive income (three and six months ended March June 30, 2022: nil and nil, respectively).</w:t>
      </w:r>
    </w:p>
    <w:p>
      <w:pPr>
        <w:spacing w:after="0" w:line="157"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Refer to Note 11 for details of the Company’s long-term debt and BTC pledged as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600"/>
        <w:spacing w:after="0"/>
        <w:rPr>
          <w:sz w:val="20"/>
          <w:szCs w:val="20"/>
          <w:color w:val="auto"/>
        </w:rPr>
      </w:pPr>
      <w:r>
        <w:rPr>
          <w:rFonts w:ascii="Arial" w:cs="Arial" w:eastAsia="Arial" w:hAnsi="Arial"/>
          <w:sz w:val="15"/>
          <w:szCs w:val="15"/>
          <w:color w:val="auto"/>
        </w:rPr>
        <w:t>11 | Page</w:t>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7:</w:t>
        <w:tab/>
        <w:t>IMPAIRMENT</w:t>
      </w:r>
    </w:p>
    <w:p>
      <w:pPr>
        <w:spacing w:after="0" w:line="229" w:lineRule="exact"/>
        <w:rPr>
          <w:sz w:val="20"/>
          <w:szCs w:val="20"/>
          <w:color w:val="auto"/>
        </w:rPr>
      </w:pPr>
    </w:p>
    <w:p>
      <w:pPr>
        <w:ind w:left="20" w:hanging="4"/>
        <w:spacing w:after="0" w:line="277" w:lineRule="auto"/>
        <w:rPr>
          <w:sz w:val="20"/>
          <w:szCs w:val="20"/>
          <w:color w:val="auto"/>
        </w:rPr>
      </w:pPr>
      <w:r>
        <w:rPr>
          <w:rFonts w:ascii="Arial" w:cs="Arial" w:eastAsia="Arial" w:hAnsi="Arial"/>
          <w:sz w:val="18"/>
          <w:szCs w:val="18"/>
          <w:color w:val="auto"/>
        </w:rPr>
        <w:t>The impairment loss on short-term prepaid deposits and property, plant and equipment for the three and six months ended June 30, 2023 was $9,982 (three and six months ended June 30, 2022: nil).</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Impairment on short-term prepaid deposits during the second quarter of 2023</w:t>
      </w:r>
    </w:p>
    <w:p>
      <w:pPr>
        <w:spacing w:after="0" w:line="2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Background</w:t>
      </w:r>
    </w:p>
    <w:p>
      <w:pPr>
        <w:spacing w:after="0" w:line="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2022, the Company entered into agreements with external brokers to be able to proceed with the importation of its miners into Argentina. Under the agreements, the Company was required to make advance deposits to the external brokers, which were classified as short-term prepaid deposits on the consolidated statements of financial position. During the three months ended June 30, 2023, the Company decided to terminate the importation agreements with the external brokers as of June 30, 2023.</w:t>
      </w:r>
    </w:p>
    <w:p>
      <w:pPr>
        <w:spacing w:after="0" w:line="19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Impairment loss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assumed the cost of terminating the importation agreements with the brokers in order to execute its new importation strategy, resulting in the Company forgoing a balance of $6,982 of deposits. Accordingly, as of June 30, 2023, the Company impaired $6,982 of short-term prepaid deposits. This impairment is presented in the consolidated statements of profit or loss and comprehensive profit or loss under Impairment on short-term prepaid deposits and property, plant and equipment.</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Impairment on mineral assets during the second quarter of 2023</w:t>
      </w:r>
    </w:p>
    <w:p>
      <w:pPr>
        <w:spacing w:after="0" w:line="2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Background</w:t>
      </w:r>
    </w:p>
    <w:p>
      <w:pPr>
        <w:spacing w:after="0" w:line="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Suni mineral asset was acquired in connection with the reverse acquisition of Bitfarms Ltd (Israel) on April 12, 2018 and its value, at the time, was estimated at $9,000 based on an independent appraiser’s valuation report. Suni is an iron ore deposit located in Canada that was held by the acquiree. Since its acquisition, following the presence of impairment indicators, the Suni mineral asset was written down to a net book value of $3,000 as of December 31, 2022.</w:t>
      </w:r>
    </w:p>
    <w:p>
      <w:pPr>
        <w:spacing w:after="0" w:line="19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Impairment loss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three months ended June 30, 2023, management planned to dispose of the Suni mineral asset, and as a result, tested the cash-generating unit for impairment, resulting in a further impairment charge of $3,000, bringing the carrying amount to nil. This impairment is presented in the consolidated statements of profit or loss and comprehensive profit or loss under Impairment on short-term prepaid deposits and property, plant and equipment.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Subsequent to June 30, 2023, the Company entered into a sale agreement with a third party to dispose of the Suni mineral asset for a nominal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12 | Page</w:t>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and December 31, 2022, property, plant and equipment (“PPE”)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BVVE and</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electrical</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Mineral</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Land and</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Leasehold</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47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Notes components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buildings</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improvements</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Vehicles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09"/>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Cost</w:t>
            </w:r>
          </w:p>
        </w:tc>
        <w:tc>
          <w:tcPr>
            <w:tcW w:w="1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0"/>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2023</w:t>
            </w:r>
          </w:p>
        </w:tc>
        <w:tc>
          <w:tcPr>
            <w:tcW w:w="1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308,205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9,000</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4,392</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45,278</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367,957</w:t>
            </w: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Additions</w:t>
            </w:r>
          </w:p>
        </w:tc>
        <w:tc>
          <w:tcPr>
            <w:tcW w:w="11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29,609</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314</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4,212</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43</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34,178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(6,268)</w:t>
            </w:r>
          </w:p>
        </w:tc>
      </w:tr>
      <w:tr>
        <w:trPr>
          <w:trHeight w:val="216"/>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Transfer to assets held for sale</w:t>
            </w:r>
          </w:p>
        </w:tc>
        <w:tc>
          <w:tcPr>
            <w:tcW w:w="1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(5,695)</w:t>
            </w:r>
          </w:p>
        </w:tc>
      </w:tr>
      <w:tr>
        <w:trPr>
          <w:trHeight w:val="210"/>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2023</w:t>
            </w:r>
          </w:p>
        </w:tc>
        <w:tc>
          <w:tcPr>
            <w:tcW w:w="1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325,930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9,000</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4,706</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49,485</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390,172</w:t>
            </w:r>
          </w:p>
        </w:tc>
      </w:tr>
      <w:tr>
        <w:trPr>
          <w:trHeight w:val="209"/>
        </w:trPr>
        <w:tc>
          <w:tcPr>
            <w:tcW w:w="4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r>
      <w:tr>
        <w:trPr>
          <w:trHeight w:val="210"/>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January 1, 2023</w:t>
            </w:r>
          </w:p>
        </w:tc>
        <w:tc>
          <w:tcPr>
            <w:tcW w:w="1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120,097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6,000</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270</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21,636</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148,529</w:t>
            </w: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38,049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1,453</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39,664</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Dispositions</w:t>
            </w:r>
          </w:p>
        </w:tc>
        <w:tc>
          <w:tcPr>
            <w:tcW w:w="1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(5,010)</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(5,071)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Transfer to assets held for sale</w:t>
            </w: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Impairment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3,000</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3,000</w:t>
            </w:r>
          </w:p>
        </w:tc>
      </w:tr>
      <w:tr>
        <w:trPr>
          <w:trHeight w:val="216"/>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Impairment on deposits transferred to PPE</w:t>
            </w:r>
          </w:p>
        </w:tc>
        <w:tc>
          <w:tcPr>
            <w:tcW w:w="1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8,031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427</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8,458</w:t>
            </w:r>
          </w:p>
        </w:tc>
      </w:tr>
      <w:tr>
        <w:trPr>
          <w:trHeight w:val="210"/>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as of June 30, 2023</w:t>
            </w:r>
          </w:p>
        </w:tc>
        <w:tc>
          <w:tcPr>
            <w:tcW w:w="1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156,229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9,000</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344</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23,511</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189,642</w:t>
            </w:r>
          </w:p>
        </w:tc>
      </w:tr>
      <w:tr>
        <w:trPr>
          <w:trHeight w:val="209"/>
        </w:trPr>
        <w:tc>
          <w:tcPr>
            <w:tcW w:w="47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r>
      <w:tr>
        <w:trPr>
          <w:trHeight w:val="217"/>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book value as of June 30, 2023</w:t>
            </w:r>
          </w:p>
        </w:tc>
        <w:tc>
          <w:tcPr>
            <w:tcW w:w="1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169,701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25,974</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200,530</w:t>
            </w:r>
          </w:p>
        </w:tc>
      </w:tr>
      <w:tr>
        <w:trPr>
          <w:trHeight w:val="414"/>
        </w:trPr>
        <w:tc>
          <w:tcPr>
            <w:tcW w:w="4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BVVE and</w:t>
            </w:r>
          </w:p>
        </w:tc>
        <w:tc>
          <w:tcPr>
            <w:tcW w:w="70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Land</w:t>
            </w: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4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electrical</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Mineral</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and</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Leasehold</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47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components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buildings</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improvements</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Vehicles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10"/>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Cost</w:t>
            </w:r>
          </w:p>
        </w:tc>
        <w:tc>
          <w:tcPr>
            <w:tcW w:w="1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0"/>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2022</w:t>
            </w:r>
          </w:p>
        </w:tc>
        <w:tc>
          <w:tcPr>
            <w:tcW w:w="1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156,647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4,549</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5,783</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176,526</w:t>
            </w: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Measurement period adjustment to business combination</w:t>
            </w:r>
          </w:p>
        </w:tc>
        <w:tc>
          <w:tcPr>
            <w:tcW w:w="1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(1,145)</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164,437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3,239</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39,495</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207,723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Dispositions</w:t>
            </w:r>
          </w:p>
        </w:tc>
        <w:tc>
          <w:tcPr>
            <w:tcW w:w="1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(3,609)</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(3,378)</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700" w:type="dxa"/>
            <w:vAlign w:val="bottom"/>
          </w:tcPr>
          <w:p>
            <w:pPr>
              <w:jc w:val="right"/>
              <w:spacing w:after="0"/>
              <w:rPr>
                <w:sz w:val="20"/>
                <w:szCs w:val="20"/>
                <w:color w:val="auto"/>
              </w:rPr>
            </w:pPr>
            <w:r>
              <w:rPr>
                <w:rFonts w:ascii="Arial" w:cs="Arial" w:eastAsia="Arial" w:hAnsi="Arial"/>
                <w:sz w:val="18"/>
                <w:szCs w:val="18"/>
                <w:color w:val="auto"/>
              </w:rPr>
              <w:t>(7,004)</w:t>
            </w:r>
          </w:p>
        </w:tc>
      </w:tr>
      <w:tr>
        <w:trPr>
          <w:trHeight w:val="216"/>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Transfer to assets held for sale</w:t>
            </w:r>
          </w:p>
        </w:tc>
        <w:tc>
          <w:tcPr>
            <w:tcW w:w="1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w:t>
            </w:r>
          </w:p>
        </w:tc>
      </w:tr>
      <w:tr>
        <w:trPr>
          <w:trHeight w:val="210"/>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December 31, 2022</w:t>
            </w:r>
          </w:p>
        </w:tc>
        <w:tc>
          <w:tcPr>
            <w:tcW w:w="1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308,205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4,392</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45,278</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367,957</w:t>
            </w:r>
          </w:p>
        </w:tc>
      </w:tr>
      <w:tr>
        <w:trPr>
          <w:trHeight w:val="209"/>
        </w:trPr>
        <w:tc>
          <w:tcPr>
            <w:tcW w:w="4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Accumulated Depreciation</w:t>
            </w:r>
          </w:p>
        </w:tc>
        <w:tc>
          <w:tcPr>
            <w:tcW w:w="1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0"/>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2022</w:t>
            </w:r>
          </w:p>
        </w:tc>
        <w:tc>
          <w:tcPr>
            <w:tcW w:w="1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35,766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1,560</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39,676</w:t>
            </w: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Depreciation</w:t>
            </w:r>
          </w:p>
        </w:tc>
        <w:tc>
          <w:tcPr>
            <w:tcW w:w="11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66,319</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1,703</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700" w:type="dxa"/>
            <w:vAlign w:val="bottom"/>
          </w:tcPr>
          <w:p>
            <w:pPr>
              <w:jc w:val="right"/>
              <w:spacing w:after="0"/>
              <w:rPr>
                <w:sz w:val="20"/>
                <w:szCs w:val="20"/>
                <w:color w:val="auto"/>
              </w:rPr>
            </w:pPr>
            <w:r>
              <w:rPr>
                <w:rFonts w:ascii="Arial" w:cs="Arial" w:eastAsia="Arial" w:hAnsi="Arial"/>
                <w:sz w:val="18"/>
                <w:szCs w:val="18"/>
                <w:color w:val="auto"/>
              </w:rPr>
              <w:t>68,339</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Transfer to assets held for sale</w:t>
            </w:r>
          </w:p>
        </w:tc>
        <w:tc>
          <w:tcPr>
            <w:tcW w:w="1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(6,040)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13,107</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42,435</w:t>
            </w:r>
          </w:p>
        </w:tc>
      </w:tr>
      <w:tr>
        <w:trPr>
          <w:trHeight w:val="216"/>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Impairment on deposits transferred to PPE</w:t>
            </w:r>
          </w:p>
        </w:tc>
        <w:tc>
          <w:tcPr>
            <w:tcW w:w="1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5,266</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7,060</w:t>
            </w:r>
          </w:p>
        </w:tc>
      </w:tr>
      <w:tr>
        <w:trPr>
          <w:trHeight w:val="210"/>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1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120,097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21,636</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148,529</w:t>
            </w:r>
          </w:p>
        </w:tc>
      </w:tr>
      <w:tr>
        <w:trPr>
          <w:trHeight w:val="209"/>
        </w:trPr>
        <w:tc>
          <w:tcPr>
            <w:tcW w:w="47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6"/>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book value as of December 31, 2022</w:t>
            </w:r>
          </w:p>
        </w:tc>
        <w:tc>
          <w:tcPr>
            <w:tcW w:w="1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188,108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4,122</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23,642</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219,428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13 | Page</w:t>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BVVE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of the quantity and models of BTC BVVE held by the Company as of June 30, 2023 and December 31, 2022 are as follows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400" w:type="dxa"/>
            <w:vAlign w:val="bottom"/>
          </w:tcPr>
          <w:p>
            <w:pPr>
              <w:jc w:val="right"/>
              <w:ind w:right="230"/>
              <w:spacing w:after="0"/>
              <w:rPr>
                <w:sz w:val="20"/>
                <w:szCs w:val="20"/>
                <w:color w:val="auto"/>
              </w:rPr>
            </w:pPr>
            <w:r>
              <w:rPr>
                <w:rFonts w:ascii="Arial" w:cs="Arial" w:eastAsia="Arial" w:hAnsi="Arial"/>
                <w:sz w:val="18"/>
                <w:szCs w:val="18"/>
                <w:b w:val="1"/>
                <w:bCs w:val="1"/>
                <w:color w:val="auto"/>
              </w:rPr>
              <w:t>MicroBT</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Bitmain</w:t>
            </w:r>
          </w:p>
        </w:tc>
        <w:tc>
          <w:tcPr>
            <w:tcW w:w="1420" w:type="dxa"/>
            <w:vAlign w:val="bottom"/>
          </w:tcPr>
          <w:p>
            <w:pPr>
              <w:jc w:val="right"/>
              <w:ind w:right="250"/>
              <w:spacing w:after="0"/>
              <w:rPr>
                <w:sz w:val="20"/>
                <w:szCs w:val="20"/>
                <w:color w:val="auto"/>
              </w:rPr>
            </w:pPr>
            <w:r>
              <w:rPr>
                <w:rFonts w:ascii="Arial" w:cs="Arial" w:eastAsia="Arial" w:hAnsi="Arial"/>
                <w:sz w:val="18"/>
                <w:szCs w:val="18"/>
                <w:b w:val="1"/>
                <w:bCs w:val="1"/>
                <w:color w:val="auto"/>
              </w:rPr>
              <w:t>Innosilicon</w:t>
            </w: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Bitmain</w:t>
            </w:r>
          </w:p>
        </w:tc>
        <w:tc>
          <w:tcPr>
            <w:tcW w:w="940" w:type="dxa"/>
            <w:vAlign w:val="bottom"/>
          </w:tcPr>
          <w:p>
            <w:pPr>
              <w:spacing w:after="0"/>
              <w:rPr>
                <w:sz w:val="18"/>
                <w:szCs w:val="18"/>
                <w:color w:val="auto"/>
              </w:rPr>
            </w:pPr>
          </w:p>
        </w:tc>
      </w:tr>
      <w:tr>
        <w:trPr>
          <w:trHeight w:val="234"/>
        </w:trPr>
        <w:tc>
          <w:tcPr>
            <w:tcW w:w="4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Whatsminer*</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S19j Pro</w:t>
            </w: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T3 &amp; T2T**</w:t>
            </w: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S19XP</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09"/>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Quantity as of January 1, 2023</w:t>
            </w:r>
          </w:p>
        </w:tc>
        <w:tc>
          <w:tcPr>
            <w:tcW w:w="2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45,375</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7,172</w:t>
            </w:r>
          </w:p>
        </w:tc>
        <w:tc>
          <w:tcPr>
            <w:tcW w:w="14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5,711</w:t>
            </w:r>
          </w:p>
        </w:tc>
        <w:tc>
          <w:tcPr>
            <w:tcW w:w="13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58,258</w:t>
            </w: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Additions</w:t>
            </w:r>
          </w:p>
        </w:tc>
        <w:tc>
          <w:tcPr>
            <w:tcW w:w="2400" w:type="dxa"/>
            <w:vAlign w:val="bottom"/>
          </w:tcPr>
          <w:p>
            <w:pPr>
              <w:jc w:val="right"/>
              <w:ind w:right="230"/>
              <w:spacing w:after="0"/>
              <w:rPr>
                <w:sz w:val="20"/>
                <w:szCs w:val="20"/>
                <w:color w:val="auto"/>
              </w:rPr>
            </w:pPr>
            <w:r>
              <w:rPr>
                <w:rFonts w:ascii="Arial" w:cs="Arial" w:eastAsia="Arial" w:hAnsi="Arial"/>
                <w:sz w:val="18"/>
                <w:szCs w:val="18"/>
                <w:b w:val="1"/>
                <w:bCs w:val="1"/>
                <w:color w:val="auto"/>
              </w:rPr>
              <w:t>5,808</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2,880</w:t>
            </w:r>
          </w:p>
        </w:tc>
        <w:tc>
          <w:tcPr>
            <w:tcW w:w="14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409</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9,097</w:t>
            </w:r>
          </w:p>
        </w:tc>
      </w:tr>
      <w:tr>
        <w:trPr>
          <w:trHeight w:val="216"/>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Dispositions</w:t>
            </w:r>
          </w:p>
        </w:tc>
        <w:tc>
          <w:tcPr>
            <w:tcW w:w="2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(540)</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(2,591)</w:t>
            </w: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(409)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(3,540)</w:t>
            </w:r>
          </w:p>
        </w:tc>
      </w:tr>
      <w:tr>
        <w:trPr>
          <w:trHeight w:val="217"/>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Quantity as of June 30, 2023</w:t>
            </w:r>
          </w:p>
        </w:tc>
        <w:tc>
          <w:tcPr>
            <w:tcW w:w="2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50,643</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10,052</w:t>
            </w: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3,120</w:t>
            </w: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63,815</w:t>
            </w:r>
          </w:p>
        </w:tc>
      </w:tr>
      <w:tr>
        <w:trPr>
          <w:trHeight w:val="216"/>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Classified as assets held for sale</w:t>
            </w:r>
          </w:p>
        </w:tc>
        <w:tc>
          <w:tcPr>
            <w:tcW w:w="2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(1,972)</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(3,120)</w:t>
            </w:r>
          </w:p>
        </w:tc>
        <w:tc>
          <w:tcPr>
            <w:tcW w:w="13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(5,092)</w:t>
            </w:r>
          </w:p>
        </w:tc>
      </w:tr>
      <w:tr>
        <w:trPr>
          <w:trHeight w:val="217"/>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Presented as property, plant and equipment</w:t>
            </w:r>
          </w:p>
        </w:tc>
        <w:tc>
          <w:tcPr>
            <w:tcW w:w="2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48,671</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10,052</w:t>
            </w: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58,723</w:t>
            </w:r>
          </w:p>
        </w:tc>
      </w:tr>
    </w:tbl>
    <w:p>
      <w:pPr>
        <w:spacing w:after="0" w:line="202" w:lineRule="exact"/>
        <w:rPr>
          <w:sz w:val="20"/>
          <w:szCs w:val="20"/>
          <w:color w:val="auto"/>
        </w:rPr>
      </w:pPr>
    </w:p>
    <w:p>
      <w:pPr>
        <w:ind w:right="2600" w:firstLine="8"/>
        <w:spacing w:after="0" w:line="527" w:lineRule="auto"/>
        <w:tabs>
          <w:tab w:leader="none" w:pos="3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1,972 M20S classified as assets held for sale, 36,018 M30S and 12,653 M31S Miners as of June 30, 2023. ** Includes 1,848 T3 and 1,272 T2T Miners classified as assets held for sale as of June 30,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Canaan</w:t>
            </w:r>
          </w:p>
        </w:tc>
        <w:tc>
          <w:tcPr>
            <w:tcW w:w="7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c>
          <w:tcPr>
            <w:tcW w:w="66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548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rPr>
              <w:t>MicroBT   Bitmain   Innosilicon  Avalon   Bitmain</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Bitmain</w:t>
            </w:r>
          </w:p>
        </w:tc>
        <w:tc>
          <w:tcPr>
            <w:tcW w:w="660" w:type="dxa"/>
            <w:vAlign w:val="bottom"/>
          </w:tcPr>
          <w:p>
            <w:pPr>
              <w:spacing w:after="0"/>
              <w:rPr>
                <w:sz w:val="18"/>
                <w:szCs w:val="18"/>
                <w:color w:val="auto"/>
              </w:rPr>
            </w:pPr>
          </w:p>
        </w:tc>
      </w:tr>
      <w:tr>
        <w:trPr>
          <w:trHeight w:val="234"/>
        </w:trPr>
        <w:tc>
          <w:tcPr>
            <w:tcW w:w="38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Whatsminer*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S19j Pro</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T3 &amp; T2T**</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A10</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S19XP</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Antminers***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10"/>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Quantity as of January 1, 2022</w:t>
            </w:r>
          </w:p>
        </w:tc>
        <w:tc>
          <w:tcPr>
            <w:tcW w:w="1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18,675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7,172</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6,446</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1,024</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8,073</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41,390</w:t>
            </w: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Additions</w:t>
            </w:r>
          </w:p>
        </w:tc>
        <w:tc>
          <w:tcPr>
            <w:tcW w:w="1920" w:type="dxa"/>
            <w:vAlign w:val="bottom"/>
          </w:tcPr>
          <w:p>
            <w:pPr>
              <w:jc w:val="right"/>
              <w:ind w:right="50"/>
              <w:spacing w:after="0"/>
              <w:rPr>
                <w:sz w:val="20"/>
                <w:szCs w:val="20"/>
                <w:color w:val="auto"/>
              </w:rPr>
            </w:pPr>
            <w:r>
              <w:rPr>
                <w:rFonts w:ascii="Arial" w:cs="Arial" w:eastAsia="Arial" w:hAnsi="Arial"/>
                <w:sz w:val="18"/>
                <w:szCs w:val="18"/>
                <w:b w:val="1"/>
                <w:bCs w:val="1"/>
                <w:color w:val="auto"/>
              </w:rPr>
              <w:t>28,499</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801</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29,300</w:t>
            </w:r>
          </w:p>
        </w:tc>
      </w:tr>
      <w:tr>
        <w:trPr>
          <w:trHeight w:val="216"/>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Dispositions</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(735)</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(1,024)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(8,073)</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(12,432)</w:t>
            </w:r>
          </w:p>
        </w:tc>
      </w:tr>
      <w:tr>
        <w:trPr>
          <w:trHeight w:val="217"/>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Quantity as of December 31, 2022</w:t>
            </w:r>
          </w:p>
        </w:tc>
        <w:tc>
          <w:tcPr>
            <w:tcW w:w="1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45,375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7,172</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5,711</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58,258</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Classified as assets held for sale</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(1,272)</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(3,784)</w:t>
            </w:r>
          </w:p>
        </w:tc>
      </w:tr>
      <w:tr>
        <w:trPr>
          <w:trHeight w:val="216"/>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Presented as ROU asset****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w:t>
            </w:r>
          </w:p>
        </w:tc>
      </w:tr>
      <w:tr>
        <w:trPr>
          <w:trHeight w:val="217"/>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Presented as property, plant and equipment</w:t>
            </w:r>
          </w:p>
        </w:tc>
        <w:tc>
          <w:tcPr>
            <w:tcW w:w="1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39,863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7,172</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4,439</w:t>
            </w: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51,474</w:t>
            </w:r>
          </w:p>
        </w:tc>
      </w:tr>
    </w:tbl>
    <w:p>
      <w:pPr>
        <w:spacing w:after="0" w:line="202" w:lineRule="exact"/>
        <w:rPr>
          <w:sz w:val="20"/>
          <w:szCs w:val="20"/>
          <w:color w:val="auto"/>
        </w:rPr>
      </w:pPr>
    </w:p>
    <w:p>
      <w:pPr>
        <w:ind w:right="4040" w:firstLine="8"/>
        <w:spacing w:after="0" w:line="530" w:lineRule="auto"/>
        <w:tabs>
          <w:tab w:leader="none" w:pos="3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2,512 M20S classified as assets held for sale, 30,210 M30S and 12,653 M31S Miners. ** Includes 4,439 T3 and 1,272 T2T Miners classified as assets held for sale.</w:t>
      </w:r>
    </w:p>
    <w:p>
      <w:pPr>
        <w:spacing w:after="0"/>
        <w:rPr>
          <w:rFonts w:ascii="Arial" w:cs="Arial" w:eastAsia="Arial" w:hAnsi="Arial"/>
          <w:sz w:val="17"/>
          <w:szCs w:val="17"/>
          <w:color w:val="auto"/>
        </w:rPr>
      </w:pPr>
      <w:r>
        <w:rPr>
          <w:rFonts w:ascii="Arial" w:cs="Arial" w:eastAsia="Arial" w:hAnsi="Arial"/>
          <w:sz w:val="18"/>
          <w:szCs w:val="18"/>
          <w:color w:val="auto"/>
        </w:rPr>
        <w:t>*** Included Antminer T15 and Antminer S15 Miners classified as assets held for sale and written off.</w:t>
      </w:r>
    </w:p>
    <w:p>
      <w:pPr>
        <w:spacing w:after="0" w:line="22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Includes 3,000 Whatsminer M31S+ with a net book value of approximately $3,330.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 | Page</w:t>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9:</w:t>
        <w:tab/>
        <w:t>LONG-TERM DEPOSITS, EQUIPMENT PREPAYMENTS, OTHER AND COMMITMENTS</w:t>
      </w:r>
    </w:p>
    <w:p>
      <w:pPr>
        <w:spacing w:after="0" w:line="225" w:lineRule="exact"/>
        <w:rPr>
          <w:sz w:val="20"/>
          <w:szCs w:val="20"/>
          <w:color w:val="auto"/>
        </w:rPr>
      </w:pPr>
    </w:p>
    <w:p>
      <w:pPr>
        <w:ind w:left="8380"/>
        <w:spacing w:after="0"/>
        <w:tabs>
          <w:tab w:leader="none" w:pos="9660" w:val="left"/>
        </w:tabs>
        <w:rPr>
          <w:sz w:val="20"/>
          <w:szCs w:val="20"/>
          <w:color w:val="auto"/>
        </w:rPr>
      </w:pPr>
      <w:r>
        <w:rPr>
          <w:rFonts w:ascii="Arial" w:cs="Arial" w:eastAsia="Arial" w:hAnsi="Arial"/>
          <w:sz w:val="18"/>
          <w:szCs w:val="18"/>
          <w:b w:val="1"/>
          <w:bCs w:val="1"/>
          <w:color w:val="auto"/>
        </w:rPr>
        <w:t>As of June 30,</w:t>
      </w:r>
      <w:r>
        <w:rPr>
          <w:sz w:val="20"/>
          <w:szCs w:val="20"/>
          <w:color w:val="auto"/>
        </w:rPr>
        <w:tab/>
      </w:r>
      <w:r>
        <w:rPr>
          <w:rFonts w:ascii="Arial" w:cs="Arial" w:eastAsia="Arial" w:hAnsi="Arial"/>
          <w:sz w:val="16"/>
          <w:szCs w:val="16"/>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8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VAT receivable</w:t>
            </w:r>
          </w:p>
        </w:tc>
        <w:tc>
          <w:tcPr>
            <w:tcW w:w="28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Security deposits for energy, insurance and rent</w:t>
            </w:r>
          </w:p>
        </w:tc>
        <w:tc>
          <w:tcPr>
            <w:tcW w:w="2820" w:type="dxa"/>
            <w:vAlign w:val="bottom"/>
          </w:tcPr>
          <w:p>
            <w:pPr>
              <w:spacing w:after="0"/>
              <w:rPr>
                <w:sz w:val="18"/>
                <w:szCs w:val="18"/>
                <w:color w:val="auto"/>
              </w:rPr>
            </w:pPr>
          </w:p>
        </w:tc>
        <w:tc>
          <w:tcPr>
            <w:tcW w:w="1440" w:type="dxa"/>
            <w:vAlign w:val="bottom"/>
          </w:tcPr>
          <w:p>
            <w:pPr>
              <w:jc w:val="right"/>
              <w:ind w:right="490"/>
              <w:spacing w:after="0"/>
              <w:rPr>
                <w:sz w:val="20"/>
                <w:szCs w:val="20"/>
                <w:color w:val="auto"/>
              </w:rPr>
            </w:pPr>
            <w:r>
              <w:rPr>
                <w:rFonts w:ascii="Arial" w:cs="Arial" w:eastAsia="Arial" w:hAnsi="Arial"/>
                <w:sz w:val="18"/>
                <w:szCs w:val="18"/>
                <w:b w:val="1"/>
                <w:bCs w:val="1"/>
                <w:color w:val="auto"/>
              </w:rPr>
              <w:t>5,537</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3,872</w:t>
            </w:r>
          </w:p>
        </w:tc>
      </w:tr>
      <w:tr>
        <w:trPr>
          <w:trHeight w:val="216"/>
        </w:trPr>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Equipment and construction prepayments</w:t>
            </w:r>
          </w:p>
        </w:tc>
        <w:tc>
          <w:tcPr>
            <w:tcW w:w="2820" w:type="dxa"/>
            <w:vAlign w:val="bottom"/>
            <w:tcBorders>
              <w:bottom w:val="single" w:sz="8" w:color="auto"/>
            </w:tcBorders>
            <w:shd w:val="clear" w:color="auto" w:fill="CCEEFF"/>
          </w:tcPr>
          <w:p>
            <w:pPr>
              <w:ind w:left="2380"/>
              <w:spacing w:after="0"/>
              <w:rPr>
                <w:sz w:val="20"/>
                <w:szCs w:val="20"/>
                <w:color w:val="auto"/>
              </w:rPr>
            </w:pPr>
            <w:r>
              <w:rPr>
                <w:rFonts w:ascii="Arial" w:cs="Arial" w:eastAsia="Arial" w:hAnsi="Arial"/>
                <w:sz w:val="18"/>
                <w:szCs w:val="18"/>
                <w:color w:val="auto"/>
              </w:rPr>
              <w:t>a</w:t>
            </w:r>
          </w:p>
        </w:tc>
        <w:tc>
          <w:tcPr>
            <w:tcW w:w="14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32,759</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32,230</w:t>
            </w:r>
          </w:p>
        </w:tc>
      </w:tr>
      <w:tr>
        <w:trPr>
          <w:trHeight w:val="217"/>
        </w:trPr>
        <w:tc>
          <w:tcPr>
            <w:tcW w:w="57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38,296</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38,185</w:t>
            </w:r>
          </w:p>
        </w:tc>
      </w:tr>
    </w:tbl>
    <w:p>
      <w:pPr>
        <w:spacing w:after="0" w:line="19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Equipment and construction prepayments</w:t>
      </w:r>
    </w:p>
    <w:p>
      <w:pPr>
        <w:spacing w:after="0" w:line="27" w:lineRule="exact"/>
        <w:rPr>
          <w:sz w:val="20"/>
          <w:szCs w:val="20"/>
          <w:color w:val="auto"/>
        </w:rPr>
      </w:pPr>
    </w:p>
    <w:p>
      <w:pPr>
        <w:jc w:val="both"/>
        <w:ind w:left="20" w:hanging="4"/>
        <w:spacing w:after="0" w:line="255" w:lineRule="auto"/>
        <w:rPr>
          <w:sz w:val="20"/>
          <w:szCs w:val="20"/>
          <w:color w:val="auto"/>
        </w:rPr>
      </w:pPr>
      <w:r>
        <w:rPr>
          <w:rFonts w:ascii="Arial" w:cs="Arial" w:eastAsia="Arial" w:hAnsi="Arial"/>
          <w:sz w:val="18"/>
          <w:szCs w:val="18"/>
          <w:color w:val="auto"/>
        </w:rPr>
        <w:t>As of June 30, 2023, the Company has deposits on BVVE and electrical components in the amount of $26,084, which includes the $19,097 credit for future purchase agreements, as described below, with a book value of $13,127, net of previously recorded impairment. In addition, the Company has deposits for construction work and materials in the amount of $6,675, mainly for the Argentina expansion.</w:t>
      </w:r>
    </w:p>
    <w:p>
      <w:pPr>
        <w:spacing w:after="0" w:line="190" w:lineRule="exact"/>
        <w:rPr>
          <w:sz w:val="20"/>
          <w:szCs w:val="20"/>
          <w:color w:val="auto"/>
        </w:rPr>
      </w:pPr>
    </w:p>
    <w:p>
      <w:pPr>
        <w:jc w:val="both"/>
        <w:ind w:left="20" w:hanging="4"/>
        <w:spacing w:after="0" w:line="263" w:lineRule="auto"/>
        <w:rPr>
          <w:sz w:val="20"/>
          <w:szCs w:val="20"/>
          <w:color w:val="auto"/>
        </w:rPr>
      </w:pPr>
      <w:r>
        <w:rPr>
          <w:rFonts w:ascii="Arial" w:cs="Arial" w:eastAsia="Arial" w:hAnsi="Arial"/>
          <w:sz w:val="18"/>
          <w:szCs w:val="18"/>
          <w:color w:val="auto"/>
        </w:rPr>
        <w:t>In December 2022, the Company renegotiated its previous purchase agreements for 48,000 Miners by extinguishing the outstanding commitments of $45,350 without penalty and establishing a $22,376 credit for deposits previously made which will be applied against future purchase agreements before October 1, 2023.</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Commitments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June 30, 2023, the Company had no off-balance sheet commitments.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NOTE 10:  TRADE PAYABLES AND ACCRUED LIABILITIES</w:t>
            </w:r>
          </w:p>
        </w:tc>
        <w:tc>
          <w:tcPr>
            <w:tcW w:w="28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2"/>
        </w:trPr>
        <w:tc>
          <w:tcPr>
            <w:tcW w:w="66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As of June 30,</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 of December 31,</w:t>
            </w:r>
          </w:p>
        </w:tc>
      </w:tr>
      <w:tr>
        <w:trPr>
          <w:trHeight w:val="210"/>
        </w:trPr>
        <w:tc>
          <w:tcPr>
            <w:tcW w:w="66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 and accrued liabilities</w:t>
            </w:r>
          </w:p>
        </w:tc>
        <w:tc>
          <w:tcPr>
            <w:tcW w:w="2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10,302</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12,897</w:t>
            </w:r>
          </w:p>
        </w:tc>
      </w:tr>
      <w:tr>
        <w:trPr>
          <w:trHeight w:val="216"/>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Government remittances</w:t>
            </w:r>
          </w:p>
        </w:tc>
        <w:tc>
          <w:tcPr>
            <w:tcW w:w="2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8,573</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7,644</w:t>
            </w:r>
          </w:p>
        </w:tc>
      </w:tr>
      <w:tr>
        <w:trPr>
          <w:trHeight w:val="217"/>
        </w:trPr>
        <w:tc>
          <w:tcPr>
            <w:tcW w:w="668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18,875</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15 | Page</w:t>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tab/>
        <w:t>LONG-TERM DEBT</w:t>
      </w:r>
    </w:p>
    <w:p>
      <w:pPr>
        <w:spacing w:after="0" w:line="225" w:lineRule="exact"/>
        <w:rPr>
          <w:sz w:val="20"/>
          <w:szCs w:val="20"/>
          <w:color w:val="auto"/>
        </w:rPr>
      </w:pPr>
    </w:p>
    <w:p>
      <w:pPr>
        <w:ind w:left="8380"/>
        <w:spacing w:after="0"/>
        <w:tabs>
          <w:tab w:leader="none" w:pos="9660" w:val="left"/>
        </w:tabs>
        <w:rPr>
          <w:sz w:val="20"/>
          <w:szCs w:val="20"/>
          <w:color w:val="auto"/>
        </w:rPr>
      </w:pPr>
      <w:r>
        <w:rPr>
          <w:rFonts w:ascii="Arial" w:cs="Arial" w:eastAsia="Arial" w:hAnsi="Arial"/>
          <w:sz w:val="18"/>
          <w:szCs w:val="18"/>
          <w:b w:val="1"/>
          <w:bCs w:val="1"/>
          <w:color w:val="auto"/>
        </w:rPr>
        <w:t>As of June 30,</w:t>
      </w:r>
      <w:r>
        <w:rPr>
          <w:sz w:val="20"/>
          <w:szCs w:val="20"/>
          <w:color w:val="auto"/>
        </w:rPr>
        <w:tab/>
      </w:r>
      <w:r>
        <w:rPr>
          <w:rFonts w:ascii="Arial" w:cs="Arial" w:eastAsia="Arial" w:hAnsi="Arial"/>
          <w:sz w:val="16"/>
          <w:szCs w:val="16"/>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20" w:type="dxa"/>
            <w:vAlign w:val="bottom"/>
            <w:tcBorders>
              <w:top w:val="single" w:sz="8" w:color="auto"/>
              <w:bottom w:val="single" w:sz="8" w:color="auto"/>
            </w:tcBorders>
          </w:tcPr>
          <w:p>
            <w:pPr>
              <w:spacing w:after="0"/>
              <w:rPr>
                <w:sz w:val="18"/>
                <w:szCs w:val="18"/>
                <w:color w:val="auto"/>
              </w:rPr>
            </w:pPr>
          </w:p>
        </w:tc>
        <w:tc>
          <w:tcPr>
            <w:tcW w:w="3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Equipment financing</w:t>
            </w:r>
          </w:p>
        </w:tc>
        <w:tc>
          <w:tcPr>
            <w:tcW w:w="3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15,523</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47,020</w:t>
            </w:r>
          </w:p>
        </w:tc>
      </w:tr>
      <w:tr>
        <w:trPr>
          <w:trHeight w:val="216"/>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Volta note payable</w:t>
            </w:r>
          </w:p>
        </w:tc>
        <w:tc>
          <w:tcPr>
            <w:tcW w:w="3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106</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w:t>
            </w: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debt</w:t>
            </w:r>
          </w:p>
        </w:tc>
        <w:tc>
          <w:tcPr>
            <w:tcW w:w="3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15,629</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47,147</w:t>
            </w:r>
          </w:p>
        </w:tc>
      </w:tr>
      <w:tr>
        <w:trPr>
          <w:trHeight w:val="216"/>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long-term debt</w:t>
            </w:r>
          </w:p>
        </w:tc>
        <w:tc>
          <w:tcPr>
            <w:tcW w:w="3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(15,556)</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(43,054)</w:t>
            </w:r>
          </w:p>
        </w:tc>
      </w:tr>
      <w:tr>
        <w:trPr>
          <w:trHeight w:val="216"/>
        </w:trPr>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Non-current portion of long-term debt</w:t>
            </w:r>
          </w:p>
        </w:tc>
        <w:tc>
          <w:tcPr>
            <w:tcW w:w="3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4,093</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Movement in long-term debt is as follows:</w:t>
            </w:r>
          </w:p>
        </w:tc>
        <w:tc>
          <w:tcPr>
            <w:tcW w:w="39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56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As of June 30,</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As of December 31</w:t>
            </w:r>
          </w:p>
        </w:tc>
      </w:tr>
      <w:tr>
        <w:trPr>
          <w:trHeight w:val="210"/>
        </w:trPr>
        <w:tc>
          <w:tcPr>
            <w:tcW w:w="56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5620" w:type="dxa"/>
            <w:vAlign w:val="bottom"/>
          </w:tcPr>
          <w:p>
            <w:pPr>
              <w:spacing w:after="0"/>
              <w:rPr>
                <w:sz w:val="18"/>
                <w:szCs w:val="18"/>
                <w:color w:val="auto"/>
              </w:rPr>
            </w:pPr>
          </w:p>
        </w:tc>
        <w:tc>
          <w:tcPr>
            <w:tcW w:w="3960" w:type="dxa"/>
            <w:vAlign w:val="bottom"/>
          </w:tcPr>
          <w:p>
            <w:pPr>
              <w:jc w:val="right"/>
              <w:ind w:right="90"/>
              <w:spacing w:after="0"/>
              <w:rPr>
                <w:sz w:val="20"/>
                <w:szCs w:val="20"/>
                <w:color w:val="auto"/>
              </w:rPr>
            </w:pPr>
            <w:r>
              <w:rPr>
                <w:rFonts w:ascii="Arial" w:cs="Arial" w:eastAsia="Arial" w:hAnsi="Arial"/>
                <w:sz w:val="18"/>
                <w:szCs w:val="18"/>
                <w:color w:val="auto"/>
              </w:rPr>
              <w:t>six-month period</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w w:val="94"/>
              </w:rPr>
              <w:t>twelve-month period</w:t>
            </w:r>
          </w:p>
        </w:tc>
      </w:tr>
      <w:tr>
        <w:trPr>
          <w:trHeight w:val="216"/>
        </w:trPr>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3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47,147</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11,167</w:t>
            </w:r>
          </w:p>
        </w:tc>
      </w:tr>
      <w:tr>
        <w:trPr>
          <w:trHeight w:val="209"/>
        </w:trPr>
        <w:tc>
          <w:tcPr>
            <w:tcW w:w="5620" w:type="dxa"/>
            <w:vAlign w:val="bottom"/>
          </w:tcPr>
          <w:p>
            <w:pPr>
              <w:spacing w:after="0"/>
              <w:rPr>
                <w:sz w:val="20"/>
                <w:szCs w:val="20"/>
                <w:color w:val="auto"/>
              </w:rPr>
            </w:pPr>
            <w:r>
              <w:rPr>
                <w:rFonts w:ascii="Arial" w:cs="Arial" w:eastAsia="Arial" w:hAnsi="Arial"/>
                <w:sz w:val="18"/>
                <w:szCs w:val="18"/>
                <w:color w:val="auto"/>
              </w:rPr>
              <w:t>Issuance of long-term debt</w:t>
            </w:r>
          </w:p>
        </w:tc>
        <w:tc>
          <w:tcPr>
            <w:tcW w:w="39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67,201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3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(20,862)</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Gain on extinguishment of long-term debt</w:t>
            </w:r>
          </w:p>
        </w:tc>
        <w:tc>
          <w:tcPr>
            <w:tcW w:w="3960" w:type="dxa"/>
            <w:vAlign w:val="bottom"/>
          </w:tcPr>
          <w:p>
            <w:pPr>
              <w:jc w:val="right"/>
              <w:ind w:right="30"/>
              <w:spacing w:after="0"/>
              <w:rPr>
                <w:sz w:val="20"/>
                <w:szCs w:val="20"/>
                <w:color w:val="auto"/>
              </w:rPr>
            </w:pPr>
            <w:r>
              <w:rPr>
                <w:rFonts w:ascii="Arial" w:cs="Arial" w:eastAsia="Arial" w:hAnsi="Arial"/>
                <w:sz w:val="18"/>
                <w:szCs w:val="18"/>
                <w:b w:val="1"/>
                <w:bCs w:val="1"/>
                <w:color w:val="auto"/>
              </w:rPr>
              <w:t>(12,580)</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on long-term debt</w:t>
            </w:r>
          </w:p>
        </w:tc>
        <w:tc>
          <w:tcPr>
            <w:tcW w:w="3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1,924</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7,311</w:t>
            </w:r>
          </w:p>
        </w:tc>
      </w:tr>
      <w:tr>
        <w:trPr>
          <w:trHeight w:val="21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period end</w:t>
            </w:r>
          </w:p>
        </w:tc>
        <w:tc>
          <w:tcPr>
            <w:tcW w:w="3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15,629</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47,147</w:t>
            </w:r>
          </w:p>
        </w:tc>
      </w:tr>
    </w:tbl>
    <w:p>
      <w:pPr>
        <w:spacing w:after="0" w:line="198" w:lineRule="exact"/>
        <w:rPr>
          <w:sz w:val="20"/>
          <w:szCs w:val="20"/>
          <w:color w:val="auto"/>
        </w:rPr>
      </w:pPr>
    </w:p>
    <w:p>
      <w:pPr>
        <w:ind w:left="20" w:right="7940" w:hanging="12"/>
        <w:spacing w:after="0" w:line="313" w:lineRule="auto"/>
        <w:tabs>
          <w:tab w:leader="none" w:pos="653"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Equipment financing activity </w:t>
      </w:r>
      <w:r>
        <w:rPr>
          <w:rFonts w:ascii="Arial" w:cs="Arial" w:eastAsia="Arial" w:hAnsi="Arial"/>
          <w:sz w:val="15"/>
          <w:szCs w:val="15"/>
          <w:b w:val="1"/>
          <w:bCs w:val="1"/>
          <w:i w:val="1"/>
          <w:iCs w:val="1"/>
          <w:color w:val="auto"/>
        </w:rPr>
        <w:t>Repayment of Foundry Loans #2, #3 and #4</w:t>
      </w:r>
    </w:p>
    <w:p>
      <w:pPr>
        <w:jc w:val="both"/>
        <w:ind w:left="20" w:hanging="5"/>
        <w:spacing w:after="0" w:line="277" w:lineRule="auto"/>
        <w:rPr>
          <w:rFonts w:ascii="Arial" w:cs="Arial" w:eastAsia="Arial" w:hAnsi="Arial"/>
          <w:sz w:val="15"/>
          <w:szCs w:val="15"/>
          <w:b w:val="1"/>
          <w:bCs w:val="1"/>
          <w:color w:val="auto"/>
        </w:rPr>
      </w:pPr>
      <w:r>
        <w:rPr>
          <w:rFonts w:ascii="Arial" w:cs="Arial" w:eastAsia="Arial" w:hAnsi="Arial"/>
          <w:sz w:val="17"/>
          <w:szCs w:val="17"/>
          <w:color w:val="auto"/>
        </w:rPr>
        <w:t>In April and May 2021, the Company entered into four loan agreements for the acquisition of 2,465 Whatsminer Miners referred to as “Foundry Loans #1, #2, #3 and #4.” During 2022, Foundry Loan #1 matured and was fully repaid. In January 2023, the principal amounts of the remaining Foundry Loans #2, #3 and #4 were fully repaid before their maturity date with forgiveness of prepayment penalties totaling $829.</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Settlement of the loan with BlockFi Lending LLC (“BlockFi”)</w:t>
      </w:r>
    </w:p>
    <w:p>
      <w:pPr>
        <w:spacing w:after="0" w:line="23" w:lineRule="exact"/>
        <w:rPr>
          <w:sz w:val="20"/>
          <w:szCs w:val="20"/>
          <w:color w:val="auto"/>
        </w:rPr>
      </w:pPr>
    </w:p>
    <w:p>
      <w:pPr>
        <w:jc w:val="both"/>
        <w:ind w:left="20" w:hanging="4"/>
        <w:spacing w:after="0" w:line="255" w:lineRule="auto"/>
        <w:rPr>
          <w:sz w:val="20"/>
          <w:szCs w:val="20"/>
          <w:color w:val="auto"/>
        </w:rPr>
      </w:pPr>
      <w:r>
        <w:rPr>
          <w:rFonts w:ascii="Arial" w:cs="Arial" w:eastAsia="Arial" w:hAnsi="Arial"/>
          <w:sz w:val="18"/>
          <w:szCs w:val="18"/>
          <w:color w:val="auto"/>
        </w:rPr>
        <w:t>In February 2022, Backbone Mining entered into an equipment financing agreement for gross proceeds of $32,000 collateralized by 6,100 Bitmain S19j Pro Miners referred to as the “BlockFi Loan”. The net proceeds received by the Company were $30,994 after capitalizing origination, closing and other transaction fees of $1,006.</w:t>
      </w:r>
    </w:p>
    <w:p>
      <w:pPr>
        <w:spacing w:after="0" w:line="190" w:lineRule="exact"/>
        <w:rPr>
          <w:sz w:val="20"/>
          <w:szCs w:val="20"/>
          <w:color w:val="auto"/>
        </w:rPr>
      </w:pPr>
    </w:p>
    <w:p>
      <w:pPr>
        <w:jc w:val="both"/>
        <w:ind w:left="20" w:hanging="4"/>
        <w:spacing w:after="0" w:line="277" w:lineRule="auto"/>
        <w:rPr>
          <w:sz w:val="20"/>
          <w:szCs w:val="20"/>
          <w:color w:val="auto"/>
        </w:rPr>
      </w:pPr>
      <w:r>
        <w:rPr>
          <w:rFonts w:ascii="Arial" w:cs="Arial" w:eastAsia="Arial" w:hAnsi="Arial"/>
          <w:sz w:val="18"/>
          <w:szCs w:val="18"/>
          <w:color w:val="auto"/>
        </w:rPr>
        <w:t>In December 2022, the Backbone Mining ceased making installment payments, which constituted a default under the loan agreement, and the BlockFi Loan was classified as current.</w:t>
      </w:r>
    </w:p>
    <w:p>
      <w:pPr>
        <w:spacing w:after="0" w:line="170" w:lineRule="exact"/>
        <w:rPr>
          <w:sz w:val="20"/>
          <w:szCs w:val="20"/>
          <w:color w:val="auto"/>
        </w:rPr>
      </w:pPr>
    </w:p>
    <w:p>
      <w:pPr>
        <w:jc w:val="both"/>
        <w:ind w:left="20" w:hanging="4"/>
        <w:spacing w:after="0" w:line="279" w:lineRule="auto"/>
        <w:rPr>
          <w:sz w:val="20"/>
          <w:szCs w:val="20"/>
          <w:color w:val="auto"/>
        </w:rPr>
      </w:pPr>
      <w:r>
        <w:rPr>
          <w:rFonts w:ascii="Arial" w:cs="Arial" w:eastAsia="Arial" w:hAnsi="Arial"/>
          <w:sz w:val="17"/>
          <w:szCs w:val="17"/>
          <w:color w:val="auto"/>
        </w:rPr>
        <w:t>On February 8, 2023, BlockFi and the Company negotiated a settlement of the loan in its entirety with a then outstanding debt balance of $20,330 for cash consideration of $7,750, discharging Backbone Mining of all further obligations and resulting in a gain on extinguishment of long-term debt of $12,580 recognized in net financial income in the consolidated statements of profit or loss and comprehensive profit or loss during the three months ended March 31, 2023. Upon settlement, all of Backbone Mining’s assets, including the 6,100 Miners collateralizing the loan, were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4"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16 | Page</w:t>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financing activity </w:t>
      </w:r>
      <w:r>
        <w:rPr>
          <w:rFonts w:ascii="Arial" w:cs="Arial" w:eastAsia="Arial" w:hAnsi="Arial"/>
          <w:sz w:val="18"/>
          <w:szCs w:val="18"/>
          <w:color w:val="auto"/>
        </w:rPr>
        <w:t>(continued)</w:t>
      </w:r>
    </w:p>
    <w:p>
      <w:pPr>
        <w:spacing w:after="0" w:line="27" w:lineRule="exact"/>
        <w:rPr>
          <w:rFonts w:ascii="Arial" w:cs="Arial" w:eastAsia="Arial" w:hAnsi="Arial"/>
          <w:sz w:val="18"/>
          <w:szCs w:val="18"/>
          <w:b w:val="1"/>
          <w:bCs w:val="1"/>
          <w:color w:val="auto"/>
        </w:rPr>
      </w:pPr>
    </w:p>
    <w:p>
      <w:pPr>
        <w:ind w:left="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NYDIG Loan</w:t>
      </w:r>
    </w:p>
    <w:p>
      <w:pPr>
        <w:spacing w:after="0" w:line="9" w:lineRule="exact"/>
        <w:rPr>
          <w:rFonts w:ascii="Arial" w:cs="Arial" w:eastAsia="Arial" w:hAnsi="Arial"/>
          <w:sz w:val="18"/>
          <w:szCs w:val="18"/>
          <w:b w:val="1"/>
          <w:bCs w:val="1"/>
          <w:color w:val="auto"/>
        </w:rPr>
      </w:pPr>
    </w:p>
    <w:p>
      <w:pPr>
        <w:jc w:val="both"/>
        <w:ind w:left="20" w:hanging="5"/>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In June 2022, Backbone entered into an equipment financing agreement, referred to as the “NYDIG Loan”, for gross proceeds of $36,860 collateralized by 10,395 Whatsminer M30S Miners. The net proceeds received by the Company were $36,123 net of origination and closing fees of $737. As part of the agreement, the Company must maintain in an identified wallet an approximate quantity of BTC whose value equates to one month of interest and principal payments on the outstanding loan. The Company pledged 70 BTC as collateral with a fair market value of $2,137 as of June 30, 2023. The pledged BTC is held in a segregated Coinbase Custody account, which BTC is owned by the Company unless there is an event of default under the NYDIG Loan.</w:t>
      </w:r>
    </w:p>
    <w:p>
      <w:pPr>
        <w:spacing w:after="0" w:line="158" w:lineRule="exact"/>
        <w:rPr>
          <w:rFonts w:ascii="Arial" w:cs="Arial" w:eastAsia="Arial" w:hAnsi="Arial"/>
          <w:sz w:val="18"/>
          <w:szCs w:val="18"/>
          <w:b w:val="1"/>
          <w:bCs w:val="1"/>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equipment financing</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June 30, 2023, the Company’s equipment financing consisted only of the NYDIG Loan. The NYDIG Loan balance and the net book value (“NBV”)</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its related collateral, as of June 30, 2023,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Long-term</w:t>
            </w:r>
          </w:p>
        </w:tc>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Monthly</w:t>
            </w: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debt balance</w:t>
            </w: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NBV of</w:t>
            </w:r>
          </w:p>
        </w:tc>
        <w:tc>
          <w:tcPr>
            <w:tcW w:w="1320" w:type="dxa"/>
            <w:vAlign w:val="bottom"/>
          </w:tcPr>
          <w:p>
            <w:pPr>
              <w:spacing w:after="0"/>
              <w:rPr>
                <w:sz w:val="18"/>
                <w:szCs w:val="18"/>
                <w:color w:val="auto"/>
              </w:rPr>
            </w:pPr>
          </w:p>
        </w:tc>
      </w:tr>
      <w:tr>
        <w:trPr>
          <w:trHeight w:val="234"/>
        </w:trPr>
        <w:tc>
          <w:tcPr>
            <w:tcW w:w="262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Maturity date</w:t>
            </w: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Stated rate</w:t>
            </w:r>
          </w:p>
        </w:tc>
        <w:tc>
          <w:tcPr>
            <w:tcW w:w="1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Effective rate*</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repayment ($)</w:t>
            </w: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Collateral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Collateral**</w:t>
            </w:r>
          </w:p>
        </w:tc>
      </w:tr>
      <w:tr>
        <w:trPr>
          <w:trHeight w:val="209"/>
        </w:trPr>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NYDIG Loan   February 2024</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12.0%</w:t>
            </w: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14.4%</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2,043</w:t>
            </w: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15,523</w:t>
            </w:r>
          </w:p>
        </w:tc>
        <w:tc>
          <w:tcPr>
            <w:tcW w:w="15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27,935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10,395</w:t>
            </w:r>
          </w:p>
        </w:tc>
      </w:tr>
    </w:tbl>
    <w:p>
      <w:pPr>
        <w:spacing w:after="0" w:line="20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implied interest rate after capitalizing financing and origination fees.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Represents the quantity of Whatsminers received in connection with the equipment financing and pledged as collateral for the related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17 | Page</w:t>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LEASES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 out below are the carrying amounts of the Company’s right-of-use (“ROU”) assets and lease liabilities and their activity during the six months ended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30, 2023 and the year ended December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060" w:type="dxa"/>
            <w:vAlign w:val="bottom"/>
          </w:tcPr>
          <w:p>
            <w:pPr>
              <w:jc w:val="right"/>
              <w:ind w:right="290"/>
              <w:spacing w:after="0"/>
              <w:rPr>
                <w:sz w:val="20"/>
                <w:szCs w:val="20"/>
                <w:color w:val="auto"/>
              </w:rPr>
            </w:pPr>
            <w:r>
              <w:rPr>
                <w:rFonts w:ascii="Arial" w:cs="Arial" w:eastAsia="Arial" w:hAnsi="Arial"/>
                <w:sz w:val="18"/>
                <w:szCs w:val="18"/>
                <w:b w:val="1"/>
                <w:bCs w:val="1"/>
                <w:color w:val="auto"/>
              </w:rPr>
              <w:t>Leased</w:t>
            </w:r>
          </w:p>
        </w:tc>
        <w:tc>
          <w:tcPr>
            <w:tcW w:w="126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Other</w:t>
            </w: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 ROU</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Lease</w:t>
            </w:r>
          </w:p>
        </w:tc>
      </w:tr>
      <w:tr>
        <w:trPr>
          <w:trHeight w:val="234"/>
        </w:trPr>
        <w:tc>
          <w:tcPr>
            <w:tcW w:w="40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premises</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Vehicles</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equipment</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assets</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liabilities</w:t>
            </w:r>
          </w:p>
        </w:tc>
      </w:tr>
      <w:tr>
        <w:trPr>
          <w:trHeight w:val="209"/>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As of January 1, 2023</w:t>
            </w:r>
          </w:p>
        </w:tc>
        <w:tc>
          <w:tcPr>
            <w:tcW w:w="20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15,694</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265</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405</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16,364</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17,864</w:t>
            </w: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Additions and extensions to ROU assets</w:t>
            </w:r>
          </w:p>
        </w:tc>
        <w:tc>
          <w:tcPr>
            <w:tcW w:w="20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318</w:t>
            </w: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rPr>
              <w:t>318</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318</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Reclass to property, plant and equipment</w:t>
            </w:r>
          </w:p>
        </w:tc>
        <w:tc>
          <w:tcPr>
            <w:tcW w:w="20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(364)</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(364)</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Depreciation</w:t>
            </w:r>
          </w:p>
        </w:tc>
        <w:tc>
          <w:tcPr>
            <w:tcW w:w="2060" w:type="dxa"/>
            <w:vAlign w:val="bottom"/>
          </w:tcPr>
          <w:p>
            <w:pPr>
              <w:jc w:val="right"/>
              <w:ind w:right="230"/>
              <w:spacing w:after="0"/>
              <w:rPr>
                <w:sz w:val="20"/>
                <w:szCs w:val="20"/>
                <w:color w:val="auto"/>
              </w:rPr>
            </w:pPr>
            <w:r>
              <w:rPr>
                <w:rFonts w:ascii="Arial" w:cs="Arial" w:eastAsia="Arial" w:hAnsi="Arial"/>
                <w:sz w:val="18"/>
                <w:szCs w:val="18"/>
                <w:b w:val="1"/>
                <w:bCs w:val="1"/>
                <w:color w:val="auto"/>
              </w:rPr>
              <w:t>(1,444)</w:t>
            </w: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(98)</w:t>
            </w: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rPr>
              <w:t>(17)</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(1,559)</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Lease termination</w:t>
            </w:r>
          </w:p>
        </w:tc>
        <w:tc>
          <w:tcPr>
            <w:tcW w:w="20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(27)</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Payments</w:t>
            </w:r>
          </w:p>
        </w:tc>
        <w:tc>
          <w:tcPr>
            <w:tcW w:w="20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(2,837)</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lease liabilities</w:t>
            </w:r>
          </w:p>
        </w:tc>
        <w:tc>
          <w:tcPr>
            <w:tcW w:w="20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Interest</w:t>
            </w:r>
          </w:p>
        </w:tc>
        <w:tc>
          <w:tcPr>
            <w:tcW w:w="20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719</w:t>
            </w:r>
          </w:p>
        </w:tc>
      </w:tr>
      <w:tr>
        <w:trPr>
          <w:trHeight w:val="216"/>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20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307</w:t>
            </w:r>
          </w:p>
        </w:tc>
      </w:tr>
      <w:tr>
        <w:trPr>
          <w:trHeight w:val="210"/>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June 30, 2023</w:t>
            </w:r>
          </w:p>
        </w:tc>
        <w:tc>
          <w:tcPr>
            <w:tcW w:w="2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14,250</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458</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24</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14,732</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16,104</w:t>
            </w:r>
          </w:p>
        </w:tc>
      </w:tr>
      <w:tr>
        <w:trPr>
          <w:trHeight w:val="209"/>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current portion of lease liabilities</w:t>
            </w:r>
          </w:p>
        </w:tc>
        <w:tc>
          <w:tcPr>
            <w:tcW w:w="20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(2,982)</w:t>
            </w:r>
          </w:p>
        </w:tc>
      </w:tr>
      <w:tr>
        <w:trPr>
          <w:trHeight w:val="217"/>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portion of lease liabilities</w:t>
            </w:r>
          </w:p>
        </w:tc>
        <w:tc>
          <w:tcPr>
            <w:tcW w:w="20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13,122</w:t>
            </w:r>
          </w:p>
        </w:tc>
      </w:tr>
      <w:tr>
        <w:trPr>
          <w:trHeight w:val="414"/>
        </w:trPr>
        <w:tc>
          <w:tcPr>
            <w:tcW w:w="4060" w:type="dxa"/>
            <w:vAlign w:val="bottom"/>
          </w:tcPr>
          <w:p>
            <w:pPr>
              <w:spacing w:after="0"/>
              <w:rPr>
                <w:sz w:val="24"/>
                <w:szCs w:val="24"/>
                <w:color w:val="auto"/>
              </w:rPr>
            </w:pPr>
          </w:p>
        </w:tc>
        <w:tc>
          <w:tcPr>
            <w:tcW w:w="2060" w:type="dxa"/>
            <w:vAlign w:val="bottom"/>
          </w:tcPr>
          <w:p>
            <w:pPr>
              <w:jc w:val="right"/>
              <w:ind w:right="290"/>
              <w:spacing w:after="0"/>
              <w:rPr>
                <w:sz w:val="20"/>
                <w:szCs w:val="20"/>
                <w:color w:val="auto"/>
              </w:rPr>
            </w:pPr>
            <w:r>
              <w:rPr>
                <w:rFonts w:ascii="Arial" w:cs="Arial" w:eastAsia="Arial" w:hAnsi="Arial"/>
                <w:sz w:val="18"/>
                <w:szCs w:val="18"/>
                <w:b w:val="1"/>
                <w:bCs w:val="1"/>
                <w:color w:val="auto"/>
              </w:rPr>
              <w:t>Leased</w:t>
            </w:r>
          </w:p>
        </w:tc>
        <w:tc>
          <w:tcPr>
            <w:tcW w:w="1260" w:type="dxa"/>
            <w:vAlign w:val="bottom"/>
          </w:tcPr>
          <w:p>
            <w:pPr>
              <w:spacing w:after="0"/>
              <w:rPr>
                <w:sz w:val="24"/>
                <w:szCs w:val="24"/>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Other</w:t>
            </w: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 ROU</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Lease</w:t>
            </w:r>
          </w:p>
        </w:tc>
      </w:tr>
      <w:tr>
        <w:trPr>
          <w:trHeight w:val="234"/>
        </w:trPr>
        <w:tc>
          <w:tcPr>
            <w:tcW w:w="40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premises</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Vehicles</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equipment</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assets</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liabilities</w:t>
            </w:r>
          </w:p>
        </w:tc>
      </w:tr>
      <w:tr>
        <w:trPr>
          <w:trHeight w:val="209"/>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As of January 1, 2022</w:t>
            </w:r>
          </w:p>
        </w:tc>
        <w:tc>
          <w:tcPr>
            <w:tcW w:w="20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9,038</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283</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76</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9,397</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13,573</w:t>
            </w: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Additions and extensions to ROU assets</w:t>
            </w:r>
          </w:p>
        </w:tc>
        <w:tc>
          <w:tcPr>
            <w:tcW w:w="2060" w:type="dxa"/>
            <w:vAlign w:val="bottom"/>
          </w:tcPr>
          <w:p>
            <w:pPr>
              <w:jc w:val="right"/>
              <w:ind w:right="290"/>
              <w:spacing w:after="0"/>
              <w:rPr>
                <w:sz w:val="20"/>
                <w:szCs w:val="20"/>
                <w:color w:val="auto"/>
              </w:rPr>
            </w:pPr>
            <w:r>
              <w:rPr>
                <w:rFonts w:ascii="Arial" w:cs="Arial" w:eastAsia="Arial" w:hAnsi="Arial"/>
                <w:sz w:val="18"/>
                <w:szCs w:val="18"/>
                <w:color w:val="auto"/>
              </w:rPr>
              <w:t>9,526</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118</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1,693</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11,337</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11,354</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(1,975)</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(129)</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(2,225)</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Lease termination</w:t>
            </w:r>
          </w:p>
        </w:tc>
        <w:tc>
          <w:tcPr>
            <w:tcW w:w="206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(111)</w:t>
            </w: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2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(791)</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(1,243)</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(2,034)</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Payments</w:t>
            </w:r>
          </w:p>
        </w:tc>
        <w:tc>
          <w:tcPr>
            <w:tcW w:w="20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(7,528)</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1,451</w:t>
            </w:r>
          </w:p>
        </w:tc>
      </w:tr>
      <w:tr>
        <w:trPr>
          <w:trHeight w:val="216"/>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w:t>
            </w:r>
          </w:p>
        </w:tc>
        <w:tc>
          <w:tcPr>
            <w:tcW w:w="2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r>
      <w:tr>
        <w:trPr>
          <w:trHeight w:val="209"/>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As of December 31, 2022</w:t>
            </w:r>
          </w:p>
        </w:tc>
        <w:tc>
          <w:tcPr>
            <w:tcW w:w="20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15,694</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265</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405</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16,364</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17,864</w:t>
            </w:r>
          </w:p>
        </w:tc>
      </w:tr>
      <w:tr>
        <w:trPr>
          <w:trHeight w:val="210"/>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lease liabilities</w:t>
            </w:r>
          </w:p>
        </w:tc>
        <w:tc>
          <w:tcPr>
            <w:tcW w:w="20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w:t>
            </w:r>
          </w:p>
        </w:tc>
      </w:tr>
      <w:tr>
        <w:trPr>
          <w:trHeight w:val="217"/>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portion of lease liabilities</w:t>
            </w:r>
          </w:p>
        </w:tc>
        <w:tc>
          <w:tcPr>
            <w:tcW w:w="20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14,215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Reliz Lease</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February 2023, the Company negotiated a modification to its lease agreement with Reliz Ltd. (where BlockFi was the lender to Reliz Ltd.) in order to settle its outstanding lease liability of $373 for a payment of $118. Refer to Note 20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18 | Page</w:t>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13:</w:t>
        <w:tab/>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taxes are computed at a tax rate of 26.5% based on tax rates expected to apply at the time of realization. Deferred taxes relate primarily to the timing differences on recognition of expenses relating to the depreciation of fixed assets, loss carryforwards and professional fees relating to the Company’s equity activity that are recorded as a reduction of equity.</w:t>
      </w:r>
    </w:p>
    <w:p>
      <w:pPr>
        <w:spacing w:after="0" w:line="190" w:lineRule="exact"/>
        <w:rPr>
          <w:sz w:val="20"/>
          <w:szCs w:val="20"/>
          <w:color w:val="auto"/>
        </w:rPr>
      </w:pPr>
    </w:p>
    <w:p>
      <w:pPr>
        <w:jc w:val="both"/>
        <w:ind w:left="20" w:hanging="4"/>
        <w:spacing w:after="0" w:line="263" w:lineRule="auto"/>
        <w:rPr>
          <w:sz w:val="20"/>
          <w:szCs w:val="20"/>
          <w:color w:val="auto"/>
        </w:rPr>
      </w:pPr>
      <w:r>
        <w:rPr>
          <w:rFonts w:ascii="Arial" w:cs="Arial" w:eastAsia="Arial" w:hAnsi="Arial"/>
          <w:sz w:val="18"/>
          <w:szCs w:val="18"/>
          <w:color w:val="auto"/>
        </w:rPr>
        <w:t>As at June 30, 2023, the Company has analyzed the recoverability of its deferred tax assets and has concluded that it is not more likely than not that sufficient taxable profit is expected to utilize these deferred tax assets. The Company will evaluate the likelihood of recoverability at each reporting date and will recognize net deferred tax asset when and if appropriate.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Current and deferred income tax expense (recovery)</w:t>
            </w:r>
          </w:p>
        </w:tc>
        <w:tc>
          <w:tcPr>
            <w:tcW w:w="2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50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Three months ended June 30,</w:t>
            </w:r>
          </w:p>
        </w:tc>
        <w:tc>
          <w:tcPr>
            <w:tcW w:w="25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w w:val="95"/>
              </w:rPr>
              <w:t>Six months ended June 30,</w:t>
            </w:r>
          </w:p>
        </w:tc>
      </w:tr>
      <w:tr>
        <w:trPr>
          <w:trHeight w:val="210"/>
        </w:trPr>
        <w:tc>
          <w:tcPr>
            <w:tcW w:w="50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09"/>
        </w:trPr>
        <w:tc>
          <w:tcPr>
            <w:tcW w:w="5040" w:type="dxa"/>
            <w:vAlign w:val="bottom"/>
          </w:tcPr>
          <w:p>
            <w:pPr>
              <w:spacing w:after="0"/>
              <w:rPr>
                <w:sz w:val="20"/>
                <w:szCs w:val="20"/>
                <w:color w:val="auto"/>
              </w:rPr>
            </w:pPr>
            <w:r>
              <w:rPr>
                <w:rFonts w:ascii="Arial" w:cs="Arial" w:eastAsia="Arial" w:hAnsi="Arial"/>
                <w:sz w:val="18"/>
                <w:szCs w:val="18"/>
                <w:b w:val="1"/>
                <w:bCs w:val="1"/>
                <w:color w:val="auto"/>
              </w:rPr>
              <w:t>Current tax expense (recovery):</w:t>
            </w:r>
          </w:p>
        </w:tc>
        <w:tc>
          <w:tcPr>
            <w:tcW w:w="2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24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144</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(12,466)</w:t>
            </w:r>
          </w:p>
        </w:tc>
        <w:tc>
          <w:tcPr>
            <w:tcW w:w="15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256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w:t>
            </w:r>
          </w:p>
        </w:tc>
      </w:tr>
      <w:tr>
        <w:trPr>
          <w:trHeight w:val="216"/>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Prior year</w:t>
            </w:r>
          </w:p>
        </w:tc>
        <w:tc>
          <w:tcPr>
            <w:tcW w:w="2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182</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214</w:t>
            </w: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182</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r>
      <w:tr>
        <w:trPr>
          <w:trHeight w:val="209"/>
        </w:trPr>
        <w:tc>
          <w:tcPr>
            <w:tcW w:w="5040" w:type="dxa"/>
            <w:vAlign w:val="bottom"/>
            <w:tcBorders>
              <w:bottom w:val="single" w:sz="8" w:color="auto"/>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326</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(12,252)</w:t>
            </w:r>
          </w:p>
        </w:tc>
        <w:tc>
          <w:tcPr>
            <w:tcW w:w="1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438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w:t>
            </w:r>
          </w:p>
        </w:tc>
      </w:tr>
      <w:tr>
        <w:trPr>
          <w:trHeight w:val="209"/>
        </w:trPr>
        <w:tc>
          <w:tcPr>
            <w:tcW w:w="5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expense (recovery):</w:t>
            </w:r>
          </w:p>
        </w:tc>
        <w:tc>
          <w:tcPr>
            <w:tcW w:w="2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Current year</w:t>
            </w:r>
          </w:p>
        </w:tc>
        <w:tc>
          <w:tcPr>
            <w:tcW w:w="2460" w:type="dxa"/>
            <w:vAlign w:val="bottom"/>
          </w:tcPr>
          <w:p>
            <w:pPr>
              <w:jc w:val="right"/>
              <w:ind w:right="290"/>
              <w:spacing w:after="0"/>
              <w:rPr>
                <w:sz w:val="20"/>
                <w:szCs w:val="20"/>
                <w:color w:val="auto"/>
              </w:rPr>
            </w:pPr>
            <w:r>
              <w:rPr>
                <w:rFonts w:ascii="Arial" w:cs="Arial" w:eastAsia="Arial" w:hAnsi="Arial"/>
                <w:sz w:val="18"/>
                <w:szCs w:val="18"/>
                <w:b w:val="1"/>
                <w:bCs w:val="1"/>
                <w:color w:val="auto"/>
              </w:rPr>
              <w:t>(420)</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(6,970)</w:t>
            </w: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(862)</w:t>
            </w:r>
          </w:p>
        </w:tc>
        <w:tc>
          <w:tcPr>
            <w:tcW w:w="1040" w:type="dxa"/>
            <w:vAlign w:val="bottom"/>
          </w:tcPr>
          <w:p>
            <w:pPr>
              <w:jc w:val="right"/>
              <w:spacing w:after="0"/>
              <w:rPr>
                <w:sz w:val="20"/>
                <w:szCs w:val="20"/>
                <w:color w:val="auto"/>
              </w:rPr>
            </w:pPr>
            <w:r>
              <w:rPr>
                <w:rFonts w:ascii="Arial" w:cs="Arial" w:eastAsia="Arial" w:hAnsi="Arial"/>
                <w:sz w:val="18"/>
                <w:szCs w:val="18"/>
                <w:color w:val="auto"/>
              </w:rPr>
              <w:t>(4,451)</w:t>
            </w:r>
          </w:p>
        </w:tc>
      </w:tr>
      <w:tr>
        <w:trPr>
          <w:trHeight w:val="216"/>
        </w:trPr>
        <w:tc>
          <w:tcPr>
            <w:tcW w:w="5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Prior year</w:t>
            </w:r>
          </w:p>
        </w:tc>
        <w:tc>
          <w:tcPr>
            <w:tcW w:w="24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(94)</w:t>
            </w:r>
          </w:p>
        </w:tc>
        <w:tc>
          <w:tcPr>
            <w:tcW w:w="1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0"/>
        </w:trPr>
        <w:tc>
          <w:tcPr>
            <w:tcW w:w="50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(420)</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(7,064)</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(862)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w:t>
            </w:r>
          </w:p>
        </w:tc>
      </w:tr>
      <w:tr>
        <w:trPr>
          <w:trHeight w:val="216"/>
        </w:trPr>
        <w:tc>
          <w:tcPr>
            <w:tcW w:w="5040" w:type="dxa"/>
            <w:vAlign w:val="bottom"/>
            <w:tcBorders>
              <w:bottom w:val="single" w:sz="8" w:color="auto"/>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(94)</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(19,316)</w:t>
            </w: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19 | Page</w:t>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14:</w:t>
        <w:tab/>
        <w:t>ASSET RETIREMENT PROVISION</w:t>
      </w:r>
    </w:p>
    <w:p>
      <w:pPr>
        <w:spacing w:after="0" w:line="225" w:lineRule="exact"/>
        <w:rPr>
          <w:sz w:val="20"/>
          <w:szCs w:val="20"/>
          <w:color w:val="auto"/>
        </w:rPr>
      </w:pPr>
    </w:p>
    <w:p>
      <w:pPr>
        <w:ind w:left="8340"/>
        <w:spacing w:after="0"/>
        <w:tabs>
          <w:tab w:leader="none" w:pos="9660" w:val="left"/>
        </w:tabs>
        <w:rPr>
          <w:sz w:val="20"/>
          <w:szCs w:val="20"/>
          <w:color w:val="auto"/>
        </w:rPr>
      </w:pPr>
      <w:r>
        <w:rPr>
          <w:rFonts w:ascii="Arial" w:cs="Arial" w:eastAsia="Arial" w:hAnsi="Arial"/>
          <w:sz w:val="18"/>
          <w:szCs w:val="18"/>
          <w:b w:val="1"/>
          <w:bCs w:val="1"/>
          <w:color w:val="auto"/>
        </w:rPr>
        <w:t>As of June 30,</w:t>
      </w:r>
      <w:r>
        <w:rPr>
          <w:sz w:val="20"/>
          <w:szCs w:val="20"/>
          <w:color w:val="auto"/>
        </w:rPr>
        <w:tab/>
      </w:r>
      <w:r>
        <w:rPr>
          <w:rFonts w:ascii="Arial" w:cs="Arial" w:eastAsia="Arial" w:hAnsi="Arial"/>
          <w:sz w:val="16"/>
          <w:szCs w:val="16"/>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Borders>
              <w:top w:val="single" w:sz="8" w:color="auto"/>
              <w:bottom w:val="single" w:sz="8" w:color="auto"/>
            </w:tcBorders>
          </w:tcPr>
          <w:p>
            <w:pPr>
              <w:spacing w:after="0"/>
              <w:rPr>
                <w:sz w:val="18"/>
                <w:szCs w:val="18"/>
                <w:color w:val="auto"/>
              </w:rPr>
            </w:pPr>
          </w:p>
        </w:tc>
        <w:tc>
          <w:tcPr>
            <w:tcW w:w="3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5720" w:type="dxa"/>
            <w:vAlign w:val="bottom"/>
          </w:tcPr>
          <w:p>
            <w:pPr>
              <w:spacing w:after="0"/>
              <w:rPr>
                <w:sz w:val="18"/>
                <w:szCs w:val="18"/>
                <w:color w:val="auto"/>
              </w:rPr>
            </w:pPr>
          </w:p>
        </w:tc>
        <w:tc>
          <w:tcPr>
            <w:tcW w:w="3800" w:type="dxa"/>
            <w:vAlign w:val="bottom"/>
          </w:tcPr>
          <w:p>
            <w:pPr>
              <w:jc w:val="right"/>
              <w:ind w:right="10"/>
              <w:spacing w:after="0"/>
              <w:rPr>
                <w:sz w:val="20"/>
                <w:szCs w:val="20"/>
                <w:color w:val="auto"/>
              </w:rPr>
            </w:pPr>
            <w:r>
              <w:rPr>
                <w:rFonts w:ascii="Arial" w:cs="Arial" w:eastAsia="Arial" w:hAnsi="Arial"/>
                <w:sz w:val="18"/>
                <w:szCs w:val="18"/>
                <w:color w:val="auto"/>
              </w:rPr>
              <w:t>six-month period</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w w:val="98"/>
              </w:rPr>
              <w:t>twelve-month period</w:t>
            </w:r>
          </w:p>
        </w:tc>
      </w:tr>
      <w:tr>
        <w:trPr>
          <w:trHeight w:val="216"/>
        </w:trPr>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3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1,979</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3800" w:type="dxa"/>
            <w:vAlign w:val="bottom"/>
          </w:tcPr>
          <w:p>
            <w:pPr>
              <w:jc w:val="right"/>
              <w:ind w:right="10"/>
              <w:spacing w:after="0"/>
              <w:rPr>
                <w:sz w:val="20"/>
                <w:szCs w:val="20"/>
                <w:color w:val="auto"/>
              </w:rPr>
            </w:pPr>
            <w:r>
              <w:rPr>
                <w:rFonts w:ascii="Arial" w:cs="Arial" w:eastAsia="Arial" w:hAnsi="Arial"/>
                <w:sz w:val="18"/>
                <w:szCs w:val="18"/>
                <w:b w:val="1"/>
                <w:bCs w:val="1"/>
                <w:color w:val="auto"/>
              </w:rPr>
              <w:t>192</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1,701</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3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16"/>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change in the foreign exchange rate</w:t>
            </w:r>
          </w:p>
        </w:tc>
        <w:tc>
          <w:tcPr>
            <w:tcW w:w="3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17"/>
        </w:trPr>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period end</w:t>
            </w:r>
          </w:p>
        </w:tc>
        <w:tc>
          <w:tcPr>
            <w:tcW w:w="3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2,284</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r>
    </w:tbl>
    <w:p>
      <w:pPr>
        <w:spacing w:after="0" w:line="202" w:lineRule="exact"/>
        <w:rPr>
          <w:sz w:val="20"/>
          <w:szCs w:val="20"/>
          <w:color w:val="auto"/>
        </w:rPr>
      </w:pPr>
    </w:p>
    <w:p>
      <w:pPr>
        <w:jc w:val="both"/>
        <w:ind w:left="20" w:hanging="4"/>
        <w:spacing w:after="0" w:line="311" w:lineRule="auto"/>
        <w:rPr>
          <w:sz w:val="20"/>
          <w:szCs w:val="20"/>
          <w:color w:val="auto"/>
        </w:rPr>
      </w:pPr>
      <w:r>
        <w:rPr>
          <w:rFonts w:ascii="Arial" w:cs="Arial" w:eastAsia="Arial" w:hAnsi="Arial"/>
          <w:sz w:val="16"/>
          <w:szCs w:val="16"/>
          <w:color w:val="auto"/>
        </w:rPr>
        <w:t>As of June 30, 2023, the Company estimated the costs of restoring its leased premises to their original state at the end of their respective lease terms to be $4,326 (December 31, 2022: $3,950), discounted to present value of $2,284 (December 31, 2022: $1,979) using annual discount rates between 7% and 10% (December 31, 2022: between 7% and 10%) over the lease periods, which were estimated to range from seven to ten years depending on the location.</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SHARE CAPITAL</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Common shares</w:t>
      </w:r>
    </w:p>
    <w:p>
      <w:pPr>
        <w:spacing w:after="0" w:line="27" w:lineRule="exact"/>
        <w:rPr>
          <w:sz w:val="20"/>
          <w:szCs w:val="20"/>
          <w:color w:val="auto"/>
        </w:rPr>
      </w:pPr>
    </w:p>
    <w:p>
      <w:pPr>
        <w:jc w:val="both"/>
        <w:ind w:left="20" w:hanging="4"/>
        <w:spacing w:after="0" w:line="260" w:lineRule="auto"/>
        <w:rPr>
          <w:sz w:val="20"/>
          <w:szCs w:val="20"/>
          <w:color w:val="auto"/>
        </w:rPr>
      </w:pPr>
      <w:r>
        <w:rPr>
          <w:rFonts w:ascii="Arial" w:cs="Arial" w:eastAsia="Arial" w:hAnsi="Arial"/>
          <w:sz w:val="18"/>
          <w:szCs w:val="18"/>
          <w:color w:val="auto"/>
        </w:rPr>
        <w:t>The Company’s authorized share capital consists of an unlimited number of common shares without par value. As of June 30, 2023, the Company had 258,259,000 issued and outstanding common shares (December 31, 2022: 224,200,000).</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Warrants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Details of the outstanding warrants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w w:val="96"/>
              </w:rPr>
              <w:t>Six months ended June 30,</w:t>
            </w:r>
          </w:p>
        </w:tc>
        <w:tc>
          <w:tcPr>
            <w:tcW w:w="1220" w:type="dxa"/>
            <w:vAlign w:val="bottom"/>
            <w:tcBorders>
              <w:bottom w:val="single" w:sz="8" w:color="auto"/>
            </w:tcBorders>
          </w:tcPr>
          <w:p>
            <w:pPr>
              <w:spacing w:after="0"/>
              <w:rPr>
                <w:sz w:val="20"/>
                <w:szCs w:val="20"/>
                <w:color w:val="auto"/>
              </w:rPr>
            </w:pPr>
          </w:p>
        </w:tc>
      </w:tr>
      <w:tr>
        <w:trPr>
          <w:trHeight w:val="210"/>
        </w:trPr>
        <w:tc>
          <w:tcPr>
            <w:tcW w:w="39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191"/>
        </w:trPr>
        <w:tc>
          <w:tcPr>
            <w:tcW w:w="39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0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Weighted</w:t>
            </w:r>
          </w:p>
        </w:tc>
        <w:tc>
          <w:tcPr>
            <w:tcW w:w="1320" w:type="dxa"/>
            <w:vAlign w:val="bottom"/>
          </w:tcPr>
          <w:p>
            <w:pPr>
              <w:spacing w:after="0"/>
              <w:rPr>
                <w:sz w:val="16"/>
                <w:szCs w:val="16"/>
                <w:color w:val="auto"/>
              </w:rPr>
            </w:pPr>
          </w:p>
        </w:tc>
        <w:tc>
          <w:tcPr>
            <w:tcW w:w="1220" w:type="dxa"/>
            <w:vAlign w:val="bottom"/>
          </w:tcPr>
          <w:p>
            <w:pPr>
              <w:jc w:val="right"/>
              <w:ind w:right="30"/>
              <w:spacing w:after="0" w:line="191" w:lineRule="exact"/>
              <w:rPr>
                <w:sz w:val="20"/>
                <w:szCs w:val="20"/>
                <w:color w:val="auto"/>
              </w:rPr>
            </w:pPr>
            <w:r>
              <w:rPr>
                <w:rFonts w:ascii="Arial" w:cs="Arial" w:eastAsia="Arial" w:hAnsi="Arial"/>
                <w:sz w:val="18"/>
                <w:szCs w:val="18"/>
                <w:color w:val="auto"/>
              </w:rPr>
              <w:t>Weighted</w:t>
            </w:r>
          </w:p>
        </w:tc>
      </w:tr>
      <w:tr>
        <w:trPr>
          <w:trHeight w:val="216"/>
        </w:trPr>
        <w:tc>
          <w:tcPr>
            <w:tcW w:w="39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average</w:t>
            </w:r>
          </w:p>
        </w:tc>
        <w:tc>
          <w:tcPr>
            <w:tcW w:w="13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average</w:t>
            </w:r>
          </w:p>
        </w:tc>
      </w:tr>
      <w:tr>
        <w:trPr>
          <w:trHeight w:val="216"/>
        </w:trPr>
        <w:tc>
          <w:tcPr>
            <w:tcW w:w="3980" w:type="dxa"/>
            <w:vAlign w:val="bottom"/>
          </w:tcPr>
          <w:p>
            <w:pPr>
              <w:spacing w:after="0"/>
              <w:rPr>
                <w:sz w:val="18"/>
                <w:szCs w:val="18"/>
                <w:color w:val="auto"/>
              </w:rPr>
            </w:pPr>
          </w:p>
        </w:tc>
        <w:tc>
          <w:tcPr>
            <w:tcW w:w="332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rPr>
              <w:t>exercise</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Number of</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exercise</w:t>
            </w:r>
          </w:p>
        </w:tc>
      </w:tr>
      <w:tr>
        <w:trPr>
          <w:trHeight w:val="234"/>
        </w:trPr>
        <w:tc>
          <w:tcPr>
            <w:tcW w:w="39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warrants</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price (USD)</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warrants</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price (USD)</w:t>
            </w: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w:t>
            </w:r>
          </w:p>
        </w:tc>
        <w:tc>
          <w:tcPr>
            <w:tcW w:w="3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19,153,000</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4.21</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19,428,000</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r>
      <w:tr>
        <w:trPr>
          <w:trHeight w:val="216"/>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Granted</w:t>
            </w:r>
          </w:p>
        </w:tc>
        <w:tc>
          <w:tcPr>
            <w:tcW w:w="3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25,000</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w:t>
            </w:r>
          </w:p>
        </w:tc>
      </w:tr>
      <w:tr>
        <w:trPr>
          <w:trHeight w:val="217"/>
        </w:trPr>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June 30,</w:t>
            </w:r>
          </w:p>
        </w:tc>
        <w:tc>
          <w:tcPr>
            <w:tcW w:w="3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19,153,000</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4.21</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19,453,000</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contractual life of the warrants as of June 30, 2023 was 0.9 years (June 30, 2022: 1.9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20 | Page</w:t>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 xml:space="preserve">SHARE CAPITAL </w:t>
      </w:r>
      <w:r>
        <w:rPr>
          <w:rFonts w:ascii="Arial" w:cs="Arial" w:eastAsia="Arial" w:hAnsi="Arial"/>
          <w:sz w:val="17"/>
          <w:szCs w:val="17"/>
          <w:color w:val="auto"/>
        </w:rPr>
        <w:t>(Continued)</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Significant transactions</w:t>
      </w:r>
    </w:p>
    <w:p>
      <w:pPr>
        <w:spacing w:after="0" w:line="2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Garlock Acquisition</w:t>
      </w:r>
    </w:p>
    <w:p>
      <w:pPr>
        <w:spacing w:after="0" w:line="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the first quarter of 2022, the Company acquired a building in Quebec referred to as “Garlock” in exchange for cash consideration of $1,783 and the issuance of 25,000 warrants granted with a strike price of $3.47 and a contractual life of 2 years.</w:t>
      </w:r>
    </w:p>
    <w:p>
      <w:pPr>
        <w:spacing w:after="0" w:line="13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At-The-Market Equity Offering Program</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Bitfarms commenced an at-the-market equity offering program on August 16, 2021, pursuant to which the Company may, at its discretion and from time-to-time, sell common shares of the Company, resulting in the Company receiving aggregate proceeds of up to $500,000.</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2023, the Company issued 33,551,000 common shares in the at-the-market equity offering program in exchange for gross proceeds of $38,900 at an average share price of approximately $1.16. The Company received net proceeds of $37,587 after paying commissions of $1,234 to the Company’s agent for the program and $79 in other transaction costs.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2022, the Company issued 11,478,000 common shares in the at-the-market equity offering program in exchange for gross proceeds of $37,165 at an average share price of approximately $3.24. The Company received net proceeds of $35,912 after paying commissions of $1,115 to the Company’s agent and $138 in other transaction costs.</w:t>
      </w:r>
    </w:p>
    <w:p>
      <w:pPr>
        <w:spacing w:after="0" w:line="13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2023, option holders exercised stock options to acquire 400,000 common shares (six months ended June 30, 2022: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55,000) resulting in proceeds of approximately $160 (six months ended June 30, 2022: $23) being paid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21 | Page</w:t>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16:</w:t>
        <w:tab/>
        <w:t>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Measurement categories and fair value</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Financial assets and financial liabilities have been classified into categories that determine their basis of measurement. The following tables show the carrying values and the fair value of assets and liabilities for each of the applicable categories:</w:t>
      </w:r>
    </w:p>
    <w:p>
      <w:pPr>
        <w:spacing w:after="0" w:line="181" w:lineRule="exact"/>
        <w:rPr>
          <w:sz w:val="20"/>
          <w:szCs w:val="20"/>
          <w:color w:val="auto"/>
        </w:rPr>
      </w:pPr>
    </w:p>
    <w:p>
      <w:pPr>
        <w:ind w:left="8380"/>
        <w:spacing w:after="0"/>
        <w:tabs>
          <w:tab w:leader="none" w:pos="9660" w:val="left"/>
        </w:tabs>
        <w:rPr>
          <w:sz w:val="20"/>
          <w:szCs w:val="20"/>
          <w:color w:val="auto"/>
        </w:rPr>
      </w:pPr>
      <w:r>
        <w:rPr>
          <w:rFonts w:ascii="Arial" w:cs="Arial" w:eastAsia="Arial" w:hAnsi="Arial"/>
          <w:sz w:val="18"/>
          <w:szCs w:val="18"/>
          <w:b w:val="1"/>
          <w:bCs w:val="1"/>
          <w:color w:val="auto"/>
        </w:rPr>
        <w:t>As of June 30,</w:t>
      </w:r>
      <w:r>
        <w:rPr>
          <w:sz w:val="20"/>
          <w:szCs w:val="20"/>
          <w:color w:val="auto"/>
        </w:rPr>
        <w:tab/>
      </w:r>
      <w:r>
        <w:rPr>
          <w:rFonts w:ascii="Arial" w:cs="Arial" w:eastAsia="Arial" w:hAnsi="Arial"/>
          <w:sz w:val="16"/>
          <w:szCs w:val="16"/>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00" w:type="dxa"/>
            <w:vAlign w:val="bottom"/>
            <w:tcBorders>
              <w:top w:val="single" w:sz="8" w:color="auto"/>
              <w:bottom w:val="single" w:sz="8" w:color="auto"/>
            </w:tcBorders>
          </w:tcPr>
          <w:p>
            <w:pPr>
              <w:spacing w:after="0"/>
              <w:rPr>
                <w:sz w:val="18"/>
                <w:szCs w:val="18"/>
                <w:color w:val="auto"/>
              </w:rPr>
            </w:pPr>
          </w:p>
        </w:tc>
        <w:tc>
          <w:tcPr>
            <w:tcW w:w="31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10"/>
        </w:trPr>
        <w:tc>
          <w:tcPr>
            <w:tcW w:w="5500" w:type="dxa"/>
            <w:vAlign w:val="bottom"/>
          </w:tcPr>
          <w:p>
            <w:pPr>
              <w:spacing w:after="0"/>
              <w:rPr>
                <w:sz w:val="20"/>
                <w:szCs w:val="20"/>
                <w:color w:val="auto"/>
              </w:rPr>
            </w:pPr>
            <w:r>
              <w:rPr>
                <w:rFonts w:ascii="Arial" w:cs="Arial" w:eastAsia="Arial" w:hAnsi="Arial"/>
                <w:sz w:val="18"/>
                <w:szCs w:val="18"/>
                <w:b w:val="1"/>
                <w:bCs w:val="1"/>
                <w:color w:val="auto"/>
              </w:rPr>
              <w:t>Financial assets at amortized cost</w:t>
            </w:r>
          </w:p>
        </w:tc>
        <w:tc>
          <w:tcPr>
            <w:tcW w:w="3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10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Level 1</w:t>
            </w:r>
          </w:p>
        </w:tc>
        <w:tc>
          <w:tcPr>
            <w:tcW w:w="14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30,891</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30,887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Trade receivables</w:t>
            </w:r>
          </w:p>
        </w:tc>
        <w:tc>
          <w:tcPr>
            <w:tcW w:w="3100" w:type="dxa"/>
            <w:vAlign w:val="bottom"/>
          </w:tcPr>
          <w:p>
            <w:pPr>
              <w:ind w:left="2180"/>
              <w:spacing w:after="0"/>
              <w:rPr>
                <w:sz w:val="20"/>
                <w:szCs w:val="20"/>
                <w:color w:val="auto"/>
              </w:rPr>
            </w:pPr>
            <w:r>
              <w:rPr>
                <w:rFonts w:ascii="Arial" w:cs="Arial" w:eastAsia="Arial" w:hAnsi="Arial"/>
                <w:sz w:val="18"/>
                <w:szCs w:val="18"/>
                <w:color w:val="auto"/>
              </w:rPr>
              <w:t>Level 2</w:t>
            </w:r>
          </w:p>
        </w:tc>
        <w:tc>
          <w:tcPr>
            <w:tcW w:w="1420" w:type="dxa"/>
            <w:vAlign w:val="bottom"/>
          </w:tcPr>
          <w:p>
            <w:pPr>
              <w:jc w:val="right"/>
              <w:ind w:right="470"/>
              <w:spacing w:after="0"/>
              <w:rPr>
                <w:sz w:val="20"/>
                <w:szCs w:val="20"/>
                <w:color w:val="auto"/>
              </w:rPr>
            </w:pPr>
            <w:r>
              <w:rPr>
                <w:rFonts w:ascii="Arial" w:cs="Arial" w:eastAsia="Arial" w:hAnsi="Arial"/>
                <w:sz w:val="18"/>
                <w:szCs w:val="18"/>
                <w:b w:val="1"/>
                <w:bCs w:val="1"/>
                <w:color w:val="auto"/>
              </w:rPr>
              <w:t>1,019</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701</w:t>
            </w:r>
          </w:p>
        </w:tc>
      </w:tr>
      <w:tr>
        <w:trPr>
          <w:trHeight w:val="216"/>
        </w:trPr>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3100" w:type="dxa"/>
            <w:vAlign w:val="bottom"/>
            <w:tcBorders>
              <w:bottom w:val="single" w:sz="8" w:color="auto"/>
            </w:tcBorders>
            <w:shd w:val="clear" w:color="auto" w:fill="CCEEFF"/>
          </w:tcPr>
          <w:p>
            <w:pPr>
              <w:ind w:left="2180"/>
              <w:spacing w:after="0"/>
              <w:rPr>
                <w:sz w:val="20"/>
                <w:szCs w:val="20"/>
                <w:color w:val="auto"/>
              </w:rPr>
            </w:pPr>
            <w:r>
              <w:rPr>
                <w:rFonts w:ascii="Arial" w:cs="Arial" w:eastAsia="Arial" w:hAnsi="Arial"/>
                <w:sz w:val="18"/>
                <w:szCs w:val="18"/>
                <w:color w:val="auto"/>
              </w:rPr>
              <w:t>Level 2</w:t>
            </w:r>
          </w:p>
        </w:tc>
        <w:tc>
          <w:tcPr>
            <w:tcW w:w="1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291</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r>
      <w:tr>
        <w:trPr>
          <w:trHeight w:val="210"/>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carrying amount and fair value</w:t>
            </w:r>
          </w:p>
        </w:tc>
        <w:tc>
          <w:tcPr>
            <w:tcW w:w="3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32,201</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31,696</w:t>
            </w: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 at amortized cost</w:t>
            </w:r>
          </w:p>
        </w:tc>
        <w:tc>
          <w:tcPr>
            <w:tcW w:w="3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Trade accounts payable and accrued liabilities</w:t>
            </w:r>
          </w:p>
        </w:tc>
        <w:tc>
          <w:tcPr>
            <w:tcW w:w="3100" w:type="dxa"/>
            <w:vAlign w:val="bottom"/>
          </w:tcPr>
          <w:p>
            <w:pPr>
              <w:ind w:left="2180"/>
              <w:spacing w:after="0"/>
              <w:rPr>
                <w:sz w:val="20"/>
                <w:szCs w:val="20"/>
                <w:color w:val="auto"/>
              </w:rPr>
            </w:pPr>
            <w:r>
              <w:rPr>
                <w:rFonts w:ascii="Arial" w:cs="Arial" w:eastAsia="Arial" w:hAnsi="Arial"/>
                <w:sz w:val="18"/>
                <w:szCs w:val="18"/>
                <w:color w:val="auto"/>
              </w:rPr>
              <w:t>Level 2</w:t>
            </w:r>
          </w:p>
        </w:tc>
        <w:tc>
          <w:tcPr>
            <w:tcW w:w="1420" w:type="dxa"/>
            <w:vAlign w:val="bottom"/>
          </w:tcPr>
          <w:p>
            <w:pPr>
              <w:jc w:val="right"/>
              <w:ind w:right="470"/>
              <w:spacing w:after="0"/>
              <w:rPr>
                <w:sz w:val="20"/>
                <w:szCs w:val="20"/>
                <w:color w:val="auto"/>
              </w:rPr>
            </w:pPr>
            <w:r>
              <w:rPr>
                <w:rFonts w:ascii="Arial" w:cs="Arial" w:eastAsia="Arial" w:hAnsi="Arial"/>
                <w:sz w:val="18"/>
                <w:szCs w:val="18"/>
                <w:b w:val="1"/>
                <w:bCs w:val="1"/>
                <w:color w:val="auto"/>
              </w:rPr>
              <w:t>10,302</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12,897</w:t>
            </w:r>
          </w:p>
        </w:tc>
      </w:tr>
      <w:tr>
        <w:trPr>
          <w:trHeight w:val="216"/>
        </w:trPr>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100" w:type="dxa"/>
            <w:vAlign w:val="bottom"/>
            <w:tcBorders>
              <w:bottom w:val="single" w:sz="8" w:color="auto"/>
            </w:tcBorders>
            <w:shd w:val="clear" w:color="auto" w:fill="CCEEFF"/>
          </w:tcPr>
          <w:p>
            <w:pPr>
              <w:ind w:left="2180"/>
              <w:spacing w:after="0"/>
              <w:rPr>
                <w:sz w:val="20"/>
                <w:szCs w:val="20"/>
                <w:color w:val="auto"/>
              </w:rPr>
            </w:pPr>
            <w:r>
              <w:rPr>
                <w:rFonts w:ascii="Arial" w:cs="Arial" w:eastAsia="Arial" w:hAnsi="Arial"/>
                <w:sz w:val="18"/>
                <w:szCs w:val="18"/>
                <w:color w:val="auto"/>
              </w:rPr>
              <w:t>Level 2</w:t>
            </w:r>
          </w:p>
        </w:tc>
        <w:tc>
          <w:tcPr>
            <w:tcW w:w="14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15,629</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47,147</w:t>
            </w:r>
          </w:p>
        </w:tc>
      </w:tr>
      <w:tr>
        <w:trPr>
          <w:trHeight w:val="20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carrying amount and fair value</w:t>
            </w:r>
          </w:p>
        </w:tc>
        <w:tc>
          <w:tcPr>
            <w:tcW w:w="3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25,931</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60,044</w:t>
            </w:r>
          </w:p>
        </w:tc>
      </w:tr>
      <w:tr>
        <w:trPr>
          <w:trHeight w:val="209"/>
        </w:trPr>
        <w:tc>
          <w:tcPr>
            <w:tcW w:w="5500" w:type="dxa"/>
            <w:vAlign w:val="bottom"/>
            <w:tcBorders>
              <w:bottom w:val="single" w:sz="8" w:color="auto"/>
            </w:tcBorders>
            <w:shd w:val="clear" w:color="auto" w:fill="CCEEFF"/>
          </w:tcPr>
          <w:p>
            <w:pPr>
              <w:spacing w:after="0"/>
              <w:rPr>
                <w:sz w:val="18"/>
                <w:szCs w:val="18"/>
                <w:color w:val="auto"/>
              </w:rPr>
            </w:pPr>
          </w:p>
        </w:tc>
        <w:tc>
          <w:tcPr>
            <w:tcW w:w="3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r>
      <w:tr>
        <w:trPr>
          <w:trHeight w:val="217"/>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carrying amount and fair value</w:t>
            </w:r>
          </w:p>
        </w:tc>
        <w:tc>
          <w:tcPr>
            <w:tcW w:w="3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6,270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(28,348)</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trade receivables, insurance refund and other receivables, trade payables and accrued liabilities and long-term debt presented in the table above are a reasonable approximation of their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assets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Starting in the first quarter of 2023, the Company entered into forward BTC option contracts to sell digital assets to reduce the risk of variability of future cash flows resulting from future sales of digital assets. The fair value of option contracts is categorized as Level 2 in the fair value hierarchy and is presented under Other assets in the consolidated statements of financial position when there is an outstanding contract at period end. As of June 30, 2023, there were no outstanding contracts. Their fair values are a recurring measurement. Fair value of derivative financial instruments generally reflects the estimated amounts that the Corporation would receive or pay, and taking into consideration the counterparty credit risk or the Corporation’s credit risk, at each reporting date. The Company uses market data such as BTC option futures to estimate the fair value of option contracts at each reporting date. The Company did not apply hedge accounting on these contracts.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gain or loss related to derivatives are recognized in net financial income in the consolidated statements of profit or loss and comprehensive profit or loss: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Three months ended June 30,</w:t>
            </w:r>
          </w:p>
        </w:tc>
        <w:tc>
          <w:tcPr>
            <w:tcW w:w="25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10"/>
        </w:trPr>
        <w:tc>
          <w:tcPr>
            <w:tcW w:w="50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09"/>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Unrealized change in fair value of outstanding contracts</w:t>
            </w:r>
          </w:p>
        </w:tc>
        <w:tc>
          <w:tcPr>
            <w:tcW w:w="256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(35)</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Realized loss on settled contracts</w:t>
            </w:r>
          </w:p>
        </w:tc>
        <w:tc>
          <w:tcPr>
            <w:tcW w:w="25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250</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180</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tcBorders>
              <w:bottom w:val="single" w:sz="8" w:color="auto"/>
            </w:tcBorders>
            <w:shd w:val="clear" w:color="auto" w:fill="CCEEFF"/>
          </w:tcPr>
          <w:p>
            <w:pPr>
              <w:spacing w:after="0"/>
              <w:rPr>
                <w:sz w:val="18"/>
                <w:szCs w:val="18"/>
                <w:color w:val="auto"/>
              </w:rPr>
            </w:pPr>
          </w:p>
        </w:tc>
        <w:tc>
          <w:tcPr>
            <w:tcW w:w="25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215</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180</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22 | Page</w:t>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TRANSACTIONS AND BALANCES WITH RELATED PARTIES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details balances payable to related parties:</w:t>
      </w:r>
    </w:p>
    <w:p>
      <w:pPr>
        <w:spacing w:after="0" w:line="221" w:lineRule="exact"/>
        <w:rPr>
          <w:sz w:val="20"/>
          <w:szCs w:val="20"/>
          <w:color w:val="auto"/>
        </w:rPr>
      </w:pPr>
    </w:p>
    <w:p>
      <w:pPr>
        <w:ind w:left="8380"/>
        <w:spacing w:after="0"/>
        <w:tabs>
          <w:tab w:leader="none" w:pos="9660" w:val="left"/>
        </w:tabs>
        <w:rPr>
          <w:sz w:val="20"/>
          <w:szCs w:val="20"/>
          <w:color w:val="auto"/>
        </w:rPr>
      </w:pPr>
      <w:r>
        <w:rPr>
          <w:rFonts w:ascii="Arial" w:cs="Arial" w:eastAsia="Arial" w:hAnsi="Arial"/>
          <w:sz w:val="18"/>
          <w:szCs w:val="18"/>
          <w:b w:val="1"/>
          <w:bCs w:val="1"/>
          <w:color w:val="auto"/>
        </w:rPr>
        <w:t>As of June 30,</w:t>
      </w:r>
      <w:r>
        <w:rPr>
          <w:sz w:val="20"/>
          <w:szCs w:val="20"/>
          <w:color w:val="auto"/>
        </w:rPr>
        <w:tab/>
      </w:r>
      <w:r>
        <w:rPr>
          <w:rFonts w:ascii="Arial" w:cs="Arial" w:eastAsia="Arial" w:hAnsi="Arial"/>
          <w:sz w:val="16"/>
          <w:szCs w:val="16"/>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60" w:type="dxa"/>
            <w:vAlign w:val="bottom"/>
            <w:tcBorders>
              <w:top w:val="single" w:sz="8" w:color="auto"/>
              <w:bottom w:val="single" w:sz="8" w:color="auto"/>
            </w:tcBorders>
          </w:tcPr>
          <w:p>
            <w:pPr>
              <w:spacing w:after="0"/>
              <w:rPr>
                <w:sz w:val="18"/>
                <w:szCs w:val="18"/>
                <w:color w:val="auto"/>
              </w:rPr>
            </w:pPr>
          </w:p>
        </w:tc>
        <w:tc>
          <w:tcPr>
            <w:tcW w:w="38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6260" w:type="dxa"/>
            <w:vAlign w:val="bottom"/>
          </w:tcPr>
          <w:p>
            <w:pPr>
              <w:spacing w:after="0"/>
              <w:rPr>
                <w:sz w:val="20"/>
                <w:szCs w:val="20"/>
                <w:color w:val="auto"/>
              </w:rPr>
            </w:pPr>
            <w:r>
              <w:rPr>
                <w:rFonts w:ascii="Arial" w:cs="Arial" w:eastAsia="Arial" w:hAnsi="Arial"/>
                <w:sz w:val="18"/>
                <w:szCs w:val="18"/>
                <w:b w:val="1"/>
                <w:bCs w:val="1"/>
                <w:color w:val="auto"/>
              </w:rPr>
              <w:t>Trade payables and accrued liabilities</w:t>
            </w:r>
          </w:p>
        </w:tc>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Directors’ remuneration</w:t>
            </w:r>
          </w:p>
        </w:tc>
        <w:tc>
          <w:tcPr>
            <w:tcW w:w="384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127</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1,522</w:t>
            </w:r>
          </w:p>
        </w:tc>
      </w:tr>
      <w:tr>
        <w:trPr>
          <w:trHeight w:val="216"/>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and senior management incentive plan</w:t>
            </w:r>
          </w:p>
        </w:tc>
        <w:tc>
          <w:tcPr>
            <w:tcW w:w="38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46</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r>
      <w:tr>
        <w:trPr>
          <w:trHeight w:val="217"/>
        </w:trPr>
        <w:tc>
          <w:tcPr>
            <w:tcW w:w="6260" w:type="dxa"/>
            <w:vAlign w:val="bottom"/>
            <w:tcBorders>
              <w:bottom w:val="single" w:sz="8" w:color="auto"/>
            </w:tcBorders>
            <w:shd w:val="clear" w:color="auto" w:fill="CCEEFF"/>
          </w:tcPr>
          <w:p>
            <w:pPr>
              <w:spacing w:after="0"/>
              <w:rPr>
                <w:sz w:val="18"/>
                <w:szCs w:val="18"/>
                <w:color w:val="auto"/>
              </w:rPr>
            </w:pPr>
          </w:p>
        </w:tc>
        <w:tc>
          <w:tcPr>
            <w:tcW w:w="38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173</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1,617</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Amounts due to related parties, other than lease liabilities, are unsecured, non-interest bearing and payable on demand.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and six months ended June 30, 2022, the Company made rent payments totaling approximately $57 and $178, respectively, to companies controlled by certain directors of the Company. No such payments were made for the three and six months ended June 30, 2023. The rent payments were classified as interest included in financial expenses and principal repayment of lease liabilities. During the year ended December 31, 2022, the Company’s leases with companies controlled by directors were renewed with third parties.</w:t>
      </w:r>
    </w:p>
    <w:p>
      <w:pPr>
        <w:spacing w:after="0" w:line="193" w:lineRule="exact"/>
        <w:rPr>
          <w:sz w:val="20"/>
          <w:szCs w:val="20"/>
          <w:color w:val="auto"/>
        </w:rPr>
      </w:pPr>
    </w:p>
    <w:p>
      <w:pPr>
        <w:jc w:val="both"/>
        <w:ind w:left="20" w:hanging="4"/>
        <w:spacing w:after="0" w:line="259" w:lineRule="auto"/>
        <w:rPr>
          <w:sz w:val="20"/>
          <w:szCs w:val="20"/>
          <w:color w:val="auto"/>
        </w:rPr>
      </w:pPr>
      <w:r>
        <w:rPr>
          <w:rFonts w:ascii="Arial" w:cs="Arial" w:eastAsia="Arial" w:hAnsi="Arial"/>
          <w:sz w:val="18"/>
          <w:szCs w:val="18"/>
          <w:color w:val="auto"/>
        </w:rPr>
        <w:t>In December 2022, the Company’s consulting agreements with two of its directors were terminated, their roles and responsibilities were reduced and termination payments totaling $1,466 were accrued and included in trade payables and accrued liabilities as at December 31, 2022 (as of June 30, 2023, balance accrued: nil). The consulting fees totaled approximately $226 and $426 for the three and six months ended June 30, 2022, respectively (for the three and six months ended June 30, 2023: nil).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transactions described above were incurred in the normal course of operations. These transactions are included in the consolidated statements of profit or loss and comprehensive profit or loss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Three months ended June 30,</w:t>
            </w:r>
          </w:p>
        </w:tc>
        <w:tc>
          <w:tcPr>
            <w:tcW w:w="25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10"/>
        </w:trPr>
        <w:tc>
          <w:tcPr>
            <w:tcW w:w="43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22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226</w:t>
            </w:r>
          </w:p>
        </w:tc>
        <w:tc>
          <w:tcPr>
            <w:tcW w:w="162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426</w:t>
            </w:r>
          </w:p>
        </w:tc>
      </w:tr>
      <w:tr>
        <w:trPr>
          <w:trHeight w:val="216"/>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financial expenses</w:t>
            </w:r>
          </w:p>
        </w:tc>
        <w:tc>
          <w:tcPr>
            <w:tcW w:w="3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w:t>
            </w:r>
          </w:p>
        </w:tc>
        <w:tc>
          <w:tcPr>
            <w:tcW w:w="1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r>
      <w:tr>
        <w:trPr>
          <w:trHeight w:val="217"/>
        </w:trPr>
        <w:tc>
          <w:tcPr>
            <w:tcW w:w="4360" w:type="dxa"/>
            <w:vAlign w:val="bottom"/>
            <w:tcBorders>
              <w:bottom w:val="single" w:sz="8" w:color="auto"/>
            </w:tcBorders>
            <w:shd w:val="clear" w:color="auto" w:fill="CCEEFF"/>
          </w:tcPr>
          <w:p>
            <w:pPr>
              <w:spacing w:after="0"/>
              <w:rPr>
                <w:sz w:val="18"/>
                <w:szCs w:val="18"/>
                <w:color w:val="auto"/>
              </w:rPr>
            </w:pPr>
          </w:p>
        </w:tc>
        <w:tc>
          <w:tcPr>
            <w:tcW w:w="32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243</w:t>
            </w:r>
          </w:p>
        </w:tc>
        <w:tc>
          <w:tcPr>
            <w:tcW w:w="1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23 | Page</w:t>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NET EARNINGS (LOSS) PER SHARE</w:t>
      </w:r>
    </w:p>
    <w:p>
      <w:pPr>
        <w:spacing w:after="0" w:line="229" w:lineRule="exact"/>
        <w:rPr>
          <w:sz w:val="20"/>
          <w:szCs w:val="20"/>
          <w:color w:val="auto"/>
        </w:rPr>
      </w:pPr>
    </w:p>
    <w:p>
      <w:pPr>
        <w:jc w:val="both"/>
        <w:ind w:left="20" w:hanging="4"/>
        <w:spacing w:after="0" w:line="279" w:lineRule="auto"/>
        <w:rPr>
          <w:sz w:val="20"/>
          <w:szCs w:val="20"/>
          <w:color w:val="auto"/>
        </w:rPr>
      </w:pPr>
      <w:r>
        <w:rPr>
          <w:rFonts w:ascii="Arial" w:cs="Arial" w:eastAsia="Arial" w:hAnsi="Arial"/>
          <w:sz w:val="17"/>
          <w:szCs w:val="17"/>
          <w:color w:val="auto"/>
        </w:rPr>
        <w:t>For the three and six month period ended June 30, 2023 and 2022, potentially dilutive securities have not been included in the calculation of diluted earnings (loss) per share because their effect is antidilutive. The additional potentially dilutive securities that would have been included in the calculation of diluted earnings per share, had their effect not been anti-dilutive for the three and six month period ended June 30, 2023, would have totaled approximately 3,850,000 and 3,731,000 (three and six months ended June 30, 2022: 1,914,000 and 2,214,000, respectively).</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SHARE-BASED PAYMENT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share-based payment expense related to stock options and restricted stock units (“RSU”) for employees, directors, consultants and former employees received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Three months ended June 30,</w:t>
            </w:r>
          </w:p>
        </w:tc>
        <w:tc>
          <w:tcPr>
            <w:tcW w:w="25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10"/>
        </w:trPr>
        <w:tc>
          <w:tcPr>
            <w:tcW w:w="45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09"/>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Equity-settled share-based payment plans</w:t>
            </w:r>
          </w:p>
        </w:tc>
        <w:tc>
          <w:tcPr>
            <w:tcW w:w="30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2,462</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7,927</w:t>
            </w:r>
          </w:p>
        </w:tc>
        <w:tc>
          <w:tcPr>
            <w:tcW w:w="1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4,998</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14,032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7" w:lineRule="exact"/>
        <w:rPr>
          <w:sz w:val="20"/>
          <w:szCs w:val="20"/>
          <w:color w:val="auto"/>
        </w:rPr>
      </w:pPr>
    </w:p>
    <w:p>
      <w:pPr>
        <w:jc w:val="both"/>
        <w:ind w:left="20" w:hanging="4"/>
        <w:spacing w:after="0" w:line="253" w:lineRule="auto"/>
        <w:rPr>
          <w:sz w:val="20"/>
          <w:szCs w:val="20"/>
          <w:color w:val="auto"/>
        </w:rPr>
      </w:pPr>
      <w:r>
        <w:rPr>
          <w:rFonts w:ascii="Arial" w:cs="Arial" w:eastAsia="Arial" w:hAnsi="Arial"/>
          <w:sz w:val="18"/>
          <w:szCs w:val="18"/>
          <w:color w:val="auto"/>
        </w:rPr>
        <w:t>On March 31, 2023, upon the voluntary surrender by option holders, the Company cancelled outstanding options exercisable for 10,535,000 common shares. The Company intended, but had no obligation, to grant new options to the persons who formerly held the cancelled options no less than 90 days after the cancellation date of the original options. As the options were cancelled without the concurrent grant of a replacement award, the cancellation was treated as a settlement for no consideration, and all remaining unrecognized share-based payment expense associated with the cancelled options was accelerated for an amount of $914 during the six months ended June 30, 2023.</w:t>
      </w:r>
    </w:p>
    <w:p>
      <w:pPr>
        <w:spacing w:after="0" w:line="191" w:lineRule="exact"/>
        <w:rPr>
          <w:sz w:val="20"/>
          <w:szCs w:val="20"/>
          <w:color w:val="auto"/>
        </w:rPr>
      </w:pPr>
    </w:p>
    <w:p>
      <w:pPr>
        <w:jc w:val="both"/>
        <w:ind w:left="20" w:hanging="4"/>
        <w:spacing w:after="0" w:line="311" w:lineRule="auto"/>
        <w:rPr>
          <w:sz w:val="20"/>
          <w:szCs w:val="20"/>
          <w:color w:val="auto"/>
        </w:rPr>
      </w:pPr>
      <w:r>
        <w:rPr>
          <w:rFonts w:ascii="Arial" w:cs="Arial" w:eastAsia="Arial" w:hAnsi="Arial"/>
          <w:sz w:val="16"/>
          <w:szCs w:val="16"/>
          <w:color w:val="auto"/>
        </w:rPr>
        <w:t>During the six months ended June 30, 2023, the Board of Directors approved stock option grants to purchase 8,471,000 common shares in accordance with the Long-Term Incentive Plan (the “LTIP Plan”) adopted on May 18, 2021 (six month ended June 30, 2022: 5,522,000 common shares). All options issued according to the LTIP Plan become exercisable when they vest and can be exercised for a maximum period of 5 years from the date of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2"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24 | Page</w:t>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 xml:space="preserve">SHARE-BASED PAYMENT </w:t>
      </w:r>
      <w:r>
        <w:rPr>
          <w:rFonts w:ascii="Arial" w:cs="Arial" w:eastAsia="Arial" w:hAnsi="Arial"/>
          <w:sz w:val="17"/>
          <w:szCs w:val="17"/>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outstanding stock options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Six months ended June 30,</w:t>
            </w:r>
          </w:p>
        </w:tc>
        <w:tc>
          <w:tcPr>
            <w:tcW w:w="1280" w:type="dxa"/>
            <w:vAlign w:val="bottom"/>
            <w:tcBorders>
              <w:bottom w:val="single" w:sz="8" w:color="auto"/>
            </w:tcBorders>
          </w:tcPr>
          <w:p>
            <w:pPr>
              <w:spacing w:after="0"/>
              <w:rPr>
                <w:sz w:val="20"/>
                <w:szCs w:val="20"/>
                <w:color w:val="auto"/>
              </w:rPr>
            </w:pPr>
          </w:p>
        </w:tc>
      </w:tr>
      <w:tr>
        <w:trPr>
          <w:trHeight w:val="209"/>
        </w:trPr>
        <w:tc>
          <w:tcPr>
            <w:tcW w:w="4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1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r>
      <w:tr>
        <w:trPr>
          <w:trHeight w:val="191"/>
        </w:trPr>
        <w:tc>
          <w:tcPr>
            <w:tcW w:w="4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8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rPr>
              <w:t>Weighted</w:t>
            </w:r>
          </w:p>
        </w:tc>
        <w:tc>
          <w:tcPr>
            <w:tcW w:w="1740" w:type="dxa"/>
            <w:vAlign w:val="bottom"/>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r>
      <w:tr>
        <w:trPr>
          <w:trHeight w:val="216"/>
        </w:trPr>
        <w:tc>
          <w:tcPr>
            <w:tcW w:w="4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17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4260" w:type="dxa"/>
            <w:vAlign w:val="bottom"/>
          </w:tcPr>
          <w:p>
            <w:pPr>
              <w:spacing w:after="0"/>
              <w:rPr>
                <w:sz w:val="18"/>
                <w:szCs w:val="18"/>
                <w:color w:val="auto"/>
              </w:rPr>
            </w:pPr>
          </w:p>
        </w:tc>
        <w:tc>
          <w:tcPr>
            <w:tcW w:w="268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 of</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Exercise Price</w:t>
            </w:r>
          </w:p>
        </w:tc>
        <w:tc>
          <w:tcPr>
            <w:tcW w:w="17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Price</w:t>
            </w:r>
          </w:p>
        </w:tc>
      </w:tr>
      <w:tr>
        <w:trPr>
          <w:trHeight w:val="234"/>
        </w:trPr>
        <w:tc>
          <w:tcPr>
            <w:tcW w:w="4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Options</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($CAD)</w:t>
            </w: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Number of Options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($CAD)</w:t>
            </w:r>
          </w:p>
        </w:tc>
      </w:tr>
      <w:tr>
        <w:trPr>
          <w:trHeight w:val="209"/>
        </w:trPr>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Outstanding, January 1,</w:t>
            </w:r>
          </w:p>
        </w:tc>
        <w:tc>
          <w:tcPr>
            <w:tcW w:w="2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21,804,000</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3.47</w:t>
            </w: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12,547,000</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5.06</w:t>
            </w: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Granted</w:t>
            </w:r>
          </w:p>
        </w:tc>
        <w:tc>
          <w:tcPr>
            <w:tcW w:w="2680" w:type="dxa"/>
            <w:vAlign w:val="bottom"/>
          </w:tcPr>
          <w:p>
            <w:pPr>
              <w:jc w:val="right"/>
              <w:ind w:right="70"/>
              <w:spacing w:after="0"/>
              <w:rPr>
                <w:sz w:val="20"/>
                <w:szCs w:val="20"/>
                <w:color w:val="auto"/>
              </w:rPr>
            </w:pPr>
            <w:r>
              <w:rPr>
                <w:rFonts w:ascii="Arial" w:cs="Arial" w:eastAsia="Arial" w:hAnsi="Arial"/>
                <w:sz w:val="18"/>
                <w:szCs w:val="18"/>
                <w:b w:val="1"/>
                <w:bCs w:val="1"/>
                <w:color w:val="auto"/>
              </w:rPr>
              <w:t>8,471,000</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1.89</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5,522,000</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(400,000)</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0.54</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Forfeited</w:t>
            </w:r>
          </w:p>
        </w:tc>
        <w:tc>
          <w:tcPr>
            <w:tcW w:w="26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(170,000)</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6.16</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2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(10,535,000)</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5.17</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Expired</w:t>
            </w:r>
          </w:p>
        </w:tc>
        <w:tc>
          <w:tcPr>
            <w:tcW w:w="2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(340,000)</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5.47</w:t>
            </w: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Outstanding, June 30,</w:t>
            </w:r>
          </w:p>
        </w:tc>
        <w:tc>
          <w:tcPr>
            <w:tcW w:w="2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19,000,000</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1.85</w:t>
            </w: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17,844,000</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4.27</w:t>
            </w:r>
          </w:p>
        </w:tc>
      </w:tr>
      <w:tr>
        <w:trPr>
          <w:trHeight w:val="223"/>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Exercisable, June 30,</w:t>
            </w:r>
          </w:p>
        </w:tc>
        <w:tc>
          <w:tcPr>
            <w:tcW w:w="2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5,841,000</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1.16</w:t>
            </w: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10,237,000</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4.40</w:t>
            </w:r>
          </w:p>
        </w:tc>
      </w:tr>
      <w:tr>
        <w:trPr>
          <w:trHeight w:val="432"/>
        </w:trPr>
        <w:tc>
          <w:tcPr>
            <w:tcW w:w="9960" w:type="dxa"/>
            <w:vAlign w:val="bottom"/>
            <w:gridSpan w:val="4"/>
          </w:tcPr>
          <w:p>
            <w:pPr>
              <w:spacing w:after="0"/>
              <w:rPr>
                <w:sz w:val="20"/>
                <w:szCs w:val="20"/>
                <w:color w:val="auto"/>
              </w:rPr>
            </w:pPr>
            <w:r>
              <w:rPr>
                <w:rFonts w:ascii="Arial" w:cs="Arial" w:eastAsia="Arial" w:hAnsi="Arial"/>
                <w:sz w:val="18"/>
                <w:szCs w:val="18"/>
                <w:color w:val="auto"/>
              </w:rPr>
              <w:t>The weighted average contractual life of the stock options as of June 30, 2023 was 4.3 years (June 30, 2022: 4.3 years).</w:t>
            </w:r>
          </w:p>
        </w:tc>
        <w:tc>
          <w:tcPr>
            <w:tcW w:w="1280" w:type="dxa"/>
            <w:vAlign w:val="bottom"/>
          </w:tcPr>
          <w:p>
            <w:pPr>
              <w:spacing w:after="0"/>
              <w:rPr>
                <w:sz w:val="24"/>
                <w:szCs w:val="24"/>
                <w:color w:val="auto"/>
              </w:rPr>
            </w:pPr>
          </w:p>
        </w:tc>
      </w:tr>
      <w:tr>
        <w:trPr>
          <w:trHeight w:val="432"/>
        </w:trPr>
        <w:tc>
          <w:tcPr>
            <w:tcW w:w="6940" w:type="dxa"/>
            <w:vAlign w:val="bottom"/>
            <w:gridSpan w:val="2"/>
          </w:tcPr>
          <w:p>
            <w:pPr>
              <w:ind w:left="20"/>
              <w:spacing w:after="0"/>
              <w:rPr>
                <w:sz w:val="20"/>
                <w:szCs w:val="20"/>
                <w:color w:val="auto"/>
              </w:rPr>
            </w:pPr>
            <w:r>
              <w:rPr>
                <w:rFonts w:ascii="Arial" w:cs="Arial" w:eastAsia="Arial" w:hAnsi="Arial"/>
                <w:sz w:val="18"/>
                <w:szCs w:val="18"/>
                <w:color w:val="auto"/>
                <w:w w:val="97"/>
              </w:rPr>
              <w:t>The inputs used to value the option grants using the Black-Scholes model are as follows:</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4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191"/>
        </w:trPr>
        <w:tc>
          <w:tcPr>
            <w:tcW w:w="4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8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June 30,</w:t>
            </w:r>
          </w:p>
        </w:tc>
      </w:tr>
      <w:tr>
        <w:trPr>
          <w:trHeight w:val="234"/>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Grant date</w:t>
            </w:r>
          </w:p>
        </w:tc>
        <w:tc>
          <w:tcPr>
            <w:tcW w:w="26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2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Expected share price volatility (%)</w:t>
            </w:r>
          </w:p>
        </w:tc>
        <w:tc>
          <w:tcPr>
            <w:tcW w:w="2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2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Expected life of stock options (years)</w:t>
            </w:r>
          </w:p>
        </w:tc>
        <w:tc>
          <w:tcPr>
            <w:tcW w:w="2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Share price (CAD)</w:t>
            </w:r>
          </w:p>
        </w:tc>
        <w:tc>
          <w:tcPr>
            <w:tcW w:w="2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1.89</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Exercise price (CAD)</w:t>
            </w:r>
          </w:p>
        </w:tc>
        <w:tc>
          <w:tcPr>
            <w:tcW w:w="2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1.89</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(USD)</w:t>
            </w:r>
          </w:p>
        </w:tc>
        <w:tc>
          <w:tcPr>
            <w:tcW w:w="2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0.89</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Vesting period (years)</w:t>
            </w:r>
          </w:p>
        </w:tc>
        <w:tc>
          <w:tcPr>
            <w:tcW w:w="2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1.5</w:t>
            </w:r>
          </w:p>
        </w:tc>
      </w:tr>
      <w:tr>
        <w:trPr>
          <w:trHeight w:val="223"/>
        </w:trPr>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Number of options granted</w:t>
            </w:r>
          </w:p>
        </w:tc>
        <w:tc>
          <w:tcPr>
            <w:tcW w:w="26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8,471,000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25 | Page</w:t>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 xml:space="preserve">SHARE-BASED PAYMENT </w:t>
      </w:r>
      <w:r>
        <w:rPr>
          <w:rFonts w:ascii="Arial" w:cs="Arial" w:eastAsia="Arial" w:hAnsi="Arial"/>
          <w:sz w:val="17"/>
          <w:szCs w:val="17"/>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Unit Shares (’‘RSU’’)</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RSUs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w w:val="94"/>
              </w:rPr>
              <w:t>Six months ended June 30,</w:t>
            </w:r>
          </w:p>
        </w:tc>
        <w:tc>
          <w:tcPr>
            <w:tcW w:w="1300" w:type="dxa"/>
            <w:vAlign w:val="bottom"/>
            <w:tcBorders>
              <w:bottom w:val="single" w:sz="8" w:color="auto"/>
            </w:tcBorders>
          </w:tcPr>
          <w:p>
            <w:pPr>
              <w:spacing w:after="0"/>
              <w:rPr>
                <w:sz w:val="20"/>
                <w:szCs w:val="20"/>
                <w:color w:val="auto"/>
              </w:rPr>
            </w:pPr>
          </w:p>
        </w:tc>
      </w:tr>
      <w:tr>
        <w:trPr>
          <w:trHeight w:val="209"/>
        </w:trPr>
        <w:tc>
          <w:tcPr>
            <w:tcW w:w="40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1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r>
      <w:tr>
        <w:trPr>
          <w:trHeight w:val="191"/>
        </w:trPr>
        <w:tc>
          <w:tcPr>
            <w:tcW w:w="40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8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rPr>
              <w:t>Weighted</w:t>
            </w:r>
          </w:p>
        </w:tc>
        <w:tc>
          <w:tcPr>
            <w:tcW w:w="1320" w:type="dxa"/>
            <w:vAlign w:val="bottom"/>
          </w:tcPr>
          <w:p>
            <w:pPr>
              <w:spacing w:after="0"/>
              <w:rPr>
                <w:sz w:val="16"/>
                <w:szCs w:val="16"/>
                <w:color w:val="auto"/>
              </w:rPr>
            </w:pPr>
          </w:p>
        </w:tc>
        <w:tc>
          <w:tcPr>
            <w:tcW w:w="13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r>
      <w:tr>
        <w:trPr>
          <w:trHeight w:val="216"/>
        </w:trPr>
        <w:tc>
          <w:tcPr>
            <w:tcW w:w="40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Average</w:t>
            </w:r>
          </w:p>
        </w:tc>
        <w:tc>
          <w:tcPr>
            <w:tcW w:w="13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000" w:type="dxa"/>
            <w:vAlign w:val="bottom"/>
          </w:tcPr>
          <w:p>
            <w:pPr>
              <w:spacing w:after="0"/>
              <w:rPr>
                <w:sz w:val="18"/>
                <w:szCs w:val="18"/>
                <w:color w:val="auto"/>
              </w:rPr>
            </w:pPr>
          </w:p>
        </w:tc>
        <w:tc>
          <w:tcPr>
            <w:tcW w:w="3340" w:type="dxa"/>
            <w:vAlign w:val="bottom"/>
          </w:tcPr>
          <w:p>
            <w:pPr>
              <w:jc w:val="right"/>
              <w:ind w:right="310"/>
              <w:spacing w:after="0"/>
              <w:rPr>
                <w:sz w:val="20"/>
                <w:szCs w:val="20"/>
                <w:color w:val="auto"/>
              </w:rPr>
            </w:pPr>
            <w:r>
              <w:rPr>
                <w:rFonts w:ascii="Arial" w:cs="Arial" w:eastAsia="Arial" w:hAnsi="Arial"/>
                <w:sz w:val="18"/>
                <w:szCs w:val="18"/>
                <w:b w:val="1"/>
                <w:bCs w:val="1"/>
                <w:color w:val="auto"/>
              </w:rPr>
              <w:t>Number of</w:t>
            </w: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Grant Price</w:t>
            </w: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 of</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4"/>
              </w:rPr>
              <w:t>Grant Price</w:t>
            </w:r>
          </w:p>
        </w:tc>
      </w:tr>
      <w:tr>
        <w:trPr>
          <w:trHeight w:val="234"/>
        </w:trPr>
        <w:tc>
          <w:tcPr>
            <w:tcW w:w="40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RSUs</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($CAD)</w:t>
            </w: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RSUs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($CAD)</w:t>
            </w:r>
          </w:p>
        </w:tc>
      </w:tr>
      <w:tr>
        <w:trPr>
          <w:trHeight w:val="210"/>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Outstanding, January 1,</w:t>
            </w:r>
          </w:p>
        </w:tc>
        <w:tc>
          <w:tcPr>
            <w:tcW w:w="3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400,000</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3.73</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200,000</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r>
      <w:tr>
        <w:trPr>
          <w:trHeight w:val="209"/>
        </w:trPr>
        <w:tc>
          <w:tcPr>
            <w:tcW w:w="4000" w:type="dxa"/>
            <w:vAlign w:val="bottom"/>
          </w:tcPr>
          <w:p>
            <w:pPr>
              <w:spacing w:after="0"/>
              <w:rPr>
                <w:sz w:val="20"/>
                <w:szCs w:val="20"/>
                <w:color w:val="auto"/>
              </w:rPr>
            </w:pPr>
            <w:r>
              <w:rPr>
                <w:rFonts w:ascii="Arial" w:cs="Arial" w:eastAsia="Arial" w:hAnsi="Arial"/>
                <w:sz w:val="18"/>
                <w:szCs w:val="18"/>
                <w:color w:val="auto"/>
              </w:rPr>
              <w:t>Granted</w:t>
            </w:r>
          </w:p>
        </w:tc>
        <w:tc>
          <w:tcPr>
            <w:tcW w:w="33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200,000</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2.45</w:t>
            </w:r>
          </w:p>
        </w:tc>
      </w:tr>
      <w:tr>
        <w:trPr>
          <w:trHeight w:val="216"/>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Settled</w:t>
            </w:r>
          </w:p>
        </w:tc>
        <w:tc>
          <w:tcPr>
            <w:tcW w:w="3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(108,000)</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3.24</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7"/>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Outstanding, June 30,</w:t>
            </w:r>
          </w:p>
        </w:tc>
        <w:tc>
          <w:tcPr>
            <w:tcW w:w="3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292,000</w:t>
            </w: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3.91</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400,000</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3.73</w:t>
            </w:r>
          </w:p>
        </w:tc>
      </w:tr>
    </w:tbl>
    <w:p>
      <w:pPr>
        <w:spacing w:after="0" w:line="202" w:lineRule="exact"/>
        <w:rPr>
          <w:sz w:val="20"/>
          <w:szCs w:val="20"/>
          <w:color w:val="auto"/>
        </w:rPr>
      </w:pPr>
    </w:p>
    <w:p>
      <w:pPr>
        <w:ind w:left="20" w:hanging="4"/>
        <w:spacing w:after="0" w:line="277" w:lineRule="auto"/>
        <w:rPr>
          <w:sz w:val="20"/>
          <w:szCs w:val="20"/>
          <w:color w:val="auto"/>
        </w:rPr>
      </w:pPr>
      <w:r>
        <w:rPr>
          <w:rFonts w:ascii="Arial" w:cs="Arial" w:eastAsia="Arial" w:hAnsi="Arial"/>
          <w:sz w:val="18"/>
          <w:szCs w:val="18"/>
          <w:color w:val="auto"/>
        </w:rPr>
        <w:t>On May 19, 2022, the Board of Directors approved the grant of 200,000 RSUs to certain members of senior management which vest 25% upfront and an additional 25% every 6 months. The value of the RSUs on the grant date was $1.91 per unit.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ADDITIONAL DETAILS TO THE STATEMENT OF PROFIT OR LOSS AND COMPREHENSIVE PROFIT OR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4200" w:type="dxa"/>
            <w:vAlign w:val="bottom"/>
            <w:gridSpan w:val="2"/>
            <w:vMerge w:val="restart"/>
          </w:tcPr>
          <w:p>
            <w:pPr>
              <w:jc w:val="right"/>
              <w:ind w:right="250"/>
              <w:spacing w:after="0"/>
              <w:rPr>
                <w:sz w:val="20"/>
                <w:szCs w:val="20"/>
                <w:color w:val="auto"/>
              </w:rPr>
            </w:pPr>
            <w:r>
              <w:rPr>
                <w:rFonts w:ascii="Arial" w:cs="Arial" w:eastAsia="Arial" w:hAnsi="Arial"/>
                <w:sz w:val="18"/>
                <w:szCs w:val="18"/>
                <w:b w:val="1"/>
                <w:bCs w:val="1"/>
                <w:color w:val="auto"/>
              </w:rPr>
              <w:t>Three months ended June 30,</w:t>
            </w:r>
          </w:p>
        </w:tc>
        <w:tc>
          <w:tcPr>
            <w:tcW w:w="2580" w:type="dxa"/>
            <w:vAlign w:val="bottom"/>
            <w:gridSpan w:val="2"/>
            <w:vMerge w:val="restart"/>
          </w:tcPr>
          <w:p>
            <w:pPr>
              <w:jc w:val="right"/>
              <w:ind w:right="23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2"/>
            <w:vMerge w:val="continue"/>
          </w:tcPr>
          <w:p>
            <w:pPr>
              <w:spacing w:after="0"/>
              <w:rPr>
                <w:sz w:val="18"/>
                <w:szCs w:val="18"/>
                <w:color w:val="auto"/>
              </w:rPr>
            </w:pPr>
          </w:p>
        </w:tc>
        <w:tc>
          <w:tcPr>
            <w:tcW w:w="25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Energy and infrastructure</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19,916</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13,891</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36,943</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23,481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Depreciation</w:t>
            </w:r>
          </w:p>
        </w:tc>
        <w:tc>
          <w:tcPr>
            <w:tcW w:w="3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20,528</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17,857</w:t>
            </w:r>
          </w:p>
        </w:tc>
        <w:tc>
          <w:tcPr>
            <w:tcW w:w="1540" w:type="dxa"/>
            <w:vAlign w:val="bottom"/>
          </w:tcPr>
          <w:p>
            <w:pPr>
              <w:jc w:val="right"/>
              <w:ind w:right="330"/>
              <w:spacing w:after="0"/>
              <w:rPr>
                <w:sz w:val="20"/>
                <w:szCs w:val="20"/>
                <w:color w:val="auto"/>
              </w:rPr>
            </w:pPr>
            <w:r>
              <w:rPr>
                <w:rFonts w:ascii="Arial" w:cs="Arial" w:eastAsia="Arial" w:hAnsi="Arial"/>
                <w:sz w:val="18"/>
                <w:szCs w:val="18"/>
                <w:b w:val="1"/>
                <w:bCs w:val="1"/>
                <w:color w:val="auto"/>
              </w:rPr>
              <w:t>41,228</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30,923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Purchases of electrical components</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620</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257</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940</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Electrician salaries and payroll taxes</w:t>
            </w:r>
          </w:p>
        </w:tc>
        <w:tc>
          <w:tcPr>
            <w:tcW w:w="3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455</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306</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811</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auto"/>
            </w:tcBorders>
            <w:shd w:val="clear" w:color="auto" w:fill="CCEEFF"/>
          </w:tcPr>
          <w:p>
            <w:pPr>
              <w:spacing w:after="0"/>
              <w:rPr>
                <w:sz w:val="18"/>
                <w:szCs w:val="18"/>
                <w:color w:val="auto"/>
              </w:rPr>
            </w:pP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41,519</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32,311</w:t>
            </w:r>
          </w:p>
        </w:tc>
        <w:tc>
          <w:tcPr>
            <w:tcW w:w="1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79,922</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55,603</w:t>
            </w:r>
          </w:p>
        </w:tc>
        <w:tc>
          <w:tcPr>
            <w:tcW w:w="0" w:type="dxa"/>
            <w:vAlign w:val="bottom"/>
          </w:tcPr>
          <w:p>
            <w:pPr>
              <w:spacing w:after="0"/>
              <w:rPr>
                <w:sz w:val="1"/>
                <w:szCs w:val="1"/>
                <w:color w:val="auto"/>
              </w:rPr>
            </w:pPr>
          </w:p>
        </w:tc>
      </w:tr>
      <w:tr>
        <w:trPr>
          <w:trHeight w:val="432"/>
        </w:trPr>
        <w:tc>
          <w:tcPr>
            <w:tcW w:w="446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4200" w:type="dxa"/>
            <w:vAlign w:val="bottom"/>
            <w:gridSpan w:val="2"/>
            <w:vMerge w:val="restart"/>
          </w:tcPr>
          <w:p>
            <w:pPr>
              <w:jc w:val="right"/>
              <w:ind w:right="250"/>
              <w:spacing w:after="0"/>
              <w:rPr>
                <w:sz w:val="20"/>
                <w:szCs w:val="20"/>
                <w:color w:val="auto"/>
              </w:rPr>
            </w:pPr>
            <w:r>
              <w:rPr>
                <w:rFonts w:ascii="Arial" w:cs="Arial" w:eastAsia="Arial" w:hAnsi="Arial"/>
                <w:sz w:val="18"/>
                <w:szCs w:val="18"/>
                <w:b w:val="1"/>
                <w:bCs w:val="1"/>
                <w:color w:val="auto"/>
              </w:rPr>
              <w:t>Three months ended June 30,</w:t>
            </w:r>
          </w:p>
        </w:tc>
        <w:tc>
          <w:tcPr>
            <w:tcW w:w="2580" w:type="dxa"/>
            <w:vAlign w:val="bottom"/>
            <w:gridSpan w:val="2"/>
            <w:vMerge w:val="restart"/>
          </w:tcPr>
          <w:p>
            <w:pPr>
              <w:jc w:val="right"/>
              <w:ind w:right="23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2"/>
            <w:vMerge w:val="continue"/>
          </w:tcPr>
          <w:p>
            <w:pPr>
              <w:spacing w:after="0"/>
              <w:rPr>
                <w:sz w:val="18"/>
                <w:szCs w:val="18"/>
                <w:color w:val="auto"/>
              </w:rPr>
            </w:pPr>
          </w:p>
        </w:tc>
        <w:tc>
          <w:tcPr>
            <w:tcW w:w="25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Salaries and share-based payment</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5,040</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9,891</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10,197</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17,551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Professional services</w:t>
            </w:r>
          </w:p>
        </w:tc>
        <w:tc>
          <w:tcPr>
            <w:tcW w:w="3060" w:type="dxa"/>
            <w:vAlign w:val="bottom"/>
          </w:tcPr>
          <w:p>
            <w:pPr>
              <w:jc w:val="right"/>
              <w:ind w:right="350"/>
              <w:spacing w:after="0"/>
              <w:rPr>
                <w:sz w:val="20"/>
                <w:szCs w:val="20"/>
                <w:color w:val="auto"/>
              </w:rPr>
            </w:pPr>
            <w:r>
              <w:rPr>
                <w:rFonts w:ascii="Arial" w:cs="Arial" w:eastAsia="Arial" w:hAnsi="Arial"/>
                <w:sz w:val="18"/>
                <w:szCs w:val="18"/>
                <w:b w:val="1"/>
                <w:bCs w:val="1"/>
                <w:color w:val="auto"/>
              </w:rPr>
              <w:t>1,652</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2,501</w:t>
            </w:r>
          </w:p>
        </w:tc>
        <w:tc>
          <w:tcPr>
            <w:tcW w:w="1540" w:type="dxa"/>
            <w:vAlign w:val="bottom"/>
          </w:tcPr>
          <w:p>
            <w:pPr>
              <w:jc w:val="right"/>
              <w:ind w:right="330"/>
              <w:spacing w:after="0"/>
              <w:rPr>
                <w:sz w:val="20"/>
                <w:szCs w:val="20"/>
                <w:color w:val="auto"/>
              </w:rPr>
            </w:pPr>
            <w:r>
              <w:rPr>
                <w:rFonts w:ascii="Arial" w:cs="Arial" w:eastAsia="Arial" w:hAnsi="Arial"/>
                <w:sz w:val="18"/>
                <w:szCs w:val="18"/>
                <w:b w:val="1"/>
                <w:bCs w:val="1"/>
                <w:color w:val="auto"/>
              </w:rPr>
              <w:t>3,530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Insurance, duties and other</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1,938</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2,394</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2,912</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Travel, motor vehicle and meals</w:t>
            </w:r>
          </w:p>
        </w:tc>
        <w:tc>
          <w:tcPr>
            <w:tcW w:w="3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205</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346</w:t>
            </w:r>
          </w:p>
        </w:tc>
        <w:tc>
          <w:tcPr>
            <w:tcW w:w="1540" w:type="dxa"/>
            <w:vAlign w:val="bottom"/>
          </w:tcPr>
          <w:p>
            <w:pPr>
              <w:jc w:val="right"/>
              <w:ind w:right="330"/>
              <w:spacing w:after="0"/>
              <w:rPr>
                <w:sz w:val="20"/>
                <w:szCs w:val="20"/>
                <w:color w:val="auto"/>
              </w:rPr>
            </w:pPr>
            <w:r>
              <w:rPr>
                <w:rFonts w:ascii="Arial" w:cs="Arial" w:eastAsia="Arial" w:hAnsi="Arial"/>
                <w:sz w:val="18"/>
                <w:szCs w:val="18"/>
                <w:b w:val="1"/>
                <w:bCs w:val="1"/>
                <w:color w:val="auto"/>
              </w:rPr>
              <w:t>383</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Hosting and telecommunications</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114</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191</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206</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Advertising and promotion</w:t>
            </w:r>
          </w:p>
        </w:tc>
        <w:tc>
          <w:tcPr>
            <w:tcW w:w="3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206</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69</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287</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7"/>
        </w:trPr>
        <w:tc>
          <w:tcPr>
            <w:tcW w:w="4460" w:type="dxa"/>
            <w:vAlign w:val="bottom"/>
            <w:tcBorders>
              <w:bottom w:val="single" w:sz="8" w:color="auto"/>
            </w:tcBorders>
            <w:shd w:val="clear" w:color="auto" w:fill="CCEEFF"/>
          </w:tcPr>
          <w:p>
            <w:pPr>
              <w:spacing w:after="0"/>
              <w:rPr>
                <w:sz w:val="18"/>
                <w:szCs w:val="18"/>
                <w:color w:val="auto"/>
              </w:rPr>
            </w:pP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9,155</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15,392</w:t>
            </w:r>
          </w:p>
        </w:tc>
        <w:tc>
          <w:tcPr>
            <w:tcW w:w="1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17,515</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29,235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26 | Page</w:t>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 xml:space="preserve">ADDITIONAL DETAILS TO THE STATEMENT OF PROFIT OR LOSS AND COMPREHENSIVE PROFIT OR LOSS </w:t>
      </w:r>
      <w:r>
        <w:rPr>
          <w:rFonts w:ascii="Arial" w:cs="Arial" w:eastAsia="Arial" w:hAnsi="Arial"/>
          <w:sz w:val="17"/>
          <w:szCs w:val="17"/>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Net financial income</w:t>
            </w: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49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w w:val="92"/>
              </w:rPr>
              <w:t>Three months ended June 30,</w:t>
            </w:r>
          </w:p>
        </w:tc>
        <w:tc>
          <w:tcPr>
            <w:tcW w:w="25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w w:val="95"/>
              </w:rPr>
              <w:t>Six months ended June 30,</w:t>
            </w:r>
          </w:p>
        </w:tc>
      </w:tr>
      <w:tr>
        <w:trPr>
          <w:trHeight w:val="209"/>
        </w:trPr>
        <w:tc>
          <w:tcPr>
            <w:tcW w:w="49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Notes</w:t>
            </w:r>
          </w:p>
        </w:tc>
        <w:tc>
          <w:tcPr>
            <w:tcW w:w="1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0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marketable securities</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a</w:t>
            </w:r>
          </w:p>
        </w:tc>
        <w:tc>
          <w:tcPr>
            <w:tcW w:w="15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(4,955)</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(19,705)</w:t>
            </w:r>
          </w:p>
        </w:tc>
        <w:tc>
          <w:tcPr>
            <w:tcW w:w="15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(7,126)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(30,642)</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Gain on extinguishment of long-term debt and lease liabilities</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(12,835)</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Loss on currency exchange</w:t>
            </w:r>
          </w:p>
        </w:tc>
        <w:tc>
          <w:tcPr>
            <w:tcW w:w="10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2,719</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1,018</w:t>
            </w:r>
          </w:p>
        </w:tc>
        <w:tc>
          <w:tcPr>
            <w:tcW w:w="15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2,989</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1,876</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Interest on credit facility and long-term debt</w:t>
            </w:r>
          </w:p>
        </w:tc>
        <w:tc>
          <w:tcPr>
            <w:tcW w:w="1020" w:type="dxa"/>
            <w:vAlign w:val="bottom"/>
          </w:tcPr>
          <w:p>
            <w:pPr>
              <w:spacing w:after="0"/>
              <w:rPr>
                <w:sz w:val="18"/>
                <w:szCs w:val="18"/>
                <w:color w:val="auto"/>
              </w:rPr>
            </w:pP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673</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4,191</w:t>
            </w: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1,924</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6,896</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Discount expense on VAT receivable</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c</w:t>
            </w:r>
          </w:p>
        </w:tc>
        <w:tc>
          <w:tcPr>
            <w:tcW w:w="15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693</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2,091</w:t>
            </w:r>
          </w:p>
        </w:tc>
        <w:tc>
          <w:tcPr>
            <w:tcW w:w="15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1,702</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5,010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1020" w:type="dxa"/>
            <w:vAlign w:val="bottom"/>
          </w:tcPr>
          <w:p>
            <w:pPr>
              <w:spacing w:after="0"/>
              <w:rPr>
                <w:sz w:val="18"/>
                <w:szCs w:val="18"/>
                <w:color w:val="auto"/>
              </w:rPr>
            </w:pP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350</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355</w:t>
            </w: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719</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660</w:t>
            </w:r>
          </w:p>
        </w:tc>
      </w:tr>
      <w:tr>
        <w:trPr>
          <w:trHeight w:val="216"/>
        </w:trPr>
        <w:tc>
          <w:tcPr>
            <w:tcW w:w="4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financial (income) expenses</w:t>
            </w:r>
          </w:p>
        </w:tc>
        <w:tc>
          <w:tcPr>
            <w:tcW w:w="10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338</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193</w:t>
            </w:r>
          </w:p>
        </w:tc>
        <w:tc>
          <w:tcPr>
            <w:tcW w:w="1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257</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r>
      <w:tr>
        <w:trPr>
          <w:trHeight w:val="216"/>
        </w:trPr>
        <w:tc>
          <w:tcPr>
            <w:tcW w:w="49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(182)</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(11,857)</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(12,370)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(15,940)</w:t>
            </w:r>
          </w:p>
        </w:tc>
      </w:tr>
    </w:tbl>
    <w:p>
      <w:pPr>
        <w:spacing w:after="0" w:line="198"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Gain on disposition of marketable securities</w:t>
      </w:r>
    </w:p>
    <w:p>
      <w:pPr>
        <w:spacing w:after="0" w:line="27" w:lineRule="exact"/>
        <w:rPr>
          <w:sz w:val="20"/>
          <w:szCs w:val="20"/>
          <w:color w:val="auto"/>
        </w:rPr>
      </w:pPr>
    </w:p>
    <w:p>
      <w:pPr>
        <w:jc w:val="both"/>
        <w:ind w:left="20" w:hanging="9"/>
        <w:spacing w:after="0" w:line="253" w:lineRule="auto"/>
        <w:rPr>
          <w:sz w:val="20"/>
          <w:szCs w:val="20"/>
          <w:color w:val="auto"/>
        </w:rPr>
      </w:pPr>
      <w:r>
        <w:rPr>
          <w:rFonts w:ascii="Arial" w:cs="Arial" w:eastAsia="Arial" w:hAnsi="Arial"/>
          <w:sz w:val="18"/>
          <w:szCs w:val="18"/>
          <w:color w:val="auto"/>
        </w:rPr>
        <w:t>During the three and six months ended June 30, 2023, the Company funded its expansion in Argentina through the acquisition of marketable securities and in-kind contribution of those securities to the Company’s subsidiary in Argentina. The subsequent disposition of those marketable securities in exchange for Argentine Pesos gave rise to a gain as the amount received in ARS exceeds the amount of ARS the Company would have received from a direct foreign currency exchange.</w:t>
      </w:r>
    </w:p>
    <w:p>
      <w:pPr>
        <w:spacing w:after="0" w:line="18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Gain on extinguishment of the BlockFi loan and Reliz lease liability</w:t>
      </w:r>
    </w:p>
    <w:p>
      <w:pPr>
        <w:spacing w:after="0" w:line="27" w:lineRule="exact"/>
        <w:rPr>
          <w:sz w:val="20"/>
          <w:szCs w:val="20"/>
          <w:color w:val="auto"/>
        </w:rPr>
      </w:pPr>
    </w:p>
    <w:p>
      <w:pPr>
        <w:ind w:left="20" w:hanging="9"/>
        <w:spacing w:after="0" w:line="323" w:lineRule="auto"/>
        <w:rPr>
          <w:sz w:val="20"/>
          <w:szCs w:val="20"/>
          <w:color w:val="auto"/>
        </w:rPr>
      </w:pPr>
      <w:r>
        <w:rPr>
          <w:rFonts w:ascii="Arial" w:cs="Arial" w:eastAsia="Arial" w:hAnsi="Arial"/>
          <w:sz w:val="16"/>
          <w:szCs w:val="16"/>
          <w:color w:val="auto"/>
        </w:rPr>
        <w:t>In February 2023, the Company negotiated a settlement of its loan agreement with BlockFi with a then outstanding debt balance of $20,330 for a payment of $7,750. As a result, a gain on extinguishment of long-term debt was recognized in the amount of $12,580 during the six months ended June 30, 2023.</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In February 2023, the Company modified its lease agreement with Reliz Ltd. in order to settle its outstanding lease liability of $373 for a payment of $118.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a gain on extinguishment of lease liabilities was recognized in the amount of $255 during the six months ended June 30, 2023.</w:t>
      </w:r>
    </w:p>
    <w:p>
      <w:pPr>
        <w:spacing w:after="0" w:line="207"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Discount expense on VAT receivable</w:t>
      </w:r>
    </w:p>
    <w:p>
      <w:pPr>
        <w:spacing w:after="0" w:line="27" w:lineRule="exact"/>
        <w:rPr>
          <w:sz w:val="20"/>
          <w:szCs w:val="20"/>
          <w:color w:val="auto"/>
        </w:rPr>
      </w:pPr>
    </w:p>
    <w:p>
      <w:pPr>
        <w:jc w:val="both"/>
        <w:ind w:left="20" w:hanging="4"/>
        <w:spacing w:after="0" w:line="253" w:lineRule="auto"/>
        <w:rPr>
          <w:sz w:val="20"/>
          <w:szCs w:val="20"/>
          <w:color w:val="auto"/>
        </w:rPr>
      </w:pPr>
      <w:r>
        <w:rPr>
          <w:rFonts w:ascii="Arial" w:cs="Arial" w:eastAsia="Arial" w:hAnsi="Arial"/>
          <w:sz w:val="18"/>
          <w:szCs w:val="18"/>
          <w:color w:val="auto"/>
        </w:rPr>
        <w:t>A portion of the Argentine VAT receivable is not expected to be settled within the next 12 months and, therefore, it has been classified as a long-term receivable in Note 9 with the short-term portion being included in sales tax receivable in Note 5. The Company has discounted this VAT receivable to its present value. The discounted amount is classified within Net financial income during the three and six months ended June 30, 2023. Historically, ARS has devalued significantly when compared to USD due to high levels of inflation in Argentina, which may result in the Company recording future foreign exchange losses on its Argentina VAT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27 | Page</w:t>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21:</w:t>
        <w:tab/>
        <w:t>GEOGRAPHICAL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reporting segments are identified on the basis of information that is reviewed by the chief operating decision maker (“CODM”) to make decisions about resources to be allocated and to assess performance. Accordingly, for management purposes, the Company is organized into operating segments based on the products and services of its business units and has one material reportable segment, cryptocurrency mining, which is the operation of server farms that support the validation and verification of transactions on the BTC blockchain, earning cryptocurrency for providing these services, as described in Note 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Revenues* by country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Three months ended June 30,</w:t>
            </w:r>
          </w:p>
        </w:tc>
        <w:tc>
          <w:tcPr>
            <w:tcW w:w="25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10"/>
        </w:trPr>
        <w:tc>
          <w:tcPr>
            <w:tcW w:w="340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0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412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26,458</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33,169</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49,947</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63,095</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USA</w:t>
            </w:r>
          </w:p>
        </w:tc>
        <w:tc>
          <w:tcPr>
            <w:tcW w:w="4120" w:type="dxa"/>
            <w:vAlign w:val="bottom"/>
          </w:tcPr>
          <w:p>
            <w:pPr>
              <w:jc w:val="right"/>
              <w:ind w:right="350"/>
              <w:spacing w:after="0"/>
              <w:rPr>
                <w:sz w:val="20"/>
                <w:szCs w:val="20"/>
                <w:color w:val="auto"/>
              </w:rPr>
            </w:pPr>
            <w:r>
              <w:rPr>
                <w:rFonts w:ascii="Arial" w:cs="Arial" w:eastAsia="Arial" w:hAnsi="Arial"/>
                <w:sz w:val="18"/>
                <w:szCs w:val="18"/>
                <w:b w:val="1"/>
                <w:bCs w:val="1"/>
                <w:color w:val="auto"/>
              </w:rPr>
              <w:t>4,293</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7,264</w:t>
            </w:r>
          </w:p>
        </w:tc>
        <w:tc>
          <w:tcPr>
            <w:tcW w:w="1540" w:type="dxa"/>
            <w:vAlign w:val="bottom"/>
          </w:tcPr>
          <w:p>
            <w:pPr>
              <w:jc w:val="right"/>
              <w:ind w:right="330"/>
              <w:spacing w:after="0"/>
              <w:rPr>
                <w:sz w:val="20"/>
                <w:szCs w:val="20"/>
                <w:color w:val="auto"/>
              </w:rPr>
            </w:pPr>
            <w:r>
              <w:rPr>
                <w:rFonts w:ascii="Arial" w:cs="Arial" w:eastAsia="Arial" w:hAnsi="Arial"/>
                <w:sz w:val="18"/>
                <w:szCs w:val="18"/>
                <w:b w:val="1"/>
                <w:bCs w:val="1"/>
                <w:color w:val="auto"/>
              </w:rPr>
              <w:t>8,184</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17,069</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412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2,796</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4,092</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Paraguay</w:t>
            </w:r>
          </w:p>
        </w:tc>
        <w:tc>
          <w:tcPr>
            <w:tcW w:w="4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1,932</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1,382</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3,306</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1,980</w:t>
            </w:r>
          </w:p>
        </w:tc>
      </w:tr>
      <w:tr>
        <w:trPr>
          <w:trHeight w:val="216"/>
        </w:trPr>
        <w:tc>
          <w:tcPr>
            <w:tcW w:w="3400" w:type="dxa"/>
            <w:vAlign w:val="bottom"/>
            <w:tcBorders>
              <w:bottom w:val="single" w:sz="8" w:color="auto"/>
            </w:tcBorders>
            <w:shd w:val="clear" w:color="auto" w:fill="CCEEFF"/>
          </w:tcPr>
          <w:p>
            <w:pPr>
              <w:spacing w:after="0"/>
              <w:rPr>
                <w:sz w:val="18"/>
                <w:szCs w:val="18"/>
                <w:color w:val="auto"/>
              </w:rPr>
            </w:pPr>
          </w:p>
        </w:tc>
        <w:tc>
          <w:tcPr>
            <w:tcW w:w="41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35,479</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41,815</w:t>
            </w:r>
          </w:p>
        </w:tc>
        <w:tc>
          <w:tcPr>
            <w:tcW w:w="1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65,529</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82,144</w:t>
            </w:r>
          </w:p>
        </w:tc>
      </w:tr>
    </w:tbl>
    <w:p>
      <w:pPr>
        <w:spacing w:after="0" w:line="20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Revenues are presented based on the geographical contribution of computational power (measured by hashrate) or sales to external customers.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net book value of property, plant and equipment by country is as follows:</w:t>
      </w:r>
    </w:p>
    <w:p>
      <w:pPr>
        <w:spacing w:after="0" w:line="207" w:lineRule="exact"/>
        <w:rPr>
          <w:sz w:val="20"/>
          <w:szCs w:val="20"/>
          <w:color w:val="auto"/>
        </w:rPr>
      </w:pPr>
    </w:p>
    <w:p>
      <w:pPr>
        <w:ind w:left="8380"/>
        <w:spacing w:after="0"/>
        <w:tabs>
          <w:tab w:leader="none" w:pos="9660" w:val="left"/>
        </w:tabs>
        <w:rPr>
          <w:sz w:val="20"/>
          <w:szCs w:val="20"/>
          <w:color w:val="auto"/>
        </w:rPr>
      </w:pPr>
      <w:r>
        <w:rPr>
          <w:rFonts w:ascii="Arial" w:cs="Arial" w:eastAsia="Arial" w:hAnsi="Arial"/>
          <w:sz w:val="18"/>
          <w:szCs w:val="18"/>
          <w:b w:val="1"/>
          <w:bCs w:val="1"/>
          <w:color w:val="auto"/>
        </w:rPr>
        <w:t>As of June 30,</w:t>
      </w:r>
      <w:r>
        <w:rPr>
          <w:sz w:val="20"/>
          <w:szCs w:val="20"/>
          <w:color w:val="auto"/>
        </w:rPr>
        <w:tab/>
      </w:r>
      <w:r>
        <w:rPr>
          <w:rFonts w:ascii="Arial" w:cs="Arial" w:eastAsia="Arial" w:hAnsi="Arial"/>
          <w:sz w:val="16"/>
          <w:szCs w:val="16"/>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Borders>
              <w:top w:val="single" w:sz="8" w:color="auto"/>
              <w:bottom w:val="single" w:sz="8" w:color="auto"/>
            </w:tcBorders>
          </w:tcPr>
          <w:p>
            <w:pPr>
              <w:spacing w:after="0"/>
              <w:rPr>
                <w:sz w:val="18"/>
                <w:szCs w:val="18"/>
                <w:color w:val="auto"/>
              </w:rPr>
            </w:pPr>
          </w:p>
        </w:tc>
        <w:tc>
          <w:tcPr>
            <w:tcW w:w="5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520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120,307</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142,654</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USA</w:t>
            </w:r>
          </w:p>
        </w:tc>
        <w:tc>
          <w:tcPr>
            <w:tcW w:w="5200" w:type="dxa"/>
            <w:vAlign w:val="bottom"/>
          </w:tcPr>
          <w:p>
            <w:pPr>
              <w:jc w:val="right"/>
              <w:ind w:right="450"/>
              <w:spacing w:after="0"/>
              <w:rPr>
                <w:sz w:val="20"/>
                <w:szCs w:val="20"/>
                <w:color w:val="auto"/>
              </w:rPr>
            </w:pPr>
            <w:r>
              <w:rPr>
                <w:rFonts w:ascii="Arial" w:cs="Arial" w:eastAsia="Arial" w:hAnsi="Arial"/>
                <w:sz w:val="18"/>
                <w:szCs w:val="18"/>
                <w:b w:val="1"/>
                <w:bCs w:val="1"/>
                <w:color w:val="auto"/>
              </w:rPr>
              <w:t>26,652</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32,664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520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42,106</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31,927</w:t>
            </w:r>
          </w:p>
        </w:tc>
      </w:tr>
      <w:tr>
        <w:trPr>
          <w:trHeight w:val="216"/>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Paraguay</w:t>
            </w:r>
          </w:p>
        </w:tc>
        <w:tc>
          <w:tcPr>
            <w:tcW w:w="5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11,465</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12,183</w:t>
            </w:r>
          </w:p>
        </w:tc>
      </w:tr>
      <w:tr>
        <w:trPr>
          <w:trHeight w:val="217"/>
        </w:trPr>
        <w:tc>
          <w:tcPr>
            <w:tcW w:w="4800" w:type="dxa"/>
            <w:vAlign w:val="bottom"/>
            <w:tcBorders>
              <w:bottom w:val="single" w:sz="8" w:color="auto"/>
            </w:tcBorders>
            <w:shd w:val="clear" w:color="auto" w:fill="CCEEFF"/>
          </w:tcPr>
          <w:p>
            <w:pPr>
              <w:spacing w:after="0"/>
              <w:rPr>
                <w:sz w:val="18"/>
                <w:szCs w:val="18"/>
                <w:color w:val="auto"/>
              </w:rPr>
            </w:pPr>
          </w:p>
        </w:tc>
        <w:tc>
          <w:tcPr>
            <w:tcW w:w="52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200,530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219,428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28 | Page</w:t>
      </w:r>
    </w:p>
    <w:p>
      <w:pPr>
        <w:sectPr>
          <w:pgSz w:w="11900" w:h="16838" w:orient="portrait"/>
          <w:cols w:equalWidth="0" w:num="1">
            <w:col w:w="11240"/>
          </w:cols>
          <w:pgMar w:left="320" w:top="90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data relating to number of PPE, shares, warrants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22:</w:t>
        <w:tab/>
        <w:t>ADDITIONAL DETAILS TO THE STATEMENTS OF CASH FLOWS</w:t>
      </w:r>
    </w:p>
    <w:p>
      <w:pPr>
        <w:spacing w:after="0" w:line="225"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Borders>
              <w:top w:val="single" w:sz="8" w:color="auto"/>
              <w:bottom w:val="single" w:sz="8" w:color="auto"/>
            </w:tcBorders>
          </w:tcPr>
          <w:p>
            <w:pPr>
              <w:spacing w:after="0"/>
              <w:rPr>
                <w:sz w:val="18"/>
                <w:szCs w:val="18"/>
                <w:color w:val="auto"/>
              </w:rPr>
            </w:pPr>
          </w:p>
        </w:tc>
        <w:tc>
          <w:tcPr>
            <w:tcW w:w="26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r>
      <w:tr>
        <w:trPr>
          <w:trHeight w:val="209"/>
        </w:trPr>
        <w:tc>
          <w:tcPr>
            <w:tcW w:w="7620" w:type="dxa"/>
            <w:vAlign w:val="bottom"/>
          </w:tcPr>
          <w:p>
            <w:pPr>
              <w:spacing w:after="0"/>
              <w:rPr>
                <w:sz w:val="20"/>
                <w:szCs w:val="20"/>
                <w:color w:val="auto"/>
              </w:rPr>
            </w:pPr>
            <w:r>
              <w:rPr>
                <w:rFonts w:ascii="Arial" w:cs="Arial" w:eastAsia="Arial" w:hAnsi="Arial"/>
                <w:sz w:val="18"/>
                <w:szCs w:val="18"/>
                <w:b w:val="1"/>
                <w:bCs w:val="1"/>
                <w:color w:val="auto"/>
              </w:rPr>
              <w:t>Changes in working capital components:</w:t>
            </w:r>
          </w:p>
        </w:tc>
        <w:tc>
          <w:tcPr>
            <w:tcW w:w="2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trade receivables, net</w:t>
            </w:r>
          </w:p>
        </w:tc>
        <w:tc>
          <w:tcPr>
            <w:tcW w:w="26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(318)</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Decrease in other current assets</w:t>
            </w:r>
          </w:p>
        </w:tc>
        <w:tc>
          <w:tcPr>
            <w:tcW w:w="2620" w:type="dxa"/>
            <w:vAlign w:val="bottom"/>
          </w:tcPr>
          <w:p>
            <w:pPr>
              <w:jc w:val="right"/>
              <w:ind w:right="370"/>
              <w:spacing w:after="0"/>
              <w:rPr>
                <w:sz w:val="20"/>
                <w:szCs w:val="20"/>
                <w:color w:val="auto"/>
              </w:rPr>
            </w:pPr>
            <w:r>
              <w:rPr>
                <w:rFonts w:ascii="Arial" w:cs="Arial" w:eastAsia="Arial" w:hAnsi="Arial"/>
                <w:sz w:val="18"/>
                <w:szCs w:val="18"/>
                <w:b w:val="1"/>
                <w:bCs w:val="1"/>
                <w:color w:val="auto"/>
              </w:rPr>
              <w:t>788</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6,350</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long-term deposits</w:t>
            </w:r>
          </w:p>
        </w:tc>
        <w:tc>
          <w:tcPr>
            <w:tcW w:w="26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592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Decrease in trade payables and accrued liabilities</w:t>
            </w:r>
          </w:p>
        </w:tc>
        <w:tc>
          <w:tcPr>
            <w:tcW w:w="2620" w:type="dxa"/>
            <w:vAlign w:val="bottom"/>
          </w:tcPr>
          <w:p>
            <w:pPr>
              <w:jc w:val="right"/>
              <w:ind w:right="310"/>
              <w:spacing w:after="0"/>
              <w:rPr>
                <w:sz w:val="20"/>
                <w:szCs w:val="20"/>
                <w:color w:val="auto"/>
              </w:rPr>
            </w:pPr>
            <w:r>
              <w:rPr>
                <w:rFonts w:ascii="Arial" w:cs="Arial" w:eastAsia="Arial" w:hAnsi="Arial"/>
                <w:sz w:val="18"/>
                <w:szCs w:val="18"/>
                <w:b w:val="1"/>
                <w:bCs w:val="1"/>
                <w:color w:val="auto"/>
              </w:rPr>
              <w:t>(3,388)</w:t>
            </w:r>
          </w:p>
        </w:tc>
        <w:tc>
          <w:tcPr>
            <w:tcW w:w="1000" w:type="dxa"/>
            <w:vAlign w:val="bottom"/>
          </w:tcPr>
          <w:p>
            <w:pPr>
              <w:jc w:val="right"/>
              <w:spacing w:after="0"/>
              <w:rPr>
                <w:sz w:val="20"/>
                <w:szCs w:val="20"/>
                <w:color w:val="auto"/>
              </w:rPr>
            </w:pPr>
            <w:r>
              <w:rPr>
                <w:rFonts w:ascii="Arial" w:cs="Arial" w:eastAsia="Arial" w:hAnsi="Arial"/>
                <w:sz w:val="18"/>
                <w:szCs w:val="18"/>
                <w:color w:val="auto"/>
              </w:rPr>
              <w:t>(8,375)</w:t>
            </w:r>
          </w:p>
        </w:tc>
      </w:tr>
      <w:tr>
        <w:trPr>
          <w:trHeight w:val="216"/>
        </w:trPr>
        <w:tc>
          <w:tcPr>
            <w:tcW w:w="7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Decrease in taxes payable</w:t>
            </w:r>
          </w:p>
        </w:tc>
        <w:tc>
          <w:tcPr>
            <w:tcW w:w="26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(255)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09"/>
        </w:trPr>
        <w:tc>
          <w:tcPr>
            <w:tcW w:w="76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(2,581)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(9,540)</w:t>
            </w: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Significant non-cash transactions:</w:t>
            </w:r>
          </w:p>
        </w:tc>
        <w:tc>
          <w:tcPr>
            <w:tcW w:w="2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Addition of ROU assets, property, plant and equipment and related lease liabilities</w:t>
            </w:r>
          </w:p>
        </w:tc>
        <w:tc>
          <w:tcPr>
            <w:tcW w:w="2620" w:type="dxa"/>
            <w:vAlign w:val="bottom"/>
          </w:tcPr>
          <w:p>
            <w:pPr>
              <w:jc w:val="right"/>
              <w:ind w:right="370"/>
              <w:spacing w:after="0"/>
              <w:rPr>
                <w:sz w:val="20"/>
                <w:szCs w:val="20"/>
                <w:color w:val="auto"/>
              </w:rPr>
            </w:pPr>
            <w:r>
              <w:rPr>
                <w:rFonts w:ascii="Arial" w:cs="Arial" w:eastAsia="Arial" w:hAnsi="Arial"/>
                <w:sz w:val="18"/>
                <w:szCs w:val="18"/>
                <w:b w:val="1"/>
                <w:bCs w:val="1"/>
                <w:color w:val="auto"/>
              </w:rPr>
              <w:t>318</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6,526</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 financed by short-term credit</w:t>
            </w:r>
          </w:p>
        </w:tc>
        <w:tc>
          <w:tcPr>
            <w:tcW w:w="26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2,750</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4,190</w:t>
            </w:r>
          </w:p>
        </w:tc>
      </w:tr>
      <w:tr>
        <w:trPr>
          <w:trHeight w:val="223"/>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Equipment prepayments realized as additions to property, plant and equipment</w:t>
            </w:r>
          </w:p>
        </w:tc>
        <w:tc>
          <w:tcPr>
            <w:tcW w:w="2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4,905</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49,234</w:t>
            </w: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7"/>
          <w:szCs w:val="17"/>
          <w:b w:val="1"/>
          <w:bCs w:val="1"/>
          <w:color w:val="auto"/>
        </w:rPr>
        <w:t>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Equity Offering Program</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period from July 1, 2023, to August 4, 2023, the Company issued 14,726,000 common shares through its at-the-market equity offering program in exchange for gross proceeds of $26,408 at an average share price of approximately $1.79. The Company received net proceeds of $25,567 after paying commissions of $841 to the Company’s agent. Refer to Note 15 for further details of the Company’s at-the-market equity offering program.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Baie-Comeau (Quebec) Acquisition</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April 10, 2023, the Company entered into agreements to acquire 100% of the shares of a corporation that owns the right to 22 MW of hydro power capacity in Baie-Comeau, Quebec, and lease a site to install the infrastructure to operate the acquired capacity.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5, 2023, the Company completed the acquisition. The consideration transferred at closing totaled $1,883 (CAD$2,500), of which $750 (CAD$1,000) was paid in cash and $1,133 (CAD$1,500) was paid through the issuance of 821,000 common shares of the Company. The lease agreement is for an industrialized site in Baie-Comeau for an initial term of 10 years at $16 (CAD$21) a month. The lease agreement also provides the Company with the option to purchase the site for $2,248 (CAD$3,000) with an annual adjustment of the lesser of (i) the Consumer Price Index and (ii) 3% throughout the lease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Suni Mineral Asset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 July 27, 2023, the Company sold the Suni mineral asset for a nominal amount to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0580"/>
        <w:spacing w:after="0"/>
        <w:rPr>
          <w:sz w:val="20"/>
          <w:szCs w:val="20"/>
          <w:color w:val="auto"/>
        </w:rPr>
      </w:pPr>
      <w:r>
        <w:rPr>
          <w:rFonts w:ascii="Arial" w:cs="Arial" w:eastAsia="Arial" w:hAnsi="Arial"/>
          <w:sz w:val="15"/>
          <w:szCs w:val="15"/>
          <w:color w:val="auto"/>
        </w:rPr>
        <w:t>29 | Page</w:t>
      </w:r>
    </w:p>
    <w:p>
      <w:pPr>
        <w:sectPr>
          <w:pgSz w:w="11900" w:h="16838" w:orient="portrait"/>
          <w:cols w:equalWidth="0" w:num="1">
            <w:col w:w="11240"/>
          </w:cols>
          <w:pgMar w:left="320" w:top="904" w:right="339" w:bottom="1440" w:gutter="0" w:footer="0" w:header="0"/>
        </w:sectPr>
      </w:pPr>
    </w:p>
    <w:bookmarkStart w:id="32" w:name="page33"/>
    <w:bookmarkEnd w:id="32"/>
    <w:p>
      <w:pPr>
        <w:ind w:left="920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443230</wp:posOffset>
            </wp:positionV>
            <wp:extent cx="2040255" cy="531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402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Managemant’s Discussion &amp; Analysis</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For the three and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Q2</w:t>
      </w:r>
    </w:p>
    <w:p>
      <w:pPr>
        <w:spacing w:after="0" w:line="23" w:lineRule="exact"/>
        <w:rPr>
          <w:sz w:val="20"/>
          <w:szCs w:val="20"/>
          <w:color w:val="auto"/>
        </w:rPr>
      </w:pPr>
    </w:p>
    <w:p>
      <w:pPr>
        <w:ind w:left="9760"/>
        <w:spacing w:after="0"/>
        <w:rPr>
          <w:sz w:val="20"/>
          <w:szCs w:val="20"/>
          <w:color w:val="auto"/>
        </w:rPr>
      </w:pPr>
      <w:r>
        <w:rPr>
          <w:rFonts w:ascii="Arial" w:cs="Arial" w:eastAsia="Arial" w:hAnsi="Arial"/>
          <w:sz w:val="16"/>
          <w:szCs w:val="16"/>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860425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gridSpan w:val="24"/>
          </w:tcPr>
          <w:p>
            <w:pPr>
              <w:spacing w:after="0"/>
              <w:rPr>
                <w:sz w:val="20"/>
                <w:szCs w:val="20"/>
                <w:color w:val="auto"/>
              </w:rPr>
            </w:pPr>
            <w:r>
              <w:rPr>
                <w:rFonts w:ascii="Arial" w:cs="Arial" w:eastAsia="Arial" w:hAnsi="Arial"/>
                <w:sz w:val="18"/>
                <w:szCs w:val="18"/>
                <w:b w:val="1"/>
                <w:bCs w:val="1"/>
                <w:color w:val="auto"/>
              </w:rPr>
              <w:t>TABLE OF CONTENTS</w:t>
            </w:r>
          </w:p>
        </w:tc>
        <w:tc>
          <w:tcPr>
            <w:tcW w:w="2700" w:type="dxa"/>
            <w:vAlign w:val="bottom"/>
          </w:tcPr>
          <w:p>
            <w:pPr>
              <w:spacing w:after="0"/>
              <w:rPr>
                <w:sz w:val="20"/>
                <w:szCs w:val="20"/>
                <w:color w:val="auto"/>
              </w:rPr>
            </w:pPr>
          </w:p>
        </w:tc>
      </w:tr>
      <w:tr>
        <w:trPr>
          <w:trHeight w:val="216"/>
        </w:trPr>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196"/>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w:t>
            </w:r>
          </w:p>
        </w:tc>
        <w:tc>
          <w:tcPr>
            <w:tcW w:w="9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3"/>
              </w:rPr>
              <w:t>Introduction</w:t>
            </w:r>
          </w:p>
        </w:tc>
        <w:tc>
          <w:tcPr>
            <w:tcW w:w="6960" w:type="dxa"/>
            <w:vAlign w:val="bottom"/>
            <w:tcBorders>
              <w:bottom w:val="single" w:sz="8" w:color="CCEEFF"/>
            </w:tcBorders>
            <w:gridSpan w:val="22"/>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79"/>
              </w:rPr>
              <w:t>3</w:t>
            </w:r>
          </w:p>
        </w:tc>
      </w:tr>
      <w:tr>
        <w:trPr>
          <w:trHeight w:val="175"/>
        </w:trPr>
        <w:tc>
          <w:tcPr>
            <w:tcW w:w="680" w:type="dxa"/>
            <w:vAlign w:val="bottom"/>
          </w:tcPr>
          <w:p>
            <w:pPr>
              <w:spacing w:after="0" w:line="176" w:lineRule="exact"/>
              <w:rPr>
                <w:sz w:val="20"/>
                <w:szCs w:val="20"/>
                <w:color w:val="auto"/>
              </w:rPr>
            </w:pPr>
            <w:r>
              <w:rPr>
                <w:rFonts w:ascii="Arial" w:cs="Arial" w:eastAsia="Arial" w:hAnsi="Arial"/>
                <w:sz w:val="18"/>
                <w:szCs w:val="18"/>
                <w:color w:val="auto"/>
              </w:rPr>
              <w:t>2.</w:t>
            </w:r>
          </w:p>
        </w:tc>
        <w:tc>
          <w:tcPr>
            <w:tcW w:w="7860" w:type="dxa"/>
            <w:vAlign w:val="bottom"/>
            <w:gridSpan w:val="23"/>
          </w:tcPr>
          <w:p>
            <w:pPr>
              <w:spacing w:after="0" w:line="176" w:lineRule="exact"/>
              <w:rPr>
                <w:sz w:val="20"/>
                <w:szCs w:val="20"/>
                <w:color w:val="auto"/>
              </w:rPr>
            </w:pPr>
            <w:r>
              <w:rPr>
                <w:rFonts w:ascii="Arial" w:cs="Arial" w:eastAsia="Arial" w:hAnsi="Arial"/>
                <w:sz w:val="18"/>
                <w:szCs w:val="18"/>
                <w:color w:val="0000EE"/>
              </w:rPr>
              <w:t>Company Overview</w:t>
            </w:r>
          </w:p>
        </w:tc>
        <w:tc>
          <w:tcPr>
            <w:tcW w:w="2700" w:type="dxa"/>
            <w:vAlign w:val="bottom"/>
          </w:tcPr>
          <w:p>
            <w:pPr>
              <w:jc w:val="center"/>
              <w:ind w:left="1490"/>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6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w:t>
            </w:r>
          </w:p>
        </w:tc>
        <w:tc>
          <w:tcPr>
            <w:tcW w:w="148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3"/>
              </w:rPr>
              <w:t>Financial Highlights</w:t>
            </w:r>
          </w:p>
        </w:tc>
        <w:tc>
          <w:tcPr>
            <w:tcW w:w="6380" w:type="dxa"/>
            <w:vAlign w:val="bottom"/>
            <w:tcBorders>
              <w:bottom w:val="single" w:sz="8" w:color="CCEEFF"/>
            </w:tcBorders>
            <w:gridSpan w:val="16"/>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79"/>
              </w:rPr>
              <w:t>5</w:t>
            </w:r>
          </w:p>
        </w:tc>
      </w:tr>
      <w:tr>
        <w:trPr>
          <w:trHeight w:val="176"/>
        </w:trPr>
        <w:tc>
          <w:tcPr>
            <w:tcW w:w="680" w:type="dxa"/>
            <w:vAlign w:val="bottom"/>
          </w:tcPr>
          <w:p>
            <w:pPr>
              <w:spacing w:after="0" w:line="176" w:lineRule="exact"/>
              <w:rPr>
                <w:sz w:val="20"/>
                <w:szCs w:val="20"/>
                <w:color w:val="auto"/>
              </w:rPr>
            </w:pPr>
            <w:r>
              <w:rPr>
                <w:rFonts w:ascii="Arial" w:cs="Arial" w:eastAsia="Arial" w:hAnsi="Arial"/>
                <w:sz w:val="18"/>
                <w:szCs w:val="18"/>
                <w:color w:val="auto"/>
              </w:rPr>
              <w:t>4.</w:t>
            </w:r>
          </w:p>
        </w:tc>
        <w:tc>
          <w:tcPr>
            <w:tcW w:w="7860" w:type="dxa"/>
            <w:vAlign w:val="bottom"/>
            <w:gridSpan w:val="23"/>
          </w:tcPr>
          <w:p>
            <w:pPr>
              <w:spacing w:after="0" w:line="176" w:lineRule="exact"/>
              <w:rPr>
                <w:sz w:val="20"/>
                <w:szCs w:val="20"/>
                <w:color w:val="auto"/>
              </w:rPr>
            </w:pPr>
            <w:r>
              <w:rPr>
                <w:rFonts w:ascii="Arial" w:cs="Arial" w:eastAsia="Arial" w:hAnsi="Arial"/>
                <w:sz w:val="18"/>
                <w:szCs w:val="18"/>
                <w:color w:val="0000EE"/>
              </w:rPr>
              <w:t>Second Quarter 2023 Financial Results and Operational Highlights</w:t>
            </w:r>
          </w:p>
        </w:tc>
        <w:tc>
          <w:tcPr>
            <w:tcW w:w="2700" w:type="dxa"/>
            <w:vAlign w:val="bottom"/>
          </w:tcPr>
          <w:p>
            <w:pPr>
              <w:jc w:val="center"/>
              <w:ind w:left="1490"/>
              <w:spacing w:after="0" w:line="176" w:lineRule="exact"/>
              <w:rPr>
                <w:sz w:val="20"/>
                <w:szCs w:val="20"/>
                <w:color w:val="auto"/>
              </w:rPr>
            </w:pPr>
            <w:r>
              <w:rPr>
                <w:rFonts w:ascii="Arial" w:cs="Arial" w:eastAsia="Arial" w:hAnsi="Arial"/>
                <w:sz w:val="18"/>
                <w:szCs w:val="18"/>
                <w:color w:val="auto"/>
                <w:w w:val="79"/>
              </w:rPr>
              <w:t>6</w:t>
            </w:r>
          </w:p>
        </w:tc>
      </w:tr>
      <w:tr>
        <w:trPr>
          <w:trHeight w:val="20"/>
        </w:trPr>
        <w:tc>
          <w:tcPr>
            <w:tcW w:w="6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w:t>
            </w:r>
          </w:p>
        </w:tc>
        <w:tc>
          <w:tcPr>
            <w:tcW w:w="786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Production and Mining Operations</w:t>
            </w:r>
          </w:p>
        </w:tc>
        <w:tc>
          <w:tcPr>
            <w:tcW w:w="2700" w:type="dxa"/>
            <w:vAlign w:val="bottom"/>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79"/>
              </w:rPr>
              <w:t>7</w:t>
            </w:r>
          </w:p>
        </w:tc>
      </w:tr>
      <w:tr>
        <w:trPr>
          <w:trHeight w:val="175"/>
        </w:trPr>
        <w:tc>
          <w:tcPr>
            <w:tcW w:w="6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6.</w:t>
            </w:r>
          </w:p>
        </w:tc>
        <w:tc>
          <w:tcPr>
            <w:tcW w:w="2500" w:type="dxa"/>
            <w:vAlign w:val="bottom"/>
            <w:tcBorders>
              <w:top w:val="single" w:sz="8" w:color="0000EE"/>
            </w:tcBorders>
            <w:gridSpan w:val="16"/>
          </w:tcPr>
          <w:p>
            <w:pPr>
              <w:spacing w:after="0" w:line="176" w:lineRule="exact"/>
              <w:rPr>
                <w:sz w:val="20"/>
                <w:szCs w:val="20"/>
                <w:color w:val="auto"/>
              </w:rPr>
            </w:pPr>
            <w:r>
              <w:rPr>
                <w:rFonts w:ascii="Arial" w:cs="Arial" w:eastAsia="Arial" w:hAnsi="Arial"/>
                <w:sz w:val="18"/>
                <w:szCs w:val="18"/>
                <w:color w:val="0000EE"/>
              </w:rPr>
              <w:t>Expansion Projects</w:t>
            </w:r>
          </w:p>
        </w:tc>
        <w:tc>
          <w:tcPr>
            <w:tcW w:w="5360" w:type="dxa"/>
            <w:vAlign w:val="bottom"/>
            <w:tcBorders>
              <w:top w:val="single" w:sz="8" w:color="CCEEFF"/>
            </w:tcBorders>
            <w:gridSpan w:val="7"/>
          </w:tcPr>
          <w:p>
            <w:pPr>
              <w:spacing w:after="0"/>
              <w:rPr>
                <w:sz w:val="15"/>
                <w:szCs w:val="15"/>
                <w:color w:val="auto"/>
              </w:rPr>
            </w:pPr>
          </w:p>
        </w:tc>
        <w:tc>
          <w:tcPr>
            <w:tcW w:w="2700" w:type="dxa"/>
            <w:vAlign w:val="bottom"/>
            <w:tcBorders>
              <w:top w:val="single" w:sz="8" w:color="CCEEFF"/>
            </w:tcBorders>
          </w:tcPr>
          <w:p>
            <w:pPr>
              <w:jc w:val="center"/>
              <w:ind w:left="1490"/>
              <w:spacing w:after="0" w:line="176" w:lineRule="exact"/>
              <w:rPr>
                <w:sz w:val="20"/>
                <w:szCs w:val="20"/>
                <w:color w:val="auto"/>
              </w:rPr>
            </w:pPr>
            <w:r>
              <w:rPr>
                <w:rFonts w:ascii="Arial" w:cs="Arial" w:eastAsia="Arial" w:hAnsi="Arial"/>
                <w:sz w:val="18"/>
                <w:szCs w:val="18"/>
                <w:color w:val="auto"/>
                <w:w w:val="79"/>
              </w:rPr>
              <w:t>9</w:t>
            </w:r>
          </w:p>
        </w:tc>
      </w:tr>
      <w:tr>
        <w:trPr>
          <w:trHeight w:val="21"/>
        </w:trPr>
        <w:tc>
          <w:tcPr>
            <w:tcW w:w="6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7.</w:t>
            </w:r>
          </w:p>
        </w:tc>
        <w:tc>
          <w:tcPr>
            <w:tcW w:w="164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89"/>
              </w:rPr>
              <w:t>Financial Performance</w:t>
            </w:r>
          </w:p>
        </w:tc>
        <w:tc>
          <w:tcPr>
            <w:tcW w:w="6220" w:type="dxa"/>
            <w:vAlign w:val="bottom"/>
            <w:tcBorders>
              <w:bottom w:val="single" w:sz="8" w:color="CCEEFF"/>
            </w:tcBorders>
            <w:gridSpan w:val="14"/>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Arial" w:cs="Arial" w:eastAsia="Arial" w:hAnsi="Arial"/>
                <w:sz w:val="18"/>
                <w:szCs w:val="18"/>
                <w:color w:val="auto"/>
                <w:w w:val="89"/>
              </w:rPr>
              <w:t>13</w:t>
            </w:r>
          </w:p>
        </w:tc>
      </w:tr>
      <w:tr>
        <w:trPr>
          <w:trHeight w:val="176"/>
        </w:trPr>
        <w:tc>
          <w:tcPr>
            <w:tcW w:w="680" w:type="dxa"/>
            <w:vAlign w:val="bottom"/>
          </w:tcPr>
          <w:p>
            <w:pPr>
              <w:spacing w:after="0" w:line="176" w:lineRule="exact"/>
              <w:rPr>
                <w:sz w:val="20"/>
                <w:szCs w:val="20"/>
                <w:color w:val="auto"/>
              </w:rPr>
            </w:pPr>
            <w:r>
              <w:rPr>
                <w:rFonts w:ascii="Arial" w:cs="Arial" w:eastAsia="Arial" w:hAnsi="Arial"/>
                <w:sz w:val="18"/>
                <w:szCs w:val="18"/>
                <w:color w:val="auto"/>
              </w:rPr>
              <w:t>8.</w:t>
            </w:r>
          </w:p>
        </w:tc>
        <w:tc>
          <w:tcPr>
            <w:tcW w:w="7860" w:type="dxa"/>
            <w:vAlign w:val="bottom"/>
            <w:gridSpan w:val="23"/>
          </w:tcPr>
          <w:p>
            <w:pPr>
              <w:spacing w:after="0" w:line="176" w:lineRule="exact"/>
              <w:rPr>
                <w:sz w:val="20"/>
                <w:szCs w:val="20"/>
                <w:color w:val="auto"/>
              </w:rPr>
            </w:pPr>
            <w:r>
              <w:rPr>
                <w:rFonts w:ascii="Arial" w:cs="Arial" w:eastAsia="Arial" w:hAnsi="Arial"/>
                <w:sz w:val="18"/>
                <w:szCs w:val="18"/>
                <w:color w:val="0000EE"/>
              </w:rPr>
              <w:t>Selected Quarterly Information</w:t>
            </w:r>
          </w:p>
        </w:tc>
        <w:tc>
          <w:tcPr>
            <w:tcW w:w="2700" w:type="dxa"/>
            <w:vAlign w:val="bottom"/>
          </w:tcPr>
          <w:p>
            <w:pPr>
              <w:jc w:val="center"/>
              <w:ind w:left="1470"/>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6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w:t>
            </w:r>
          </w:p>
        </w:tc>
        <w:tc>
          <w:tcPr>
            <w:tcW w:w="786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Non-IFRS and Other Financial Measures and Ratios</w:t>
            </w:r>
          </w:p>
        </w:tc>
        <w:tc>
          <w:tcPr>
            <w:tcW w:w="2700" w:type="dxa"/>
            <w:vAlign w:val="bottom"/>
            <w:shd w:val="clear" w:color="auto" w:fill="CCEEFF"/>
          </w:tcPr>
          <w:p>
            <w:pPr>
              <w:jc w:val="center"/>
              <w:ind w:left="1470"/>
              <w:spacing w:after="0" w:line="176" w:lineRule="exact"/>
              <w:rPr>
                <w:sz w:val="20"/>
                <w:szCs w:val="20"/>
                <w:color w:val="auto"/>
              </w:rPr>
            </w:pPr>
            <w:r>
              <w:rPr>
                <w:rFonts w:ascii="Arial" w:cs="Arial" w:eastAsia="Arial" w:hAnsi="Arial"/>
                <w:sz w:val="18"/>
                <w:szCs w:val="18"/>
                <w:color w:val="auto"/>
                <w:w w:val="89"/>
              </w:rPr>
              <w:t>24</w:t>
            </w:r>
          </w:p>
        </w:tc>
      </w:tr>
      <w:tr>
        <w:trPr>
          <w:trHeight w:val="176"/>
        </w:trPr>
        <w:tc>
          <w:tcPr>
            <w:tcW w:w="6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w:t>
            </w:r>
          </w:p>
        </w:tc>
        <w:tc>
          <w:tcPr>
            <w:tcW w:w="3760" w:type="dxa"/>
            <w:vAlign w:val="bottom"/>
            <w:tcBorders>
              <w:top w:val="single" w:sz="8" w:color="0000EE"/>
            </w:tcBorders>
            <w:gridSpan w:val="18"/>
          </w:tcPr>
          <w:p>
            <w:pPr>
              <w:spacing w:after="0" w:line="176" w:lineRule="exact"/>
              <w:rPr>
                <w:sz w:val="20"/>
                <w:szCs w:val="20"/>
                <w:color w:val="auto"/>
              </w:rPr>
            </w:pPr>
            <w:r>
              <w:rPr>
                <w:rFonts w:ascii="Arial" w:cs="Arial" w:eastAsia="Arial" w:hAnsi="Arial"/>
                <w:sz w:val="18"/>
                <w:szCs w:val="18"/>
                <w:color w:val="0000EE"/>
              </w:rPr>
              <w:t>Liquidity and Capital Resources</w:t>
            </w:r>
          </w:p>
        </w:tc>
        <w:tc>
          <w:tcPr>
            <w:tcW w:w="4100" w:type="dxa"/>
            <w:vAlign w:val="bottom"/>
            <w:tcBorders>
              <w:top w:val="single" w:sz="8" w:color="CCEEFF"/>
            </w:tcBorders>
            <w:gridSpan w:val="5"/>
          </w:tcPr>
          <w:p>
            <w:pPr>
              <w:spacing w:after="0"/>
              <w:rPr>
                <w:sz w:val="15"/>
                <w:szCs w:val="15"/>
                <w:color w:val="auto"/>
              </w:rPr>
            </w:pPr>
          </w:p>
        </w:tc>
        <w:tc>
          <w:tcPr>
            <w:tcW w:w="2700" w:type="dxa"/>
            <w:vAlign w:val="bottom"/>
            <w:tcBorders>
              <w:top w:val="single" w:sz="8" w:color="CCEEFF"/>
            </w:tcBorders>
          </w:tcPr>
          <w:p>
            <w:pPr>
              <w:jc w:val="center"/>
              <w:ind w:left="1470"/>
              <w:spacing w:after="0" w:line="176" w:lineRule="exact"/>
              <w:rPr>
                <w:sz w:val="20"/>
                <w:szCs w:val="20"/>
                <w:color w:val="auto"/>
              </w:rPr>
            </w:pPr>
            <w:r>
              <w:rPr>
                <w:rFonts w:ascii="Arial" w:cs="Arial" w:eastAsia="Arial" w:hAnsi="Arial"/>
                <w:sz w:val="18"/>
                <w:szCs w:val="18"/>
                <w:color w:val="auto"/>
                <w:w w:val="89"/>
              </w:rPr>
              <w:t>28</w:t>
            </w:r>
          </w:p>
        </w:tc>
      </w:tr>
      <w:tr>
        <w:trPr>
          <w:trHeight w:val="21"/>
        </w:trPr>
        <w:tc>
          <w:tcPr>
            <w:tcW w:w="6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786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Financial Position</w:t>
            </w:r>
          </w:p>
        </w:tc>
        <w:tc>
          <w:tcPr>
            <w:tcW w:w="2700" w:type="dxa"/>
            <w:vAlign w:val="bottom"/>
            <w:shd w:val="clear" w:color="auto" w:fill="CCEEFF"/>
          </w:tcPr>
          <w:p>
            <w:pPr>
              <w:jc w:val="center"/>
              <w:ind w:left="1470"/>
              <w:spacing w:after="0" w:line="176" w:lineRule="exact"/>
              <w:rPr>
                <w:sz w:val="20"/>
                <w:szCs w:val="20"/>
                <w:color w:val="auto"/>
              </w:rPr>
            </w:pPr>
            <w:r>
              <w:rPr>
                <w:rFonts w:ascii="Arial" w:cs="Arial" w:eastAsia="Arial" w:hAnsi="Arial"/>
                <w:sz w:val="18"/>
                <w:szCs w:val="18"/>
                <w:color w:val="auto"/>
                <w:w w:val="89"/>
              </w:rPr>
              <w:t>35</w:t>
            </w: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80" w:type="dxa"/>
            <w:vAlign w:val="bottom"/>
          </w:tcPr>
          <w:p>
            <w:pPr>
              <w:spacing w:after="0" w:line="176" w:lineRule="exact"/>
              <w:rPr>
                <w:sz w:val="20"/>
                <w:szCs w:val="20"/>
                <w:color w:val="auto"/>
              </w:rPr>
            </w:pPr>
            <w:r>
              <w:rPr>
                <w:rFonts w:ascii="Arial" w:cs="Arial" w:eastAsia="Arial" w:hAnsi="Arial"/>
                <w:sz w:val="18"/>
                <w:szCs w:val="18"/>
                <w:color w:val="auto"/>
              </w:rPr>
              <w:t>12.</w:t>
            </w:r>
          </w:p>
        </w:tc>
        <w:tc>
          <w:tcPr>
            <w:tcW w:w="7860" w:type="dxa"/>
            <w:vAlign w:val="bottom"/>
            <w:gridSpan w:val="23"/>
          </w:tcPr>
          <w:p>
            <w:pPr>
              <w:spacing w:after="0" w:line="176" w:lineRule="exact"/>
              <w:rPr>
                <w:sz w:val="20"/>
                <w:szCs w:val="20"/>
                <w:color w:val="auto"/>
              </w:rPr>
            </w:pPr>
            <w:r>
              <w:rPr>
                <w:rFonts w:ascii="Arial" w:cs="Arial" w:eastAsia="Arial" w:hAnsi="Arial"/>
                <w:sz w:val="18"/>
                <w:szCs w:val="18"/>
                <w:color w:val="0000EE"/>
              </w:rPr>
              <w:t>Financial Instruments</w:t>
            </w:r>
          </w:p>
        </w:tc>
        <w:tc>
          <w:tcPr>
            <w:tcW w:w="2700" w:type="dxa"/>
            <w:vAlign w:val="bottom"/>
          </w:tcPr>
          <w:p>
            <w:pPr>
              <w:jc w:val="center"/>
              <w:ind w:left="1470"/>
              <w:spacing w:after="0" w:line="176" w:lineRule="exact"/>
              <w:rPr>
                <w:sz w:val="20"/>
                <w:szCs w:val="20"/>
                <w:color w:val="auto"/>
              </w:rPr>
            </w:pPr>
            <w:r>
              <w:rPr>
                <w:rFonts w:ascii="Arial" w:cs="Arial" w:eastAsia="Arial" w:hAnsi="Arial"/>
                <w:sz w:val="18"/>
                <w:szCs w:val="18"/>
                <w:color w:val="auto"/>
                <w:w w:val="89"/>
              </w:rPr>
              <w:t>36</w:t>
            </w:r>
          </w:p>
        </w:tc>
      </w:tr>
      <w:tr>
        <w:trPr>
          <w:trHeight w:val="21"/>
        </w:trPr>
        <w:tc>
          <w:tcPr>
            <w:tcW w:w="6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13.</w:t>
            </w:r>
          </w:p>
        </w:tc>
        <w:tc>
          <w:tcPr>
            <w:tcW w:w="194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88"/>
              </w:rPr>
              <w:t>Related Party Transactions</w:t>
            </w:r>
          </w:p>
        </w:tc>
        <w:tc>
          <w:tcPr>
            <w:tcW w:w="5920" w:type="dxa"/>
            <w:vAlign w:val="bottom"/>
            <w:tcBorders>
              <w:bottom w:val="single" w:sz="8" w:color="CCEEFF"/>
            </w:tcBorders>
            <w:gridSpan w:val="12"/>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Arial" w:cs="Arial" w:eastAsia="Arial" w:hAnsi="Arial"/>
                <w:sz w:val="18"/>
                <w:szCs w:val="18"/>
                <w:color w:val="auto"/>
                <w:w w:val="89"/>
              </w:rPr>
              <w:t>36</w:t>
            </w:r>
          </w:p>
        </w:tc>
      </w:tr>
      <w:tr>
        <w:trPr>
          <w:trHeight w:val="176"/>
        </w:trPr>
        <w:tc>
          <w:tcPr>
            <w:tcW w:w="680" w:type="dxa"/>
            <w:vAlign w:val="bottom"/>
          </w:tcPr>
          <w:p>
            <w:pPr>
              <w:spacing w:after="0" w:line="176" w:lineRule="exact"/>
              <w:rPr>
                <w:sz w:val="20"/>
                <w:szCs w:val="20"/>
                <w:color w:val="auto"/>
              </w:rPr>
            </w:pPr>
            <w:r>
              <w:rPr>
                <w:rFonts w:ascii="Arial" w:cs="Arial" w:eastAsia="Arial" w:hAnsi="Arial"/>
                <w:sz w:val="18"/>
                <w:szCs w:val="18"/>
                <w:color w:val="auto"/>
              </w:rPr>
              <w:t>14.</w:t>
            </w:r>
          </w:p>
        </w:tc>
        <w:tc>
          <w:tcPr>
            <w:tcW w:w="7860" w:type="dxa"/>
            <w:vAlign w:val="bottom"/>
            <w:gridSpan w:val="23"/>
          </w:tcPr>
          <w:p>
            <w:pPr>
              <w:spacing w:after="0" w:line="176" w:lineRule="exact"/>
              <w:rPr>
                <w:sz w:val="20"/>
                <w:szCs w:val="20"/>
                <w:color w:val="auto"/>
              </w:rPr>
            </w:pPr>
            <w:r>
              <w:rPr>
                <w:rFonts w:ascii="Arial" w:cs="Arial" w:eastAsia="Arial" w:hAnsi="Arial"/>
                <w:sz w:val="18"/>
                <w:szCs w:val="18"/>
                <w:color w:val="0000EE"/>
              </w:rPr>
              <w:t>Internal Controls Over Financial Reporting</w:t>
            </w:r>
          </w:p>
        </w:tc>
        <w:tc>
          <w:tcPr>
            <w:tcW w:w="2700" w:type="dxa"/>
            <w:vAlign w:val="bottom"/>
          </w:tcPr>
          <w:p>
            <w:pPr>
              <w:jc w:val="center"/>
              <w:ind w:left="1470"/>
              <w:spacing w:after="0" w:line="176" w:lineRule="exact"/>
              <w:rPr>
                <w:sz w:val="20"/>
                <w:szCs w:val="20"/>
                <w:color w:val="auto"/>
              </w:rPr>
            </w:pPr>
            <w:r>
              <w:rPr>
                <w:rFonts w:ascii="Arial" w:cs="Arial" w:eastAsia="Arial" w:hAnsi="Arial"/>
                <w:sz w:val="18"/>
                <w:szCs w:val="18"/>
                <w:color w:val="auto"/>
                <w:w w:val="89"/>
              </w:rPr>
              <w:t>36</w:t>
            </w:r>
          </w:p>
        </w:tc>
      </w:tr>
      <w:tr>
        <w:trPr>
          <w:trHeight w:val="20"/>
        </w:trPr>
        <w:tc>
          <w:tcPr>
            <w:tcW w:w="6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15.</w:t>
            </w:r>
          </w:p>
        </w:tc>
        <w:tc>
          <w:tcPr>
            <w:tcW w:w="222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86"/>
              </w:rPr>
              <w:t>Recent and Subsequent Events</w:t>
            </w:r>
          </w:p>
        </w:tc>
        <w:tc>
          <w:tcPr>
            <w:tcW w:w="5640" w:type="dxa"/>
            <w:vAlign w:val="bottom"/>
            <w:tcBorders>
              <w:bottom w:val="single" w:sz="8" w:color="CCEEFF"/>
            </w:tcBorders>
            <w:gridSpan w:val="11"/>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Arial" w:cs="Arial" w:eastAsia="Arial" w:hAnsi="Arial"/>
                <w:sz w:val="18"/>
                <w:szCs w:val="18"/>
                <w:color w:val="auto"/>
                <w:w w:val="89"/>
              </w:rPr>
              <w:t>37</w:t>
            </w:r>
          </w:p>
        </w:tc>
      </w:tr>
      <w:tr>
        <w:trPr>
          <w:trHeight w:val="175"/>
        </w:trPr>
        <w:tc>
          <w:tcPr>
            <w:tcW w:w="680" w:type="dxa"/>
            <w:vAlign w:val="bottom"/>
          </w:tcPr>
          <w:p>
            <w:pPr>
              <w:spacing w:after="0" w:line="176" w:lineRule="exact"/>
              <w:rPr>
                <w:sz w:val="20"/>
                <w:szCs w:val="20"/>
                <w:color w:val="auto"/>
              </w:rPr>
            </w:pPr>
            <w:r>
              <w:rPr>
                <w:rFonts w:ascii="Arial" w:cs="Arial" w:eastAsia="Arial" w:hAnsi="Arial"/>
                <w:sz w:val="18"/>
                <w:szCs w:val="18"/>
                <w:color w:val="auto"/>
              </w:rPr>
              <w:t>16.</w:t>
            </w:r>
          </w:p>
        </w:tc>
        <w:tc>
          <w:tcPr>
            <w:tcW w:w="7860" w:type="dxa"/>
            <w:vAlign w:val="bottom"/>
            <w:gridSpan w:val="23"/>
          </w:tcPr>
          <w:p>
            <w:pPr>
              <w:spacing w:after="0" w:line="176" w:lineRule="exact"/>
              <w:rPr>
                <w:sz w:val="20"/>
                <w:szCs w:val="20"/>
                <w:color w:val="auto"/>
              </w:rPr>
            </w:pPr>
            <w:r>
              <w:rPr>
                <w:rFonts w:ascii="Arial" w:cs="Arial" w:eastAsia="Arial" w:hAnsi="Arial"/>
                <w:sz w:val="18"/>
                <w:szCs w:val="18"/>
                <w:color w:val="0000EE"/>
              </w:rPr>
              <w:t>Share Capital</w:t>
            </w:r>
          </w:p>
        </w:tc>
        <w:tc>
          <w:tcPr>
            <w:tcW w:w="2700" w:type="dxa"/>
            <w:vAlign w:val="bottom"/>
          </w:tcPr>
          <w:p>
            <w:pPr>
              <w:jc w:val="center"/>
              <w:ind w:left="1470"/>
              <w:spacing w:after="0" w:line="176" w:lineRule="exact"/>
              <w:rPr>
                <w:sz w:val="20"/>
                <w:szCs w:val="20"/>
                <w:color w:val="auto"/>
              </w:rPr>
            </w:pPr>
            <w:r>
              <w:rPr>
                <w:rFonts w:ascii="Arial" w:cs="Arial" w:eastAsia="Arial" w:hAnsi="Arial"/>
                <w:sz w:val="18"/>
                <w:szCs w:val="18"/>
                <w:color w:val="auto"/>
                <w:w w:val="89"/>
              </w:rPr>
              <w:t>37</w:t>
            </w:r>
          </w:p>
        </w:tc>
      </w:tr>
      <w:tr>
        <w:trPr>
          <w:trHeight w:val="21"/>
        </w:trPr>
        <w:tc>
          <w:tcPr>
            <w:tcW w:w="6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17.</w:t>
            </w:r>
          </w:p>
        </w:tc>
        <w:tc>
          <w:tcPr>
            <w:tcW w:w="786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2700" w:type="dxa"/>
            <w:vAlign w:val="bottom"/>
            <w:shd w:val="clear" w:color="auto" w:fill="CCEEFF"/>
          </w:tcPr>
          <w:p>
            <w:pPr>
              <w:jc w:val="center"/>
              <w:ind w:left="1470"/>
              <w:spacing w:after="0" w:line="176" w:lineRule="exact"/>
              <w:rPr>
                <w:sz w:val="20"/>
                <w:szCs w:val="20"/>
                <w:color w:val="auto"/>
              </w:rPr>
            </w:pPr>
            <w:r>
              <w:rPr>
                <w:rFonts w:ascii="Arial" w:cs="Arial" w:eastAsia="Arial" w:hAnsi="Arial"/>
                <w:sz w:val="18"/>
                <w:szCs w:val="18"/>
                <w:color w:val="auto"/>
                <w:w w:val="89"/>
              </w:rPr>
              <w:t>38</w:t>
            </w:r>
          </w:p>
        </w:tc>
      </w:tr>
      <w:tr>
        <w:trPr>
          <w:trHeight w:val="21"/>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80" w:type="dxa"/>
            <w:vAlign w:val="bottom"/>
          </w:tcPr>
          <w:p>
            <w:pPr>
              <w:spacing w:after="0" w:line="176" w:lineRule="exact"/>
              <w:rPr>
                <w:sz w:val="20"/>
                <w:szCs w:val="20"/>
                <w:color w:val="auto"/>
              </w:rPr>
            </w:pPr>
            <w:r>
              <w:rPr>
                <w:rFonts w:ascii="Arial" w:cs="Arial" w:eastAsia="Arial" w:hAnsi="Arial"/>
                <w:sz w:val="18"/>
                <w:szCs w:val="18"/>
                <w:color w:val="auto"/>
              </w:rPr>
              <w:t>18.</w:t>
            </w:r>
          </w:p>
        </w:tc>
        <w:tc>
          <w:tcPr>
            <w:tcW w:w="7860" w:type="dxa"/>
            <w:vAlign w:val="bottom"/>
            <w:gridSpan w:val="23"/>
          </w:tcPr>
          <w:p>
            <w:pPr>
              <w:spacing w:after="0" w:line="176" w:lineRule="exact"/>
              <w:rPr>
                <w:sz w:val="20"/>
                <w:szCs w:val="20"/>
                <w:color w:val="auto"/>
              </w:rPr>
            </w:pPr>
            <w:r>
              <w:rPr>
                <w:rFonts w:ascii="Arial" w:cs="Arial" w:eastAsia="Arial" w:hAnsi="Arial"/>
                <w:sz w:val="18"/>
                <w:szCs w:val="18"/>
                <w:color w:val="0000EE"/>
              </w:rPr>
              <w:t>Significant Accounting Estimates</w:t>
            </w:r>
          </w:p>
        </w:tc>
        <w:tc>
          <w:tcPr>
            <w:tcW w:w="2700" w:type="dxa"/>
            <w:vAlign w:val="bottom"/>
          </w:tcPr>
          <w:p>
            <w:pPr>
              <w:jc w:val="center"/>
              <w:ind w:left="1470"/>
              <w:spacing w:after="0" w:line="176" w:lineRule="exact"/>
              <w:rPr>
                <w:sz w:val="20"/>
                <w:szCs w:val="20"/>
                <w:color w:val="auto"/>
              </w:rPr>
            </w:pPr>
            <w:r>
              <w:rPr>
                <w:rFonts w:ascii="Arial" w:cs="Arial" w:eastAsia="Arial" w:hAnsi="Arial"/>
                <w:sz w:val="18"/>
                <w:szCs w:val="18"/>
                <w:color w:val="auto"/>
                <w:w w:val="89"/>
              </w:rPr>
              <w:t>42</w:t>
            </w:r>
          </w:p>
        </w:tc>
      </w:tr>
      <w:tr>
        <w:trPr>
          <w:trHeight w:val="20"/>
        </w:trPr>
        <w:tc>
          <w:tcPr>
            <w:tcW w:w="6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19.</w:t>
            </w:r>
          </w:p>
        </w:tc>
        <w:tc>
          <w:tcPr>
            <w:tcW w:w="446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2"/>
              </w:rPr>
              <w:t>Significant Accounting Policies and New Accounting Policies</w:t>
            </w:r>
          </w:p>
        </w:tc>
        <w:tc>
          <w:tcPr>
            <w:tcW w:w="3400" w:type="dxa"/>
            <w:vAlign w:val="bottom"/>
            <w:tcBorders>
              <w:bottom w:val="single" w:sz="8" w:color="CCEEFF"/>
            </w:tcBorders>
            <w:gridSpan w:val="3"/>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jc w:val="center"/>
              <w:ind w:left="1470"/>
              <w:spacing w:after="0" w:line="176" w:lineRule="exact"/>
              <w:rPr>
                <w:sz w:val="20"/>
                <w:szCs w:val="20"/>
                <w:color w:val="auto"/>
              </w:rPr>
            </w:pPr>
            <w:r>
              <w:rPr>
                <w:rFonts w:ascii="Arial" w:cs="Arial" w:eastAsia="Arial" w:hAnsi="Arial"/>
                <w:sz w:val="18"/>
                <w:szCs w:val="18"/>
                <w:color w:val="auto"/>
                <w:w w:val="89"/>
              </w:rPr>
              <w:t>42</w:t>
            </w:r>
          </w:p>
        </w:tc>
      </w:tr>
      <w:tr>
        <w:trPr>
          <w:trHeight w:val="176"/>
        </w:trPr>
        <w:tc>
          <w:tcPr>
            <w:tcW w:w="680" w:type="dxa"/>
            <w:vAlign w:val="bottom"/>
          </w:tcPr>
          <w:p>
            <w:pPr>
              <w:spacing w:after="0" w:line="176" w:lineRule="exact"/>
              <w:rPr>
                <w:sz w:val="20"/>
                <w:szCs w:val="20"/>
                <w:color w:val="auto"/>
              </w:rPr>
            </w:pPr>
            <w:r>
              <w:rPr>
                <w:rFonts w:ascii="Arial" w:cs="Arial" w:eastAsia="Arial" w:hAnsi="Arial"/>
                <w:sz w:val="18"/>
                <w:szCs w:val="18"/>
                <w:color w:val="auto"/>
              </w:rPr>
              <w:t>20.</w:t>
            </w:r>
          </w:p>
        </w:tc>
        <w:tc>
          <w:tcPr>
            <w:tcW w:w="7860" w:type="dxa"/>
            <w:vAlign w:val="bottom"/>
            <w:gridSpan w:val="23"/>
          </w:tcPr>
          <w:p>
            <w:pPr>
              <w:spacing w:after="0" w:line="176" w:lineRule="exact"/>
              <w:rPr>
                <w:sz w:val="20"/>
                <w:szCs w:val="20"/>
                <w:color w:val="auto"/>
              </w:rPr>
            </w:pPr>
            <w:r>
              <w:rPr>
                <w:rFonts w:ascii="Arial" w:cs="Arial" w:eastAsia="Arial" w:hAnsi="Arial"/>
                <w:sz w:val="18"/>
                <w:szCs w:val="18"/>
                <w:color w:val="0000EE"/>
              </w:rPr>
              <w:t>Cautionary Note Regarding Forward-Looking Statements</w:t>
            </w:r>
          </w:p>
        </w:tc>
        <w:tc>
          <w:tcPr>
            <w:tcW w:w="2700" w:type="dxa"/>
            <w:vAlign w:val="bottom"/>
          </w:tcPr>
          <w:p>
            <w:pPr>
              <w:jc w:val="center"/>
              <w:ind w:left="1470"/>
              <w:spacing w:after="0" w:line="176" w:lineRule="exact"/>
              <w:rPr>
                <w:sz w:val="20"/>
                <w:szCs w:val="20"/>
                <w:color w:val="auto"/>
              </w:rPr>
            </w:pPr>
            <w:r>
              <w:rPr>
                <w:rFonts w:ascii="Arial" w:cs="Arial" w:eastAsia="Arial" w:hAnsi="Arial"/>
                <w:sz w:val="18"/>
                <w:szCs w:val="18"/>
                <w:color w:val="auto"/>
                <w:w w:val="89"/>
              </w:rPr>
              <w:t>42</w:t>
            </w:r>
          </w:p>
        </w:tc>
      </w:tr>
      <w:tr>
        <w:trPr>
          <w:trHeight w:val="21"/>
        </w:trPr>
        <w:tc>
          <w:tcPr>
            <w:tcW w:w="6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786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Cautionary Note Regarding Non-IFRS and Other Financial Measures and Ratios</w:t>
            </w:r>
          </w:p>
        </w:tc>
        <w:tc>
          <w:tcPr>
            <w:tcW w:w="2700" w:type="dxa"/>
            <w:vAlign w:val="bottom"/>
            <w:shd w:val="clear" w:color="auto" w:fill="CCEEFF"/>
          </w:tcPr>
          <w:p>
            <w:pPr>
              <w:jc w:val="center"/>
              <w:ind w:left="1470"/>
              <w:spacing w:after="0" w:line="176" w:lineRule="exact"/>
              <w:rPr>
                <w:sz w:val="20"/>
                <w:szCs w:val="20"/>
                <w:color w:val="auto"/>
              </w:rPr>
            </w:pPr>
            <w:r>
              <w:rPr>
                <w:rFonts w:ascii="Arial" w:cs="Arial" w:eastAsia="Arial" w:hAnsi="Arial"/>
                <w:sz w:val="18"/>
                <w:szCs w:val="18"/>
                <w:color w:val="auto"/>
                <w:w w:val="89"/>
              </w:rPr>
              <w:t>44</w:t>
            </w:r>
          </w:p>
        </w:tc>
      </w:tr>
      <w:tr>
        <w:trPr>
          <w:trHeight w:val="176"/>
        </w:trPr>
        <w:tc>
          <w:tcPr>
            <w:tcW w:w="6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22.</w:t>
            </w:r>
          </w:p>
        </w:tc>
        <w:tc>
          <w:tcPr>
            <w:tcW w:w="5800" w:type="dxa"/>
            <w:vAlign w:val="bottom"/>
            <w:tcBorders>
              <w:top w:val="single" w:sz="8" w:color="0000EE"/>
            </w:tcBorders>
            <w:gridSpan w:val="22"/>
          </w:tcPr>
          <w:p>
            <w:pPr>
              <w:spacing w:after="0" w:line="176" w:lineRule="exact"/>
              <w:rPr>
                <w:sz w:val="20"/>
                <w:szCs w:val="20"/>
                <w:color w:val="auto"/>
              </w:rPr>
            </w:pPr>
            <w:r>
              <w:rPr>
                <w:rFonts w:ascii="Arial" w:cs="Arial" w:eastAsia="Arial" w:hAnsi="Arial"/>
                <w:sz w:val="18"/>
                <w:szCs w:val="18"/>
                <w:color w:val="0000EE"/>
              </w:rPr>
              <w:t>Additional Information</w:t>
            </w:r>
          </w:p>
        </w:tc>
        <w:tc>
          <w:tcPr>
            <w:tcW w:w="2060" w:type="dxa"/>
            <w:vAlign w:val="bottom"/>
            <w:tcBorders>
              <w:top w:val="single" w:sz="8" w:color="CCEEFF"/>
            </w:tcBorders>
          </w:tcPr>
          <w:p>
            <w:pPr>
              <w:spacing w:after="0"/>
              <w:rPr>
                <w:sz w:val="15"/>
                <w:szCs w:val="15"/>
                <w:color w:val="auto"/>
              </w:rPr>
            </w:pPr>
          </w:p>
        </w:tc>
        <w:tc>
          <w:tcPr>
            <w:tcW w:w="2700" w:type="dxa"/>
            <w:vAlign w:val="bottom"/>
            <w:tcBorders>
              <w:top w:val="single" w:sz="8" w:color="CCEEFF"/>
            </w:tcBorders>
          </w:tcPr>
          <w:p>
            <w:pPr>
              <w:jc w:val="center"/>
              <w:ind w:left="1470"/>
              <w:spacing w:after="0" w:line="176" w:lineRule="exact"/>
              <w:rPr>
                <w:sz w:val="20"/>
                <w:szCs w:val="20"/>
                <w:color w:val="auto"/>
              </w:rPr>
            </w:pPr>
            <w:r>
              <w:rPr>
                <w:rFonts w:ascii="Arial" w:cs="Arial" w:eastAsia="Arial" w:hAnsi="Arial"/>
                <w:sz w:val="18"/>
                <w:szCs w:val="18"/>
                <w:color w:val="auto"/>
                <w:w w:val="89"/>
              </w:rPr>
              <w:t>44</w:t>
            </w:r>
          </w:p>
        </w:tc>
      </w:tr>
      <w:tr>
        <w:trPr>
          <w:trHeight w:val="20"/>
        </w:trPr>
        <w:tc>
          <w:tcPr>
            <w:tcW w:w="68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75"/>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786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Glossary of Terms</w:t>
            </w:r>
          </w:p>
        </w:tc>
        <w:tc>
          <w:tcPr>
            <w:tcW w:w="2700" w:type="dxa"/>
            <w:vAlign w:val="bottom"/>
            <w:shd w:val="clear" w:color="auto" w:fill="CCEEFF"/>
          </w:tcPr>
          <w:p>
            <w:pPr>
              <w:jc w:val="center"/>
              <w:ind w:left="1470"/>
              <w:spacing w:after="0" w:line="176" w:lineRule="exact"/>
              <w:rPr>
                <w:sz w:val="20"/>
                <w:szCs w:val="20"/>
                <w:color w:val="auto"/>
              </w:rPr>
            </w:pPr>
            <w:r>
              <w:rPr>
                <w:rFonts w:ascii="Arial" w:cs="Arial" w:eastAsia="Arial" w:hAnsi="Arial"/>
                <w:sz w:val="18"/>
                <w:szCs w:val="18"/>
                <w:color w:val="auto"/>
                <w:w w:val="89"/>
              </w:rPr>
              <w:t>45</w:t>
            </w: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2 Page</w:t>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INTRODUCTION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Management’s Discussion and Analysis (the “MD&amp;A”) for Bitfarms Ltd. (together with its subsidiaries, the “Company” or “Bitfarms”) has been prepared as of August 7, 2023. This MD&amp;A is intended to supplement the Company’s second quarter 2023 unaudited interim condensed consolidated financial statements and its accompanying notes (the “Financial Statements”), and the Company’s 2022 audited annual consolidated financial statements and its accompanying notes (the “2022 Annual Financial Statements”). This MD&amp;A should be read in conjunction with the Company’s Annual Information Form dated March 20, 2023, which is available on SEDAR at www.sedarplus.ca and EDGAR at www.sec.gov/edgar.</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Company’s Financial Statements have been prepared in accordance with International Financial Reporting Standards (“IFRS”) as issued by the International Accounting Standards Board (“IASB”), including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The Company’s Financial Statements and this MD&amp;A are reported in thousands of US dollars and US dollars, respectively, except where otherwise noted.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management team (“Management”) is responsible for the preparation and integrity of the Financial Statements including the maintenance of appropriate information systems, procedures and internal controls. Management is also responsible for ensuring that information disclosed externally, including the Financial Statements and MD&amp;A, is complete and reliable.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9 - </w:t>
      </w:r>
      <w:r>
        <w:rPr>
          <w:rFonts w:ascii="Arial" w:cs="Arial" w:eastAsia="Arial" w:hAnsi="Arial"/>
          <w:sz w:val="18"/>
          <w:szCs w:val="18"/>
          <w:i w:val="1"/>
          <w:iCs w:val="1"/>
          <w:color w:val="auto"/>
        </w:rPr>
        <w:t>Non-IFRS and Other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Measures and Ratios </w:t>
      </w:r>
      <w:r>
        <w:rPr>
          <w:rFonts w:ascii="Arial" w:cs="Arial" w:eastAsia="Arial" w:hAnsi="Arial"/>
          <w:sz w:val="18"/>
          <w:szCs w:val="18"/>
          <w:color w:val="auto"/>
        </w:rPr>
        <w:t>and Section 21 -</w:t>
      </w:r>
      <w:r>
        <w:rPr>
          <w:rFonts w:ascii="Arial" w:cs="Arial" w:eastAsia="Arial" w:hAnsi="Arial"/>
          <w:sz w:val="18"/>
          <w:szCs w:val="18"/>
          <w:i w:val="1"/>
          <w:iCs w:val="1"/>
          <w:color w:val="auto"/>
        </w:rPr>
        <w:t xml:space="preserve"> Cautionary Note Regarding Non-IFRS and Other Financial Measures and Ratios </w:t>
      </w:r>
      <w:r>
        <w:rPr>
          <w:rFonts w:ascii="Arial" w:cs="Arial" w:eastAsia="Arial" w:hAnsi="Arial"/>
          <w:sz w:val="18"/>
          <w:szCs w:val="18"/>
          <w:color w:val="auto"/>
        </w:rPr>
        <w:t>of this MD&amp;A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This MD&amp;A contains forward-looking statements. Refer to the risk factors described in Section 17 -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MD&amp;A, Section 18 - Risk Factors of the Company’s MD&amp;A for the year ended December 31, 2022 dated March 20, 2023 and to Section 20 - </w:t>
      </w:r>
      <w:r>
        <w:rPr>
          <w:rFonts w:ascii="Arial" w:cs="Arial" w:eastAsia="Arial" w:hAnsi="Arial"/>
          <w:sz w:val="18"/>
          <w:szCs w:val="18"/>
          <w:i w:val="1"/>
          <w:iCs w:val="1"/>
          <w:color w:val="auto"/>
        </w:rPr>
        <w:t>Cautionary Note Regarding Forward-Looking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of this MD&amp;A for more information. This MD&amp;A contains various terms related to the Company’s business and industry which are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Section 23 - </w:t>
      </w:r>
      <w:r>
        <w:rPr>
          <w:rFonts w:ascii="Arial" w:cs="Arial" w:eastAsia="Arial" w:hAnsi="Arial"/>
          <w:sz w:val="18"/>
          <w:szCs w:val="18"/>
          <w:i w:val="1"/>
          <w:iCs w:val="1"/>
          <w:color w:val="auto"/>
        </w:rPr>
        <w:t>Glossary of Terms</w:t>
      </w:r>
      <w:r>
        <w:rPr>
          <w:rFonts w:ascii="Arial" w:cs="Arial" w:eastAsia="Arial" w:hAnsi="Arial"/>
          <w:sz w:val="18"/>
          <w:szCs w:val="18"/>
          <w:color w:val="auto"/>
        </w:rPr>
        <w:t xml:space="preserve"> of this MD&amp;A.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this MD&amp;A, the following terms shall have the following definitions: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886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8"/>
                <w:szCs w:val="18"/>
                <w:b w:val="1"/>
                <w:bCs w:val="1"/>
                <w:color w:val="auto"/>
              </w:rPr>
              <w:t>Definition</w:t>
            </w: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Q2 2023</w:t>
            </w:r>
          </w:p>
        </w:tc>
        <w:tc>
          <w:tcPr>
            <w:tcW w:w="886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Three months ended June 30, 2023</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Q2 2022</w:t>
            </w:r>
          </w:p>
        </w:tc>
        <w:tc>
          <w:tcPr>
            <w:tcW w:w="8860" w:type="dxa"/>
            <w:vAlign w:val="bottom"/>
          </w:tcPr>
          <w:p>
            <w:pPr>
              <w:ind w:left="1340"/>
              <w:spacing w:after="0"/>
              <w:rPr>
                <w:sz w:val="20"/>
                <w:szCs w:val="20"/>
                <w:color w:val="auto"/>
              </w:rPr>
            </w:pPr>
            <w:r>
              <w:rPr>
                <w:rFonts w:ascii="Arial" w:cs="Arial" w:eastAsia="Arial" w:hAnsi="Arial"/>
                <w:sz w:val="18"/>
                <w:szCs w:val="18"/>
                <w:color w:val="auto"/>
              </w:rPr>
              <w:t>Three months ended June 30, 2022</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YTD Q2 2023</w:t>
            </w:r>
          </w:p>
        </w:tc>
        <w:tc>
          <w:tcPr>
            <w:tcW w:w="886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Six months ended June 30, 2023</w:t>
            </w:r>
          </w:p>
        </w:tc>
      </w:tr>
      <w:tr>
        <w:trPr>
          <w:trHeight w:val="223"/>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YTD Q2 2022</w:t>
            </w:r>
          </w:p>
        </w:tc>
        <w:tc>
          <w:tcPr>
            <w:tcW w:w="88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Six months ended June 30,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3 Page</w:t>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COMPANY 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Founded in 2017, Bitfarms (NASDAQ/TSX: BITF) is a global, publicly traded Bitcoin mining company. Bitfarms runs vertically integrated mining operations with in-house management and company-owned electrical engineering, installation service, and onsite technical repair. The Company’s proprietary data analytics system delivers best-in-class operational performance and uptime.</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Bitfarms owns and operates server farms comprised of computers (referred to as “Miners”) designed for the purpose of validating transactions on the Bitcoin (“BTC”) Blockchain (referred to as “Mining”). Bitfarms generally operates Miners 24 hours a day producing computational power (measured by hashrate) which it sells to Mining Pools under a formula driven rate commonly known in the industry as Full Pay Per Share (“FPPS”). Under FPPS, pools compensate Mining companies for their hashrate based on what the pool would expect to generate in revenue for a given time period if there was no randomness involved. The fee paid by a Mining Pool to Bitfarms for its hashrate may be in cryptocurrency, U.S. dollars, or other currency. Bitfarms accumulates the cryptocurrency fees it receives or exchanges them for U.S. dollars, as determined to be needed, through reputable and established cryptocurrency trading platforms. Mining Pools generate revenue by Mining with purchased hashrate through the accumulation of Block Rewards and transaction fees issued by the BTC network. Mining pools purchase hashrate and accept the risk of rewards not being commensurate with compensation paid with the aim to mine more blocks than they should in a given time period.</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currently has 11 Mining facilities situated in four countries: Canada, the United States, Argentina and Paraguay. Powered predominately by environmentally friendly hydro-electric and long-term power contracts, Bitfarms is committed to using sustainable, locally-based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ability to operate and secure power through its production sites is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80" w:type="dxa"/>
            <w:vAlign w:val="bottom"/>
            <w:tcBorders>
              <w:top w:val="single" w:sz="8" w:color="auto"/>
            </w:tcBorders>
          </w:tcPr>
          <w:p>
            <w:pPr>
              <w:spacing w:after="0"/>
              <w:rPr>
                <w:sz w:val="18"/>
                <w:szCs w:val="18"/>
                <w:color w:val="auto"/>
              </w:rPr>
            </w:pPr>
          </w:p>
        </w:tc>
        <w:tc>
          <w:tcPr>
            <w:tcW w:w="4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Operating power as</w:t>
            </w:r>
          </w:p>
        </w:tc>
        <w:tc>
          <w:tcPr>
            <w:tcW w:w="2080" w:type="dxa"/>
            <w:vAlign w:val="bottom"/>
            <w:tcBorders>
              <w:top w:val="single" w:sz="8" w:color="auto"/>
            </w:tcBorders>
          </w:tcPr>
          <w:p>
            <w:pPr>
              <w:jc w:val="right"/>
              <w:ind w:right="356"/>
              <w:spacing w:after="0"/>
              <w:rPr>
                <w:sz w:val="20"/>
                <w:szCs w:val="20"/>
                <w:color w:val="auto"/>
              </w:rPr>
            </w:pPr>
            <w:r>
              <w:rPr>
                <w:rFonts w:ascii="Arial" w:cs="Arial" w:eastAsia="Arial" w:hAnsi="Arial"/>
                <w:sz w:val="18"/>
                <w:szCs w:val="18"/>
                <w:b w:val="1"/>
                <w:bCs w:val="1"/>
                <w:color w:val="auto"/>
                <w:w w:val="90"/>
              </w:rPr>
              <w:t>Contracted power as</w:t>
            </w:r>
          </w:p>
        </w:tc>
      </w:tr>
      <w:tr>
        <w:trPr>
          <w:trHeight w:val="234"/>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Country</w:t>
            </w:r>
          </w:p>
        </w:tc>
        <w:tc>
          <w:tcPr>
            <w:tcW w:w="4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of August 7, 2023</w:t>
            </w:r>
          </w:p>
        </w:tc>
        <w:tc>
          <w:tcPr>
            <w:tcW w:w="208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b w:val="1"/>
                <w:bCs w:val="1"/>
                <w:color w:val="auto"/>
              </w:rPr>
              <w:t>of August 7, 2023</w:t>
            </w: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MW</w:t>
            </w:r>
          </w:p>
        </w:tc>
        <w:tc>
          <w:tcPr>
            <w:tcW w:w="2080" w:type="dxa"/>
            <w:vAlign w:val="bottom"/>
            <w:shd w:val="clear" w:color="auto" w:fill="CCEEFF"/>
          </w:tcPr>
          <w:p>
            <w:pPr>
              <w:ind w:left="1000"/>
              <w:spacing w:after="0" w:line="210" w:lineRule="exact"/>
              <w:rPr>
                <w:sz w:val="20"/>
                <w:szCs w:val="20"/>
                <w:color w:val="auto"/>
              </w:rPr>
            </w:pPr>
            <w:r>
              <w:rPr>
                <w:rFonts w:ascii="Arial" w:cs="Arial" w:eastAsia="Arial" w:hAnsi="Arial"/>
                <w:sz w:val="15"/>
                <w:szCs w:val="15"/>
                <w:color w:val="auto"/>
              </w:rPr>
              <w:t xml:space="preserve">180 MW </w:t>
            </w:r>
            <w:r>
              <w:rPr>
                <w:rFonts w:ascii="Arial" w:cs="Arial" w:eastAsia="Arial" w:hAnsi="Arial"/>
                <w:sz w:val="24"/>
                <w:szCs w:val="24"/>
                <w:color w:val="auto"/>
                <w:vertAlign w:val="superscript"/>
              </w:rPr>
              <w:t>1, 2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United States</w:t>
            </w:r>
          </w:p>
        </w:tc>
        <w:tc>
          <w:tcPr>
            <w:tcW w:w="4880" w:type="dxa"/>
            <w:vAlign w:val="bottom"/>
          </w:tcPr>
          <w:p>
            <w:pPr>
              <w:jc w:val="right"/>
              <w:spacing w:after="0"/>
              <w:rPr>
                <w:sz w:val="20"/>
                <w:szCs w:val="20"/>
                <w:color w:val="auto"/>
              </w:rPr>
            </w:pPr>
            <w:r>
              <w:rPr>
                <w:rFonts w:ascii="Arial" w:cs="Arial" w:eastAsia="Arial" w:hAnsi="Arial"/>
                <w:sz w:val="18"/>
                <w:szCs w:val="18"/>
                <w:color w:val="auto"/>
              </w:rPr>
              <w:t>20 MW</w:t>
            </w:r>
          </w:p>
        </w:tc>
        <w:tc>
          <w:tcPr>
            <w:tcW w:w="2080" w:type="dxa"/>
            <w:vAlign w:val="bottom"/>
          </w:tcPr>
          <w:p>
            <w:pPr>
              <w:ind w:left="1100"/>
              <w:spacing w:after="0" w:line="216" w:lineRule="exact"/>
              <w:rPr>
                <w:sz w:val="20"/>
                <w:szCs w:val="20"/>
                <w:color w:val="auto"/>
              </w:rPr>
            </w:pPr>
            <w:r>
              <w:rPr>
                <w:rFonts w:ascii="Arial" w:cs="Arial" w:eastAsia="Arial" w:hAnsi="Arial"/>
                <w:sz w:val="16"/>
                <w:szCs w:val="16"/>
                <w:color w:val="auto"/>
              </w:rPr>
              <w:t xml:space="preserve">24 MW </w:t>
            </w:r>
            <w:r>
              <w:rPr>
                <w:rFonts w:ascii="Arial" w:cs="Arial" w:eastAsia="Arial" w:hAnsi="Arial"/>
                <w:sz w:val="25"/>
                <w:szCs w:val="25"/>
                <w:color w:val="auto"/>
                <w:vertAlign w:val="superscript"/>
              </w:rPr>
              <w:t>2</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Paraguay</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MW</w:t>
            </w:r>
          </w:p>
        </w:tc>
        <w:tc>
          <w:tcPr>
            <w:tcW w:w="2080" w:type="dxa"/>
            <w:vAlign w:val="bottom"/>
            <w:shd w:val="clear" w:color="auto" w:fill="CCEEFF"/>
          </w:tcPr>
          <w:p>
            <w:pPr>
              <w:ind w:left="1000"/>
              <w:spacing w:after="0" w:line="216" w:lineRule="exact"/>
              <w:rPr>
                <w:sz w:val="20"/>
                <w:szCs w:val="20"/>
                <w:color w:val="auto"/>
              </w:rPr>
            </w:pPr>
            <w:r>
              <w:rPr>
                <w:rFonts w:ascii="Arial" w:cs="Arial" w:eastAsia="Arial" w:hAnsi="Arial"/>
                <w:sz w:val="16"/>
                <w:szCs w:val="16"/>
                <w:color w:val="auto"/>
              </w:rPr>
              <w:t xml:space="preserve">160 MW </w:t>
            </w:r>
            <w:r>
              <w:rPr>
                <w:rFonts w:ascii="Arial" w:cs="Arial" w:eastAsia="Arial" w:hAnsi="Arial"/>
                <w:sz w:val="25"/>
                <w:szCs w:val="25"/>
                <w:color w:val="auto"/>
                <w:vertAlign w:val="superscript"/>
              </w:rPr>
              <w:t>2</w:t>
            </w:r>
          </w:p>
        </w:tc>
      </w:tr>
      <w:tr>
        <w:trPr>
          <w:trHeight w:val="216"/>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Argentina</w:t>
            </w:r>
          </w:p>
        </w:tc>
        <w:tc>
          <w:tcPr>
            <w:tcW w:w="4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MW</w:t>
            </w:r>
          </w:p>
        </w:tc>
        <w:tc>
          <w:tcPr>
            <w:tcW w:w="2080" w:type="dxa"/>
            <w:vAlign w:val="bottom"/>
            <w:tcBorders>
              <w:bottom w:val="single" w:sz="8" w:color="auto"/>
            </w:tcBorders>
          </w:tcPr>
          <w:p>
            <w:pPr>
              <w:ind w:left="1000"/>
              <w:spacing w:after="0" w:line="216" w:lineRule="exact"/>
              <w:rPr>
                <w:sz w:val="20"/>
                <w:szCs w:val="20"/>
                <w:color w:val="auto"/>
              </w:rPr>
            </w:pPr>
            <w:r>
              <w:rPr>
                <w:rFonts w:ascii="Arial" w:cs="Arial" w:eastAsia="Arial" w:hAnsi="Arial"/>
                <w:sz w:val="16"/>
                <w:szCs w:val="16"/>
                <w:color w:val="auto"/>
              </w:rPr>
              <w:t xml:space="preserve">210 MW </w:t>
            </w:r>
            <w:r>
              <w:rPr>
                <w:rFonts w:ascii="Arial" w:cs="Arial" w:eastAsia="Arial" w:hAnsi="Arial"/>
                <w:sz w:val="25"/>
                <w:szCs w:val="25"/>
                <w:color w:val="auto"/>
                <w:vertAlign w:val="superscript"/>
              </w:rPr>
              <w:t>2</w:t>
            </w:r>
          </w:p>
        </w:tc>
      </w:tr>
      <w:tr>
        <w:trPr>
          <w:trHeight w:val="217"/>
        </w:trPr>
        <w:tc>
          <w:tcPr>
            <w:tcW w:w="4280" w:type="dxa"/>
            <w:vAlign w:val="bottom"/>
            <w:tcBorders>
              <w:bottom w:val="single" w:sz="8" w:color="auto"/>
            </w:tcBorders>
            <w:shd w:val="clear" w:color="auto" w:fill="CCEEFF"/>
          </w:tcPr>
          <w:p>
            <w:pPr>
              <w:spacing w:after="0"/>
              <w:rPr>
                <w:sz w:val="18"/>
                <w:szCs w:val="18"/>
                <w:color w:val="auto"/>
              </w:rPr>
            </w:pPr>
          </w:p>
        </w:tc>
        <w:tc>
          <w:tcPr>
            <w:tcW w:w="4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 MW</w:t>
            </w:r>
          </w:p>
        </w:tc>
        <w:tc>
          <w:tcPr>
            <w:tcW w:w="20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574 MW</w:t>
            </w:r>
          </w:p>
        </w:tc>
      </w:tr>
    </w:tbl>
    <w:p>
      <w:pPr>
        <w:spacing w:after="0" w:line="200" w:lineRule="exact"/>
        <w:rPr>
          <w:sz w:val="20"/>
          <w:szCs w:val="20"/>
          <w:color w:val="auto"/>
        </w:rPr>
      </w:pPr>
    </w:p>
    <w:p>
      <w:pPr>
        <w:spacing w:after="0" w:line="227" w:lineRule="exact"/>
        <w:rPr>
          <w:sz w:val="20"/>
          <w:szCs w:val="20"/>
          <w:color w:val="auto"/>
        </w:rPr>
      </w:pPr>
    </w:p>
    <w:p>
      <w:pPr>
        <w:ind w:left="160" w:right="40" w:hanging="113"/>
        <w:spacing w:after="0" w:line="253" w:lineRule="auto"/>
        <w:tabs>
          <w:tab w:leader="none" w:pos="160" w:val="left"/>
        </w:tabs>
        <w:numPr>
          <w:ilvl w:val="0"/>
          <w:numId w:val="26"/>
        </w:numPr>
        <w:rPr>
          <w:rFonts w:ascii="Arial" w:cs="Arial" w:eastAsia="Arial" w:hAnsi="Arial"/>
          <w:sz w:val="12"/>
          <w:szCs w:val="12"/>
          <w:color w:val="auto"/>
        </w:rPr>
      </w:pPr>
      <w:r>
        <w:rPr>
          <w:rFonts w:ascii="Arial" w:cs="Arial" w:eastAsia="Arial" w:hAnsi="Arial"/>
          <w:sz w:val="14"/>
          <w:szCs w:val="14"/>
          <w:color w:val="auto"/>
        </w:rPr>
        <w:t>The Company has secured the rights for a total of 10 MW of hydro-electricity in the province of Quebec. Bitfarms does not currently have an expansion plan for these 10 MW of power, but is continuing its efforts to search for economically viable properties for these 10 MW of hydro-electricity.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6" w:lineRule="exact"/>
        <w:rPr>
          <w:sz w:val="20"/>
          <w:szCs w:val="20"/>
          <w:color w:val="auto"/>
        </w:rPr>
      </w:pPr>
    </w:p>
    <w:p>
      <w:pPr>
        <w:ind w:left="160" w:hanging="113"/>
        <w:spacing w:after="0"/>
        <w:tabs>
          <w:tab w:leader="none" w:pos="160" w:val="left"/>
        </w:tabs>
        <w:numPr>
          <w:ilvl w:val="0"/>
          <w:numId w:val="27"/>
        </w:numPr>
        <w:rPr>
          <w:rFonts w:ascii="Arial" w:cs="Arial" w:eastAsia="Arial" w:hAnsi="Arial"/>
          <w:sz w:val="12"/>
          <w:szCs w:val="12"/>
          <w:color w:val="auto"/>
        </w:rPr>
      </w:pPr>
      <w:r>
        <w:rPr>
          <w:rFonts w:ascii="Arial" w:cs="Arial" w:eastAsia="Arial" w:hAnsi="Arial"/>
          <w:sz w:val="14"/>
          <w:szCs w:val="14"/>
          <w:color w:val="auto"/>
        </w:rPr>
        <w:t xml:space="preserve">Refer to section 6 - </w:t>
      </w:r>
      <w:r>
        <w:rPr>
          <w:rFonts w:ascii="Arial" w:cs="Arial" w:eastAsia="Arial" w:hAnsi="Arial"/>
          <w:sz w:val="14"/>
          <w:szCs w:val="14"/>
          <w:i w:val="1"/>
          <w:iCs w:val="1"/>
          <w:color w:val="auto"/>
        </w:rPr>
        <w:t>Expansion Projects</w:t>
      </w:r>
      <w:r>
        <w:rPr>
          <w:rFonts w:ascii="Arial" w:cs="Arial" w:eastAsia="Arial" w:hAnsi="Arial"/>
          <w:sz w:val="14"/>
          <w:szCs w:val="14"/>
          <w:color w:val="auto"/>
        </w:rPr>
        <w:t xml:space="preserve"> for details on the timing of the remaining MW not yet operational.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4 Page</w:t>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3. FINANCIAL HIGHLIGHTS</w:t>
            </w:r>
          </w:p>
        </w:tc>
        <w:tc>
          <w:tcPr>
            <w:tcW w:w="2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45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Three months ended June 30,</w:t>
            </w:r>
          </w:p>
        </w:tc>
        <w:tc>
          <w:tcPr>
            <w:tcW w:w="26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09"/>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in thousands except where indicated)</w:t>
            </w:r>
          </w:p>
        </w:tc>
        <w:tc>
          <w:tcPr>
            <w:tcW w:w="2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8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35,479</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41,815</w:t>
            </w:r>
          </w:p>
        </w:tc>
        <w:tc>
          <w:tcPr>
            <w:tcW w:w="154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65,529</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82,144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Gross (loss) profit</w:t>
            </w:r>
          </w:p>
        </w:tc>
        <w:tc>
          <w:tcPr>
            <w:tcW w:w="2680" w:type="dxa"/>
            <w:vAlign w:val="bottom"/>
          </w:tcPr>
          <w:p>
            <w:pPr>
              <w:jc w:val="right"/>
              <w:ind w:right="370"/>
              <w:spacing w:after="0"/>
              <w:rPr>
                <w:sz w:val="20"/>
                <w:szCs w:val="20"/>
                <w:color w:val="auto"/>
              </w:rPr>
            </w:pPr>
            <w:r>
              <w:rPr>
                <w:rFonts w:ascii="Arial" w:cs="Arial" w:eastAsia="Arial" w:hAnsi="Arial"/>
                <w:sz w:val="18"/>
                <w:szCs w:val="18"/>
                <w:b w:val="1"/>
                <w:bCs w:val="1"/>
                <w:color w:val="auto"/>
              </w:rPr>
              <w:t>(6,040)</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9,504</w:t>
            </w:r>
          </w:p>
        </w:tc>
        <w:tc>
          <w:tcPr>
            <w:tcW w:w="1540" w:type="dxa"/>
            <w:vAlign w:val="bottom"/>
          </w:tcPr>
          <w:p>
            <w:pPr>
              <w:jc w:val="right"/>
              <w:ind w:right="370"/>
              <w:spacing w:after="0"/>
              <w:rPr>
                <w:sz w:val="20"/>
                <w:szCs w:val="20"/>
                <w:color w:val="auto"/>
              </w:rPr>
            </w:pPr>
            <w:r>
              <w:rPr>
                <w:rFonts w:ascii="Arial" w:cs="Arial" w:eastAsia="Arial" w:hAnsi="Arial"/>
                <w:sz w:val="18"/>
                <w:szCs w:val="18"/>
                <w:b w:val="1"/>
                <w:bCs w:val="1"/>
                <w:color w:val="auto"/>
              </w:rPr>
              <w:t>(14,393)</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26,541</w:t>
            </w:r>
          </w:p>
        </w:tc>
      </w:tr>
      <w:tr>
        <w:trPr>
          <w:trHeight w:val="257"/>
        </w:trPr>
        <w:tc>
          <w:tcPr>
            <w:tcW w:w="45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9"/>
                <w:szCs w:val="29"/>
                <w:color w:val="auto"/>
                <w:vertAlign w:val="superscript"/>
              </w:rPr>
              <w:t>(1)</w:t>
            </w:r>
          </w:p>
        </w:tc>
        <w:tc>
          <w:tcPr>
            <w:tcW w:w="26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(17)%</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Operating loss</w:t>
            </w:r>
          </w:p>
        </w:tc>
        <w:tc>
          <w:tcPr>
            <w:tcW w:w="2680" w:type="dxa"/>
            <w:vAlign w:val="bottom"/>
          </w:tcPr>
          <w:p>
            <w:pPr>
              <w:jc w:val="right"/>
              <w:ind w:right="370"/>
              <w:spacing w:after="0"/>
              <w:rPr>
                <w:sz w:val="20"/>
                <w:szCs w:val="20"/>
                <w:color w:val="auto"/>
              </w:rPr>
            </w:pPr>
            <w:r>
              <w:rPr>
                <w:rFonts w:ascii="Arial" w:cs="Arial" w:eastAsia="Arial" w:hAnsi="Arial"/>
                <w:sz w:val="18"/>
                <w:szCs w:val="18"/>
                <w:b w:val="1"/>
                <w:bCs w:val="1"/>
                <w:color w:val="auto"/>
              </w:rPr>
              <w:t>(25,170)</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(173,091)</w:t>
            </w:r>
          </w:p>
        </w:tc>
        <w:tc>
          <w:tcPr>
            <w:tcW w:w="1540" w:type="dxa"/>
            <w:vAlign w:val="bottom"/>
          </w:tcPr>
          <w:p>
            <w:pPr>
              <w:jc w:val="right"/>
              <w:ind w:right="370"/>
              <w:spacing w:after="0"/>
              <w:rPr>
                <w:sz w:val="20"/>
                <w:szCs w:val="20"/>
                <w:color w:val="auto"/>
              </w:rPr>
            </w:pPr>
            <w:r>
              <w:rPr>
                <w:rFonts w:ascii="Arial" w:cs="Arial" w:eastAsia="Arial" w:hAnsi="Arial"/>
                <w:sz w:val="18"/>
                <w:szCs w:val="18"/>
                <w:b w:val="1"/>
                <w:bCs w:val="1"/>
                <w:color w:val="auto"/>
              </w:rPr>
              <w:t>(40,754)</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(166,217)</w:t>
            </w:r>
          </w:p>
        </w:tc>
      </w:tr>
      <w:tr>
        <w:trPr>
          <w:trHeight w:val="270"/>
        </w:trPr>
        <w:tc>
          <w:tcPr>
            <w:tcW w:w="4580" w:type="dxa"/>
            <w:vAlign w:val="bottom"/>
            <w:tcBorders>
              <w:bottom w:val="single" w:sz="8" w:color="auto"/>
            </w:tcBorders>
            <w:shd w:val="clear" w:color="auto" w:fill="CCEEFF"/>
          </w:tcPr>
          <w:p>
            <w:pPr>
              <w:spacing w:after="0" w:line="270" w:lineRule="exact"/>
              <w:rPr>
                <w:sz w:val="20"/>
                <w:szCs w:val="20"/>
                <w:color w:val="auto"/>
              </w:rPr>
            </w:pPr>
            <w:r>
              <w:rPr>
                <w:rFonts w:ascii="Arial" w:cs="Arial" w:eastAsia="Arial" w:hAnsi="Arial"/>
                <w:sz w:val="18"/>
                <w:szCs w:val="18"/>
                <w:color w:val="auto"/>
              </w:rPr>
              <w:t xml:space="preserve">Operating margin </w:t>
            </w:r>
            <w:r>
              <w:rPr>
                <w:rFonts w:ascii="Arial" w:cs="Arial" w:eastAsia="Arial" w:hAnsi="Arial"/>
                <w:sz w:val="29"/>
                <w:szCs w:val="29"/>
                <w:color w:val="auto"/>
                <w:vertAlign w:val="superscript"/>
              </w:rPr>
              <w:t>(1)</w:t>
            </w:r>
          </w:p>
        </w:tc>
        <w:tc>
          <w:tcPr>
            <w:tcW w:w="2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(71)%</w:t>
            </w: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(414)%</w:t>
            </w:r>
          </w:p>
        </w:tc>
        <w:tc>
          <w:tcPr>
            <w:tcW w:w="15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09"/>
        </w:trPr>
        <w:tc>
          <w:tcPr>
            <w:tcW w:w="4580" w:type="dxa"/>
            <w:vAlign w:val="bottom"/>
          </w:tcPr>
          <w:p>
            <w:pPr>
              <w:spacing w:after="0"/>
              <w:rPr>
                <w:sz w:val="20"/>
                <w:szCs w:val="20"/>
                <w:color w:val="auto"/>
              </w:rPr>
            </w:pPr>
            <w:r>
              <w:rPr>
                <w:rFonts w:ascii="Arial" w:cs="Arial" w:eastAsia="Arial" w:hAnsi="Arial"/>
                <w:sz w:val="18"/>
                <w:szCs w:val="18"/>
                <w:color w:val="auto"/>
              </w:rPr>
              <w:t>Net loss</w:t>
            </w:r>
          </w:p>
        </w:tc>
        <w:tc>
          <w:tcPr>
            <w:tcW w:w="2680" w:type="dxa"/>
            <w:vAlign w:val="bottom"/>
          </w:tcPr>
          <w:p>
            <w:pPr>
              <w:jc w:val="right"/>
              <w:ind w:right="370"/>
              <w:spacing w:after="0"/>
              <w:rPr>
                <w:sz w:val="20"/>
                <w:szCs w:val="20"/>
                <w:color w:val="auto"/>
              </w:rPr>
            </w:pPr>
            <w:r>
              <w:rPr>
                <w:rFonts w:ascii="Arial" w:cs="Arial" w:eastAsia="Arial" w:hAnsi="Arial"/>
                <w:sz w:val="18"/>
                <w:szCs w:val="18"/>
                <w:b w:val="1"/>
                <w:bCs w:val="1"/>
                <w:color w:val="auto"/>
              </w:rPr>
              <w:t>(24,894)</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(141,918)</w:t>
            </w:r>
          </w:p>
        </w:tc>
        <w:tc>
          <w:tcPr>
            <w:tcW w:w="1540" w:type="dxa"/>
            <w:vAlign w:val="bottom"/>
          </w:tcPr>
          <w:p>
            <w:pPr>
              <w:jc w:val="right"/>
              <w:ind w:right="370"/>
              <w:spacing w:after="0"/>
              <w:rPr>
                <w:sz w:val="20"/>
                <w:szCs w:val="20"/>
                <w:color w:val="auto"/>
              </w:rPr>
            </w:pPr>
            <w:r>
              <w:rPr>
                <w:rFonts w:ascii="Arial" w:cs="Arial" w:eastAsia="Arial" w:hAnsi="Arial"/>
                <w:sz w:val="18"/>
                <w:szCs w:val="18"/>
                <w:b w:val="1"/>
                <w:bCs w:val="1"/>
                <w:color w:val="auto"/>
              </w:rPr>
              <w:t>(27,960)</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(137,399)</w:t>
            </w:r>
          </w:p>
        </w:tc>
      </w:tr>
      <w:tr>
        <w:trPr>
          <w:trHeight w:val="216"/>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2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(0.10)</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(0.70)</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(0.12)</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(0.69)</w:t>
            </w:r>
          </w:p>
        </w:tc>
      </w:tr>
      <w:tr>
        <w:trPr>
          <w:trHeight w:val="250"/>
        </w:trPr>
        <w:tc>
          <w:tcPr>
            <w:tcW w:w="4580" w:type="dxa"/>
            <w:vAlign w:val="bottom"/>
          </w:tcPr>
          <w:p>
            <w:pPr>
              <w:spacing w:after="0" w:line="250" w:lineRule="exact"/>
              <w:rPr>
                <w:sz w:val="20"/>
                <w:szCs w:val="20"/>
                <w:color w:val="auto"/>
              </w:rPr>
            </w:pPr>
            <w:r>
              <w:rPr>
                <w:rFonts w:ascii="Arial" w:cs="Arial" w:eastAsia="Arial" w:hAnsi="Arial"/>
                <w:sz w:val="17"/>
                <w:szCs w:val="17"/>
                <w:color w:val="auto"/>
              </w:rPr>
              <w:t xml:space="preserve">Gross Mining profit </w:t>
            </w:r>
            <w:r>
              <w:rPr>
                <w:rFonts w:ascii="Arial" w:cs="Arial" w:eastAsia="Arial" w:hAnsi="Arial"/>
                <w:sz w:val="28"/>
                <w:szCs w:val="28"/>
                <w:color w:val="auto"/>
                <w:vertAlign w:val="superscript"/>
              </w:rPr>
              <w:t>(2)</w:t>
            </w:r>
          </w:p>
        </w:tc>
        <w:tc>
          <w:tcPr>
            <w:tcW w:w="2680" w:type="dxa"/>
            <w:vAlign w:val="bottom"/>
          </w:tcPr>
          <w:p>
            <w:pPr>
              <w:jc w:val="right"/>
              <w:ind w:right="430"/>
              <w:spacing w:after="0"/>
              <w:rPr>
                <w:sz w:val="20"/>
                <w:szCs w:val="20"/>
                <w:color w:val="auto"/>
              </w:rPr>
            </w:pPr>
            <w:r>
              <w:rPr>
                <w:rFonts w:ascii="Arial" w:cs="Arial" w:eastAsia="Arial" w:hAnsi="Arial"/>
                <w:sz w:val="18"/>
                <w:szCs w:val="18"/>
                <w:b w:val="1"/>
                <w:bCs w:val="1"/>
                <w:color w:val="auto"/>
              </w:rPr>
              <w:t>14,329</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27,160</w:t>
            </w:r>
          </w:p>
        </w:tc>
        <w:tc>
          <w:tcPr>
            <w:tcW w:w="1540" w:type="dxa"/>
            <w:vAlign w:val="bottom"/>
          </w:tcPr>
          <w:p>
            <w:pPr>
              <w:jc w:val="right"/>
              <w:ind w:right="430"/>
              <w:spacing w:after="0"/>
              <w:rPr>
                <w:sz w:val="20"/>
                <w:szCs w:val="20"/>
                <w:color w:val="auto"/>
              </w:rPr>
            </w:pPr>
            <w:r>
              <w:rPr>
                <w:rFonts w:ascii="Arial" w:cs="Arial" w:eastAsia="Arial" w:hAnsi="Arial"/>
                <w:sz w:val="18"/>
                <w:szCs w:val="18"/>
                <w:b w:val="1"/>
                <w:bCs w:val="1"/>
                <w:color w:val="auto"/>
              </w:rPr>
              <w:t>26,514</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57,300</w:t>
            </w:r>
          </w:p>
        </w:tc>
      </w:tr>
      <w:tr>
        <w:trPr>
          <w:trHeight w:val="270"/>
        </w:trPr>
        <w:tc>
          <w:tcPr>
            <w:tcW w:w="45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(2)</w:t>
            </w:r>
          </w:p>
        </w:tc>
        <w:tc>
          <w:tcPr>
            <w:tcW w:w="26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42%</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w:t>
            </w: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57"/>
        </w:trPr>
        <w:tc>
          <w:tcPr>
            <w:tcW w:w="4580" w:type="dxa"/>
            <w:vAlign w:val="bottom"/>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(2)</w:t>
            </w:r>
          </w:p>
        </w:tc>
        <w:tc>
          <w:tcPr>
            <w:tcW w:w="2680" w:type="dxa"/>
            <w:vAlign w:val="bottom"/>
          </w:tcPr>
          <w:p>
            <w:pPr>
              <w:jc w:val="right"/>
              <w:ind w:right="430"/>
              <w:spacing w:after="0"/>
              <w:rPr>
                <w:sz w:val="20"/>
                <w:szCs w:val="20"/>
                <w:color w:val="auto"/>
              </w:rPr>
            </w:pPr>
            <w:r>
              <w:rPr>
                <w:rFonts w:ascii="Arial" w:cs="Arial" w:eastAsia="Arial" w:hAnsi="Arial"/>
                <w:sz w:val="18"/>
                <w:szCs w:val="18"/>
                <w:b w:val="1"/>
                <w:bCs w:val="1"/>
                <w:color w:val="auto"/>
              </w:rPr>
              <w:t>7,672</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19,703</w:t>
            </w:r>
          </w:p>
        </w:tc>
        <w:tc>
          <w:tcPr>
            <w:tcW w:w="1540" w:type="dxa"/>
            <w:vAlign w:val="bottom"/>
          </w:tcPr>
          <w:p>
            <w:pPr>
              <w:jc w:val="right"/>
              <w:ind w:right="430"/>
              <w:spacing w:after="0"/>
              <w:rPr>
                <w:sz w:val="20"/>
                <w:szCs w:val="20"/>
                <w:color w:val="auto"/>
              </w:rPr>
            </w:pPr>
            <w:r>
              <w:rPr>
                <w:rFonts w:ascii="Arial" w:cs="Arial" w:eastAsia="Arial" w:hAnsi="Arial"/>
                <w:sz w:val="18"/>
                <w:szCs w:val="18"/>
                <w:b w:val="1"/>
                <w:bCs w:val="1"/>
                <w:color w:val="auto"/>
              </w:rPr>
              <w:t>14,241</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42,001</w:t>
            </w:r>
          </w:p>
        </w:tc>
      </w:tr>
      <w:tr>
        <w:trPr>
          <w:trHeight w:val="277"/>
        </w:trPr>
        <w:tc>
          <w:tcPr>
            <w:tcW w:w="4580" w:type="dxa"/>
            <w:vAlign w:val="bottom"/>
            <w:tcBorders>
              <w:bottom w:val="single" w:sz="8" w:color="auto"/>
            </w:tcBorders>
            <w:shd w:val="clear" w:color="auto" w:fill="CCEEFF"/>
          </w:tcPr>
          <w:p>
            <w:pPr>
              <w:spacing w:after="0" w:line="270"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(2)</w:t>
            </w:r>
          </w:p>
        </w:tc>
        <w:tc>
          <w:tcPr>
            <w:tcW w:w="26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22%</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c>
          <w:tcPr>
            <w:tcW w:w="15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459"/>
        </w:trPr>
        <w:tc>
          <w:tcPr>
            <w:tcW w:w="4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 xml:space="preserve">As of June 30,  </w:t>
            </w:r>
            <w:r>
              <w:rPr>
                <w:rFonts w:ascii="Arial" w:cs="Arial" w:eastAsia="Arial" w:hAnsi="Arial"/>
                <w:sz w:val="18"/>
                <w:szCs w:val="18"/>
                <w:color w:val="auto"/>
              </w:rPr>
              <w:t>As of December 31,</w:t>
            </w:r>
          </w:p>
        </w:tc>
      </w:tr>
      <w:tr>
        <w:trPr>
          <w:trHeight w:val="210"/>
        </w:trPr>
        <w:tc>
          <w:tcPr>
            <w:tcW w:w="45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09"/>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325,637</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343,098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Current financial liabilities</w:t>
            </w:r>
          </w:p>
        </w:tc>
        <w:tc>
          <w:tcPr>
            <w:tcW w:w="2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jc w:val="right"/>
              <w:ind w:right="550"/>
              <w:spacing w:after="0"/>
              <w:rPr>
                <w:sz w:val="20"/>
                <w:szCs w:val="20"/>
                <w:color w:val="auto"/>
              </w:rPr>
            </w:pPr>
            <w:r>
              <w:rPr>
                <w:rFonts w:ascii="Arial" w:cs="Arial" w:eastAsia="Arial" w:hAnsi="Arial"/>
                <w:sz w:val="18"/>
                <w:szCs w:val="18"/>
                <w:b w:val="1"/>
                <w:bCs w:val="1"/>
                <w:color w:val="auto"/>
              </w:rPr>
              <w:t>25,858</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55,951</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Non-current financial liabilities</w:t>
            </w:r>
          </w:p>
        </w:tc>
        <w:tc>
          <w:tcPr>
            <w:tcW w:w="26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73</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4,093</w:t>
            </w:r>
          </w:p>
        </w:tc>
      </w:tr>
      <w:tr>
        <w:trPr>
          <w:trHeight w:val="22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included in financial liabilities</w:t>
            </w:r>
          </w:p>
        </w:tc>
        <w:tc>
          <w:tcPr>
            <w:tcW w:w="2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15,629</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47,147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distributions or cash dividends declared per share for the periods disclosed above.</w:t>
      </w:r>
    </w:p>
    <w:p>
      <w:pPr>
        <w:spacing w:after="0" w:line="200" w:lineRule="exact"/>
        <w:rPr>
          <w:sz w:val="20"/>
          <w:szCs w:val="20"/>
          <w:color w:val="auto"/>
        </w:rPr>
      </w:pPr>
    </w:p>
    <w:p>
      <w:pPr>
        <w:spacing w:after="0" w:line="250" w:lineRule="exact"/>
        <w:rPr>
          <w:sz w:val="20"/>
          <w:szCs w:val="20"/>
          <w:color w:val="auto"/>
        </w:rPr>
      </w:pPr>
    </w:p>
    <w:p>
      <w:pPr>
        <w:ind w:left="160" w:hanging="113"/>
        <w:spacing w:after="0"/>
        <w:tabs>
          <w:tab w:leader="none" w:pos="160" w:val="left"/>
        </w:tabs>
        <w:numPr>
          <w:ilvl w:val="0"/>
          <w:numId w:val="28"/>
        </w:numPr>
        <w:rPr>
          <w:rFonts w:ascii="Arial" w:cs="Arial" w:eastAsia="Arial" w:hAnsi="Arial"/>
          <w:sz w:val="12"/>
          <w:szCs w:val="12"/>
          <w:color w:val="auto"/>
        </w:rPr>
      </w:pPr>
      <w:r>
        <w:rPr>
          <w:rFonts w:ascii="Arial" w:cs="Arial" w:eastAsia="Arial" w:hAnsi="Arial"/>
          <w:sz w:val="14"/>
          <w:szCs w:val="14"/>
          <w:color w:val="auto"/>
        </w:rPr>
        <w:t xml:space="preserve">Gross margin and Operating margin are supplemental financial ratios; refer to section 9 - </w:t>
      </w:r>
      <w:r>
        <w:rPr>
          <w:rFonts w:ascii="Arial" w:cs="Arial" w:eastAsia="Arial" w:hAnsi="Arial"/>
          <w:sz w:val="14"/>
          <w:szCs w:val="14"/>
          <w:i w:val="1"/>
          <w:iCs w:val="1"/>
          <w:color w:val="auto"/>
        </w:rPr>
        <w:t>Non-IFRS and Other Financial Measures and Ratios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p>
      <w:pPr>
        <w:ind w:left="160" w:right="40" w:hanging="113"/>
        <w:spacing w:after="0" w:line="253" w:lineRule="auto"/>
        <w:tabs>
          <w:tab w:leader="none" w:pos="160" w:val="left"/>
        </w:tabs>
        <w:numPr>
          <w:ilvl w:val="0"/>
          <w:numId w:val="29"/>
        </w:numPr>
        <w:rPr>
          <w:rFonts w:ascii="Arial" w:cs="Arial" w:eastAsia="Arial" w:hAnsi="Arial"/>
          <w:sz w:val="12"/>
          <w:szCs w:val="12"/>
          <w:color w:val="auto"/>
        </w:rPr>
      </w:pPr>
      <w:r>
        <w:rPr>
          <w:rFonts w:ascii="Arial" w:cs="Arial" w:eastAsia="Arial" w:hAnsi="Arial"/>
          <w:sz w:val="14"/>
          <w:szCs w:val="14"/>
          <w:color w:val="auto"/>
        </w:rPr>
        <w:t xml:space="preserve">Gross Mining profit, Gross Mining margin, EBITDA, EBITDA margin, Adjusted EBITDA, and Adjusted EBITDA margin are non-IFRS measures or ratios; refer to section 9 - </w:t>
      </w:r>
      <w:r>
        <w:rPr>
          <w:rFonts w:ascii="Arial" w:cs="Arial" w:eastAsia="Arial" w:hAnsi="Arial"/>
          <w:sz w:val="14"/>
          <w:szCs w:val="14"/>
          <w:i w:val="1"/>
          <w:iCs w:val="1"/>
          <w:color w:val="auto"/>
        </w:rPr>
        <w:t>Non-IFRS and</w:t>
      </w:r>
      <w:r>
        <w:rPr>
          <w:rFonts w:ascii="Arial" w:cs="Arial" w:eastAsia="Arial" w:hAnsi="Arial"/>
          <w:sz w:val="14"/>
          <w:szCs w:val="14"/>
          <w:color w:val="auto"/>
        </w:rPr>
        <w:t xml:space="preserve"> </w:t>
      </w:r>
      <w:r>
        <w:rPr>
          <w:rFonts w:ascii="Arial" w:cs="Arial" w:eastAsia="Arial" w:hAnsi="Arial"/>
          <w:sz w:val="14"/>
          <w:szCs w:val="14"/>
          <w:i w:val="1"/>
          <w:iCs w:val="1"/>
          <w:color w:val="auto"/>
        </w:rPr>
        <w:t>Other Financial Measures and Ratios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5 Page</w:t>
      </w:r>
    </w:p>
    <w:p>
      <w:pPr>
        <w:sectPr>
          <w:pgSz w:w="11900" w:h="16838" w:orient="portrait"/>
          <w:cols w:equalWidth="0" w:num="1">
            <w:col w:w="11240"/>
          </w:cols>
          <w:pgMar w:left="320" w:top="90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SECOND QUARTER 2023 FINANCIAL RESULTS AND OPERATIONAL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w:t>
      </w:r>
    </w:p>
    <w:p>
      <w:pPr>
        <w:spacing w:after="0" w:line="23" w:lineRule="exact"/>
        <w:rPr>
          <w:sz w:val="20"/>
          <w:szCs w:val="20"/>
          <w:color w:val="auto"/>
        </w:rPr>
      </w:pPr>
    </w:p>
    <w:p>
      <w:pPr>
        <w:jc w:val="both"/>
        <w:ind w:left="340" w:hanging="332"/>
        <w:spacing w:after="0" w:line="187" w:lineRule="auto"/>
        <w:tabs>
          <w:tab w:leader="none" w:pos="340" w:val="left"/>
        </w:tabs>
        <w:numPr>
          <w:ilvl w:val="0"/>
          <w:numId w:val="30"/>
        </w:numPr>
        <w:rPr>
          <w:rFonts w:ascii="Arial" w:cs="Arial" w:eastAsia="Arial" w:hAnsi="Arial"/>
          <w:sz w:val="36"/>
          <w:szCs w:val="36"/>
          <w:color w:val="auto"/>
          <w:vertAlign w:val="superscript"/>
        </w:rPr>
      </w:pPr>
      <w:r>
        <w:rPr>
          <w:rFonts w:ascii="Arial" w:cs="Arial" w:eastAsia="Arial" w:hAnsi="Arial"/>
          <w:sz w:val="18"/>
          <w:szCs w:val="18"/>
          <w:color w:val="auto"/>
        </w:rPr>
        <w:t>Revenues of $35.5 million, gross loss of $6.0 million (gross margin</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negative 17%) including non-cash depreciation expense of $20.5 million, operating loss of $25.2 million (operating margin</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negative 71%) including impairment on short-term prepaid deposits and property, plant and equipment of $10.0 million and net loss of $24.9 million;</w:t>
      </w:r>
    </w:p>
    <w:p>
      <w:pPr>
        <w:spacing w:after="0" w:line="3" w:lineRule="exact"/>
        <w:rPr>
          <w:rFonts w:ascii="Arial" w:cs="Arial" w:eastAsia="Arial" w:hAnsi="Arial"/>
          <w:sz w:val="36"/>
          <w:szCs w:val="36"/>
          <w:color w:val="auto"/>
          <w:vertAlign w:val="superscript"/>
        </w:rPr>
      </w:pPr>
    </w:p>
    <w:p>
      <w:pPr>
        <w:ind w:left="340" w:hanging="332"/>
        <w:spacing w:after="0" w:line="180" w:lineRule="auto"/>
        <w:tabs>
          <w:tab w:leader="none" w:pos="340" w:val="left"/>
        </w:tabs>
        <w:numPr>
          <w:ilvl w:val="0"/>
          <w:numId w:val="30"/>
        </w:numPr>
        <w:rPr>
          <w:rFonts w:ascii="Arial" w:cs="Arial" w:eastAsia="Arial" w:hAnsi="Arial"/>
          <w:sz w:val="36"/>
          <w:szCs w:val="36"/>
          <w:color w:val="auto"/>
          <w:vertAlign w:val="superscript"/>
        </w:rPr>
      </w:pPr>
      <w:r>
        <w:rPr>
          <w:rFonts w:ascii="Arial" w:cs="Arial" w:eastAsia="Arial" w:hAnsi="Arial"/>
          <w:sz w:val="18"/>
          <w:szCs w:val="18"/>
          <w:color w:val="auto"/>
        </w:rPr>
        <w:t>Gross Mining profit</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of $14.3 million (42% gross Mining margin</w:t>
      </w:r>
      <w:r>
        <w:rPr>
          <w:rFonts w:ascii="Arial" w:cs="Arial" w:eastAsia="Arial" w:hAnsi="Arial"/>
          <w:sz w:val="29"/>
          <w:szCs w:val="29"/>
          <w:color w:val="auto"/>
          <w:vertAlign w:val="superscript"/>
        </w:rPr>
        <w:t>2</w:t>
      </w:r>
      <w:r>
        <w:rPr>
          <w:rFonts w:ascii="Arial" w:cs="Arial" w:eastAsia="Arial" w:hAnsi="Arial"/>
          <w:sz w:val="18"/>
          <w:szCs w:val="18"/>
          <w:color w:val="auto"/>
        </w:rPr>
        <w:t>); and</w:t>
      </w:r>
    </w:p>
    <w:p>
      <w:pPr>
        <w:spacing w:after="0" w:line="1" w:lineRule="exact"/>
        <w:rPr>
          <w:rFonts w:ascii="Arial" w:cs="Arial" w:eastAsia="Arial" w:hAnsi="Arial"/>
          <w:sz w:val="36"/>
          <w:szCs w:val="36"/>
          <w:color w:val="auto"/>
          <w:vertAlign w:val="superscript"/>
        </w:rPr>
      </w:pPr>
    </w:p>
    <w:p>
      <w:pPr>
        <w:ind w:left="340" w:hanging="332"/>
        <w:spacing w:after="0" w:line="192" w:lineRule="auto"/>
        <w:tabs>
          <w:tab w:leader="none" w:pos="340" w:val="left"/>
        </w:tabs>
        <w:numPr>
          <w:ilvl w:val="0"/>
          <w:numId w:val="30"/>
        </w:numPr>
        <w:rPr>
          <w:rFonts w:ascii="Arial" w:cs="Arial" w:eastAsia="Arial" w:hAnsi="Arial"/>
          <w:sz w:val="36"/>
          <w:szCs w:val="36"/>
          <w:color w:val="auto"/>
          <w:vertAlign w:val="superscript"/>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of $7.7 million (22% adjusted EBITDA margin</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ind w:left="340" w:hanging="332"/>
        <w:spacing w:after="0" w:line="180" w:lineRule="auto"/>
        <w:tabs>
          <w:tab w:leader="none" w:pos="340" w:val="left"/>
        </w:tabs>
        <w:numPr>
          <w:ilvl w:val="0"/>
          <w:numId w:val="31"/>
        </w:numPr>
        <w:rPr>
          <w:rFonts w:ascii="Arial" w:cs="Arial" w:eastAsia="Arial" w:hAnsi="Arial"/>
          <w:sz w:val="33"/>
          <w:szCs w:val="33"/>
          <w:color w:val="auto"/>
          <w:vertAlign w:val="superscript"/>
        </w:rPr>
      </w:pPr>
      <w:r>
        <w:rPr>
          <w:rFonts w:ascii="Arial" w:cs="Arial" w:eastAsia="Arial" w:hAnsi="Arial"/>
          <w:sz w:val="17"/>
          <w:szCs w:val="17"/>
          <w:color w:val="auto"/>
        </w:rPr>
        <w:t>Mined 1,223 BTC at an average direct cost of $15,700 per BTC</w:t>
      </w:r>
      <w:r>
        <w:rPr>
          <w:rFonts w:ascii="Arial" w:cs="Arial" w:eastAsia="Arial" w:hAnsi="Arial"/>
          <w:sz w:val="27"/>
          <w:szCs w:val="27"/>
          <w:color w:val="auto"/>
          <w:vertAlign w:val="superscript"/>
        </w:rPr>
        <w:t>3</w:t>
      </w:r>
      <w:r>
        <w:rPr>
          <w:rFonts w:ascii="Arial" w:cs="Arial" w:eastAsia="Arial" w:hAnsi="Arial"/>
          <w:sz w:val="17"/>
          <w:szCs w:val="17"/>
          <w:color w:val="auto"/>
        </w:rPr>
        <w:t xml:space="preserve"> and held 549 BTC valued at approximately $16.7 million as of June 30, 2023;</w:t>
      </w: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hashrate from 4.8 EH/s to 5.3 EH/s through the installation of approximately 5,100 Miners;</w:t>
      </w:r>
    </w:p>
    <w:p>
      <w:pPr>
        <w:spacing w:after="0" w:line="7"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Sold 1,109 BTC at an average price of $27,900 per BTC for total proceeds of $30.9 million, a portion of which was used to repay equipment related indebtedness; and</w:t>
      </w:r>
    </w:p>
    <w:p>
      <w:pPr>
        <w:ind w:left="340" w:hanging="332"/>
        <w:spacing w:after="0" w:line="26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Became a self-importer of Miners in Argentina, reducing the expense and facilitating the importation of Miners, and terminated existing contracts with importation brokers, resulting in an impairment loss of $7.0 million on short-term prepaid deposits.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Expansions</w:t>
      </w:r>
    </w:p>
    <w:p>
      <w:pPr>
        <w:spacing w:after="0" w:line="27" w:lineRule="exact"/>
        <w:rPr>
          <w:sz w:val="20"/>
          <w:szCs w:val="20"/>
          <w:color w:val="auto"/>
        </w:rPr>
      </w:pPr>
    </w:p>
    <w:p>
      <w:pPr>
        <w:ind w:left="340" w:hanging="332"/>
        <w:spacing w:after="0" w:line="290" w:lineRule="auto"/>
        <w:tabs>
          <w:tab w:leader="none" w:pos="340" w:val="left"/>
        </w:tabs>
        <w:numPr>
          <w:ilvl w:val="0"/>
          <w:numId w:val="32"/>
        </w:numPr>
        <w:rPr>
          <w:rFonts w:ascii="Arial" w:cs="Arial" w:eastAsia="Arial" w:hAnsi="Arial"/>
          <w:sz w:val="17"/>
          <w:szCs w:val="17"/>
          <w:i w:val="1"/>
          <w:iCs w:val="1"/>
          <w:color w:val="auto"/>
        </w:rPr>
      </w:pPr>
      <w:r>
        <w:rPr>
          <w:rFonts w:ascii="Arial" w:cs="Arial" w:eastAsia="Arial" w:hAnsi="Arial"/>
          <w:sz w:val="17"/>
          <w:szCs w:val="17"/>
          <w:color w:val="auto"/>
        </w:rPr>
        <w:t>Purchased approximately 12,500 new high efficiency Miners with a blended energy efficiency of 30 W/TH at an average direct cost $13.94/TH, of which approximately 7,800 Miners will be deployed to Argentina and approximately 4,700 Miners will be deployed to Canada.</w:t>
      </w:r>
    </w:p>
    <w:p>
      <w:pPr>
        <w:spacing w:after="0" w:line="16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Imported and installed approximately 5,100 new M30S Whatsminer Miners into Argentina which increased capacity over 100% to 29 MW and added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approximately 510 PH/s to the Rio Cuarto facility, bringing its total hashrate to approximately 700 PH/s.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9" w:lineRule="exact"/>
        <w:rPr>
          <w:sz w:val="20"/>
          <w:szCs w:val="20"/>
          <w:color w:val="auto"/>
        </w:rPr>
      </w:pPr>
    </w:p>
    <w:p>
      <w:pPr>
        <w:ind w:left="340" w:hanging="332"/>
        <w:spacing w:after="0" w:line="26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Entered into agreements to acquire 22 MW of hydro power capacity and to lease a site in Baie-Comeau, Quebec, which subsequently closed on July 5,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7"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Paid down $5.5 million in equipment related indebtedness, reducing the total outstanding balance to $15.5 million as of June 30, 2023;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Held $19.1 million in remaining credits for pre-paid deposits to be applied against future Miner purchase agreements as of June 30, 2023; and</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Raised $21.8 million in net proceeds through the Company’s at-the-market equity offering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0" w:hanging="113"/>
        <w:spacing w:after="0"/>
        <w:tabs>
          <w:tab w:leader="none" w:pos="160" w:val="left"/>
        </w:tabs>
        <w:numPr>
          <w:ilvl w:val="0"/>
          <w:numId w:val="36"/>
        </w:numPr>
        <w:rPr>
          <w:rFonts w:ascii="Arial" w:cs="Arial" w:eastAsia="Arial" w:hAnsi="Arial"/>
          <w:sz w:val="12"/>
          <w:szCs w:val="12"/>
          <w:color w:val="auto"/>
        </w:rPr>
      </w:pPr>
      <w:r>
        <w:rPr>
          <w:rFonts w:ascii="Arial" w:cs="Arial" w:eastAsia="Arial" w:hAnsi="Arial"/>
          <w:sz w:val="14"/>
          <w:szCs w:val="14"/>
          <w:color w:val="auto"/>
        </w:rPr>
        <w:t xml:space="preserve">Gross margin and Operating margin are supplemental financial ratios; refer to section 9 - </w:t>
      </w:r>
      <w:r>
        <w:rPr>
          <w:rFonts w:ascii="Arial" w:cs="Arial" w:eastAsia="Arial" w:hAnsi="Arial"/>
          <w:sz w:val="14"/>
          <w:szCs w:val="14"/>
          <w:i w:val="1"/>
          <w:iCs w:val="1"/>
          <w:color w:val="auto"/>
        </w:rPr>
        <w:t>Non-IFRS and Other Financial Measures and Ratios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p>
      <w:pPr>
        <w:ind w:left="160" w:right="40" w:hanging="113"/>
        <w:spacing w:after="0" w:line="253" w:lineRule="auto"/>
        <w:tabs>
          <w:tab w:leader="none" w:pos="160" w:val="left"/>
        </w:tabs>
        <w:numPr>
          <w:ilvl w:val="0"/>
          <w:numId w:val="37"/>
        </w:numPr>
        <w:rPr>
          <w:rFonts w:ascii="Arial" w:cs="Arial" w:eastAsia="Arial" w:hAnsi="Arial"/>
          <w:sz w:val="12"/>
          <w:szCs w:val="12"/>
          <w:color w:val="auto"/>
        </w:rPr>
      </w:pPr>
      <w:r>
        <w:rPr>
          <w:rFonts w:ascii="Arial" w:cs="Arial" w:eastAsia="Arial" w:hAnsi="Arial"/>
          <w:sz w:val="14"/>
          <w:szCs w:val="14"/>
          <w:color w:val="auto"/>
        </w:rPr>
        <w:t xml:space="preserve">Gross Mining profit, Gross Mining margin, EBITDA, EBITDA margin, Adjusted EBITDA, and Adjusted EBITDA margin are non-IFRS measures or ratios; refer to section 9 - </w:t>
      </w:r>
      <w:r>
        <w:rPr>
          <w:rFonts w:ascii="Arial" w:cs="Arial" w:eastAsia="Arial" w:hAnsi="Arial"/>
          <w:sz w:val="14"/>
          <w:szCs w:val="14"/>
          <w:i w:val="1"/>
          <w:iCs w:val="1"/>
          <w:color w:val="auto"/>
        </w:rPr>
        <w:t>Non-IFRS and</w:t>
      </w:r>
      <w:r>
        <w:rPr>
          <w:rFonts w:ascii="Arial" w:cs="Arial" w:eastAsia="Arial" w:hAnsi="Arial"/>
          <w:sz w:val="14"/>
          <w:szCs w:val="14"/>
          <w:color w:val="auto"/>
        </w:rPr>
        <w:t xml:space="preserve"> </w:t>
      </w:r>
      <w:r>
        <w:rPr>
          <w:rFonts w:ascii="Arial" w:cs="Arial" w:eastAsia="Arial" w:hAnsi="Arial"/>
          <w:sz w:val="14"/>
          <w:szCs w:val="14"/>
          <w:i w:val="1"/>
          <w:iCs w:val="1"/>
          <w:color w:val="auto"/>
        </w:rPr>
        <w:t>Other Financial Measures and Ratios</w:t>
      </w:r>
      <w:r>
        <w:rPr>
          <w:rFonts w:ascii="Arial" w:cs="Arial" w:eastAsia="Arial" w:hAnsi="Arial"/>
          <w:sz w:val="14"/>
          <w:szCs w:val="14"/>
          <w:color w:val="auto"/>
        </w:rPr>
        <w:t>.</w:t>
      </w:r>
    </w:p>
    <w:p>
      <w:pPr>
        <w:spacing w:after="0" w:line="106" w:lineRule="exact"/>
        <w:rPr>
          <w:sz w:val="20"/>
          <w:szCs w:val="20"/>
          <w:color w:val="auto"/>
        </w:rPr>
      </w:pPr>
    </w:p>
    <w:p>
      <w:pPr>
        <w:ind w:left="160" w:hanging="113"/>
        <w:spacing w:after="0"/>
        <w:tabs>
          <w:tab w:leader="none" w:pos="160" w:val="left"/>
        </w:tabs>
        <w:numPr>
          <w:ilvl w:val="0"/>
          <w:numId w:val="38"/>
        </w:numPr>
        <w:rPr>
          <w:rFonts w:ascii="Arial" w:cs="Arial" w:eastAsia="Arial" w:hAnsi="Arial"/>
          <w:sz w:val="12"/>
          <w:szCs w:val="12"/>
          <w:color w:val="auto"/>
        </w:rPr>
      </w:pPr>
      <w:r>
        <w:rPr>
          <w:rFonts w:ascii="Arial" w:cs="Arial" w:eastAsia="Arial" w:hAnsi="Arial"/>
          <w:sz w:val="14"/>
          <w:szCs w:val="14"/>
          <w:color w:val="auto"/>
        </w:rPr>
        <w:t>Represents the direct cost of BTC based on the total electricity costs divided by the total number of BTC 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6 Page</w:t>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right="7420" w:firstLine="8"/>
        <w:spacing w:after="0" w:line="500" w:lineRule="auto"/>
        <w:tabs>
          <w:tab w:leader="none" w:pos="1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PRODUCTION AND MINING OPERATIONS Key Performance Indicators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13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020" w:type="dxa"/>
            <w:vAlign w:val="bottom"/>
            <w:tcBorders>
              <w:bottom w:val="single" w:sz="8" w:color="auto"/>
            </w:tcBorders>
          </w:tcPr>
          <w:p>
            <w:pPr>
              <w:spacing w:after="0"/>
              <w:rPr>
                <w:sz w:val="20"/>
                <w:szCs w:val="20"/>
                <w:color w:val="auto"/>
              </w:rPr>
            </w:pPr>
          </w:p>
        </w:tc>
      </w:tr>
      <w:tr>
        <w:trPr>
          <w:trHeight w:val="209"/>
        </w:trPr>
        <w:tc>
          <w:tcPr>
            <w:tcW w:w="3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7"/>
              </w:rPr>
              <w:t>% Change</w:t>
            </w: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 Change</w:t>
            </w: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BTC mined</w:t>
            </w: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1,223</w:t>
            </w:r>
          </w:p>
        </w:tc>
        <w:tc>
          <w:tcPr>
            <w:tcW w:w="14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1,257</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2,520</w:t>
            </w:r>
          </w:p>
        </w:tc>
        <w:tc>
          <w:tcPr>
            <w:tcW w:w="1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2,218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Average Watts/Average TH efficiency*</w:t>
            </w: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37</w:t>
            </w:r>
          </w:p>
        </w:tc>
        <w:tc>
          <w:tcPr>
            <w:tcW w:w="1440" w:type="dxa"/>
            <w:vAlign w:val="bottom"/>
          </w:tcPr>
          <w:p>
            <w:pPr>
              <w:jc w:val="right"/>
              <w:ind w:right="490"/>
              <w:spacing w:after="0"/>
              <w:rPr>
                <w:sz w:val="20"/>
                <w:szCs w:val="20"/>
                <w:color w:val="auto"/>
              </w:rPr>
            </w:pPr>
            <w:r>
              <w:rPr>
                <w:rFonts w:ascii="Arial" w:cs="Arial" w:eastAsia="Arial" w:hAnsi="Arial"/>
                <w:sz w:val="18"/>
                <w:szCs w:val="18"/>
                <w:color w:val="auto"/>
              </w:rPr>
              <w:t>39</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37</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40</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BTC sold</w:t>
            </w:r>
          </w:p>
        </w:tc>
        <w:tc>
          <w:tcPr>
            <w:tcW w:w="14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1,109</w:t>
            </w:r>
          </w:p>
        </w:tc>
        <w:tc>
          <w:tcPr>
            <w:tcW w:w="14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3,357</w:t>
            </w:r>
          </w:p>
        </w:tc>
        <w:tc>
          <w:tcPr>
            <w:tcW w:w="13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i w:val="1"/>
                <w:iCs w:val="1"/>
                <w:color w:val="auto"/>
              </w:rPr>
              <w:t>(67)%</w:t>
            </w: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2,376</w:t>
            </w:r>
          </w:p>
        </w:tc>
        <w:tc>
          <w:tcPr>
            <w:tcW w:w="13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3,375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w:t>
            </w:r>
          </w:p>
        </w:tc>
      </w:tr>
      <w:tr>
        <w:trPr>
          <w:trHeight w:val="230"/>
        </w:trPr>
        <w:tc>
          <w:tcPr>
            <w:tcW w:w="3360" w:type="dxa"/>
            <w:vAlign w:val="bottom"/>
          </w:tcPr>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tc>
        <w:tc>
          <w:tcPr>
            <w:tcW w:w="1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Average Watts represents the energy consumption of Miners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2023 v</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Q2 2022</w:t>
      </w:r>
    </w:p>
    <w:p>
      <w:pPr>
        <w:spacing w:after="0" w:line="27" w:lineRule="exact"/>
        <w:rPr>
          <w:sz w:val="20"/>
          <w:szCs w:val="20"/>
          <w:color w:val="auto"/>
        </w:rPr>
      </w:pPr>
    </w:p>
    <w:p>
      <w:pPr>
        <w:ind w:left="660" w:hanging="328"/>
        <w:spacing w:after="0" w:line="265"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1,223 BTC mined in Q2 2023, compared to 1,257 BTC mined in Q2 2022, representing a decrease of 3% as a result of a 67% increase in network difficulty, partially offset by an increase in hashrate from the Company’s expansions and the upgrade of its Miner fleet;</w:t>
      </w:r>
    </w:p>
    <w:p>
      <w:pPr>
        <w:ind w:left="66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37 Watts/TH efficiency in Q2 2023, compared to 39 Watts/TH efficiency in Q2 2022, representing an improvement of 5% due to the Company upgrading its fleet with more efficient Miners; and</w:t>
      </w:r>
    </w:p>
    <w:p>
      <w:pPr>
        <w:jc w:val="both"/>
        <w:ind w:left="660" w:hanging="328"/>
        <w:spacing w:after="0" w:line="25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1,109 BTC sold in Q2 2023, compared to 3,357 BTC in Q2 2022. In Q2 2023, the proceeds were used in part to fund operations and repay equipment financing indebtedness, whereas in Q2 2022, the proceeds were mainly used to repay part of the BTC backed credit facility for $61.8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YTD Q2 2023 v. YTD Q2 2022</w:t>
      </w:r>
    </w:p>
    <w:p>
      <w:pPr>
        <w:spacing w:after="0" w:line="23" w:lineRule="exact"/>
        <w:rPr>
          <w:sz w:val="20"/>
          <w:szCs w:val="20"/>
          <w:color w:val="auto"/>
        </w:rPr>
      </w:pPr>
    </w:p>
    <w:p>
      <w:pPr>
        <w:jc w:val="both"/>
        <w:ind w:left="66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2,520 BTC mined during YTD Q2 2023, compared to 2,218 BTC mined during YTD Q2 2022, an increase of 14% as a result of the Company’s expansions in Sherbrooke (Quebec) and Argentina, and the upgrade of its Miner fleet, partially offset by a 59% increase in average network difficulty;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37 Watts/TH efficiency during YTD Q2 2023, compared to 40 Watts/TH efficiency during YTD Q2 2022, an improvement of 8% due to the Company upgrading its fleet with more efficient Miners; and</w:t>
      </w:r>
    </w:p>
    <w:p>
      <w:pPr>
        <w:ind w:left="660" w:hanging="328"/>
        <w:spacing w:after="0" w:line="26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2,376 BTC sold in YTD Q2 2023, compared to 3,375 BTC in YTD Q2 2022. The proceeds were used for the same reasons explained in the Q2 2023 v. Q2 2022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7 Page</w:t>
      </w:r>
    </w:p>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PRODUCTION AND MINING OPERATIONS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Key Performance Indicators </w:t>
      </w:r>
      <w:r>
        <w:rPr>
          <w:rFonts w:ascii="Arial" w:cs="Arial" w:eastAsia="Arial" w:hAnsi="Arial"/>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1"/>
              </w:rPr>
              <w:t>As of June 30,</w:t>
            </w:r>
          </w:p>
        </w:tc>
        <w:tc>
          <w:tcPr>
            <w:tcW w:w="1200" w:type="dxa"/>
            <w:vAlign w:val="bottom"/>
            <w:tcBorders>
              <w:bottom w:val="single" w:sz="8" w:color="auto"/>
            </w:tcBorders>
          </w:tcPr>
          <w:p>
            <w:pPr>
              <w:spacing w:after="0"/>
              <w:rPr>
                <w:sz w:val="20"/>
                <w:szCs w:val="20"/>
                <w:color w:val="auto"/>
              </w:rPr>
            </w:pPr>
          </w:p>
        </w:tc>
      </w:tr>
      <w:tr>
        <w:trPr>
          <w:trHeight w:val="209"/>
        </w:trPr>
        <w:tc>
          <w:tcPr>
            <w:tcW w:w="60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Period-end operating EH/s</w:t>
            </w:r>
          </w:p>
        </w:tc>
        <w:tc>
          <w:tcPr>
            <w:tcW w:w="24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5.3</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Period-end operating capacity (MW)</w:t>
            </w:r>
          </w:p>
        </w:tc>
        <w:tc>
          <w:tcPr>
            <w:tcW w:w="2480" w:type="dxa"/>
            <w:vAlign w:val="bottom"/>
          </w:tcPr>
          <w:p>
            <w:pPr>
              <w:jc w:val="right"/>
              <w:ind w:right="150"/>
              <w:spacing w:after="0"/>
              <w:rPr>
                <w:sz w:val="20"/>
                <w:szCs w:val="20"/>
                <w:color w:val="auto"/>
              </w:rPr>
            </w:pPr>
            <w:r>
              <w:rPr>
                <w:rFonts w:ascii="Arial" w:cs="Arial" w:eastAsia="Arial" w:hAnsi="Arial"/>
                <w:sz w:val="18"/>
                <w:szCs w:val="18"/>
                <w:b w:val="1"/>
                <w:bCs w:val="1"/>
                <w:color w:val="auto"/>
              </w:rPr>
              <w:t>207</w:t>
            </w:r>
          </w:p>
        </w:tc>
        <w:tc>
          <w:tcPr>
            <w:tcW w:w="1540" w:type="dxa"/>
            <w:vAlign w:val="bottom"/>
          </w:tcPr>
          <w:p>
            <w:pPr>
              <w:jc w:val="right"/>
              <w:ind w:right="290"/>
              <w:spacing w:after="0"/>
              <w:rPr>
                <w:sz w:val="20"/>
                <w:szCs w:val="20"/>
                <w:color w:val="auto"/>
              </w:rPr>
            </w:pPr>
            <w:r>
              <w:rPr>
                <w:rFonts w:ascii="Arial" w:cs="Arial" w:eastAsia="Arial" w:hAnsi="Arial"/>
                <w:sz w:val="18"/>
                <w:szCs w:val="18"/>
                <w:color w:val="auto"/>
              </w:rPr>
              <w:t>160</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Hydro power (MW)</w:t>
            </w:r>
          </w:p>
        </w:tc>
        <w:tc>
          <w:tcPr>
            <w:tcW w:w="24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178</w:t>
            </w: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Hydro power proportion of period-end operating capacity</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of June 30, 2023 v. as of June 30, 2022</w:t>
      </w:r>
    </w:p>
    <w:p>
      <w:pPr>
        <w:spacing w:after="0" w:line="23" w:lineRule="exact"/>
        <w:rPr>
          <w:sz w:val="20"/>
          <w:szCs w:val="20"/>
          <w:color w:val="auto"/>
        </w:rPr>
      </w:pPr>
    </w:p>
    <w:p>
      <w:pPr>
        <w:ind w:left="66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5.3 EH/s online as of June 30, 2023, compared to 3.6 EH/s online as of June 30, 2022, an increase of 47%, as a result of the Company’s expansions in Sherbrooke (Quebec) and Argentina and the upgrade of its Miner fleet;</w:t>
      </w:r>
    </w:p>
    <w:p>
      <w:pPr>
        <w:jc w:val="both"/>
        <w:ind w:left="66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207 MW operating capacity as of June 30, 2023, compared to 160 MW operating capacity as of June 30, 2022, an increase of 29%, as a result of expansions in Sherbrooke mainly related to phases two and three of the Bunker that were completed in July 2022 and November 2022, respectively, (resulting in an additional 18 MW) and the installation of 5,100 Miners in Rio Cuarto, Argentina in Q2 2023 (resulting in an aggregate 29 MW);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178 MW hydro power as of June 30, 2023, compared to 160 MW hydro power as of June 30, 2022, an increase of 11% as a result of the Company’s expansions in Sherbrooke mainly related to phases two and three of the Bunker, and representing 86% of the Company’s total operating energy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8 Page</w:t>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EXPANSION PROJECTS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described its expansion plans below under the sections entitled “Argentina Expansion”, “Paraguay Expansion”, “Washington Expansion” and “Baie-Comeau Expansion”. These expansion projects only include updates for 2023. For background or historical information on these expansions, refer to the Company’s MD&amp;A for the year ended December 31, 2022 dated March 20, 2023. The Company’s 2023 ending hashrate target based on current infrastructure construction and Miner delivery schedules has been increased to 6.3 EH/s, following the closing of the acquisition in Baie-Comeau on July 5, 2023. The Company’s 2023 ending hashrate target has been accelerated from December 31, 2023 to September 30, 2023. In addition, the Company’s ending hashrate target for March 31, 2024, including the current deployment in Paraguay, is set as 7.0 EH/s. As of June 30, 2023, the Company achieved 5.3 EH/s. The Company continues to evaluate opportunities that will expand its infrastructure and Mining hardware to increase the Company’s hashrate, provided such opportunities are accretive based on current macro factors and specific performance.</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estimated costs and timelines to achieve these expansion plans may change based on, among other factors, the prevailing price of BTC, network difficulty, supply and cost of cryptocurrency Mining equipment, the ability to import equipment into countries in a cost-effective manner, the supply of electrical and other supporting infrastructure equipment, the availability of construction materials, currency exchange rates, the impact of geopolitical events or global health related issues such as pandemics on the supply chains described above, and the Company’s ability to fund its initiatives. The Company’s expansion plans rely on a consistent supply of electricity at cost-effective rates; refer to Section 18 -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w:t>
      </w:r>
      <w:r>
        <w:rPr>
          <w:rFonts w:ascii="Arial" w:cs="Arial" w:eastAsia="Arial" w:hAnsi="Arial"/>
          <w:sz w:val="18"/>
          <w:szCs w:val="18"/>
          <w:i w:val="1"/>
          <w:iCs w:val="1"/>
          <w:color w:val="auto"/>
        </w:rPr>
        <w:t>Economic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Dependence on Regulated Terms of Service and Electricity Rates Risks) </w:t>
      </w:r>
      <w:r>
        <w:rPr>
          <w:rFonts w:ascii="Arial" w:cs="Arial" w:eastAsia="Arial" w:hAnsi="Arial"/>
          <w:sz w:val="18"/>
          <w:szCs w:val="18"/>
          <w:color w:val="auto"/>
        </w:rPr>
        <w:t>of the Company’s MD&amp;A for the year ended December 31, 2022 dated March 20,</w:t>
      </w:r>
      <w:r>
        <w:rPr>
          <w:rFonts w:ascii="Arial" w:cs="Arial" w:eastAsia="Arial" w:hAnsi="Arial"/>
          <w:sz w:val="18"/>
          <w:szCs w:val="18"/>
          <w:i w:val="1"/>
          <w:iCs w:val="1"/>
          <w:color w:val="auto"/>
        </w:rPr>
        <w:t xml:space="preserve"> </w:t>
      </w:r>
      <w:r>
        <w:rPr>
          <w:rFonts w:ascii="Arial" w:cs="Arial" w:eastAsia="Arial" w:hAnsi="Arial"/>
          <w:sz w:val="18"/>
          <w:szCs w:val="18"/>
          <w:color w:val="auto"/>
        </w:rPr>
        <w:t>2023 for further details.</w:t>
      </w:r>
    </w:p>
    <w:p>
      <w:pPr>
        <w:spacing w:after="0" w:line="191"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Argentina Expansion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update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February 2023, Management elected to postpone the development of a second warehouse until (i) the power permit is obtained by the private Argentinian power producer, (ii) the importation limitations are resolved and (iii) natural gas prices stabilize at an acceptable level.</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2023, the Company confirmed the receipt of the necessary power permits by the private Argentinian power producer to expand production at its Argentina facility. The Company completed testing of its Rio Cuarto substation which is now online.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2023, the Company began to draw power from the private power producer and installed 2,100 new Miners that were delivered in March and April 2023. Energizing these miners and ending underclocking of previously installed miners in line with improved economics increased the active capacity to 18 MW and the Company’s operational hashrate to over 5.0 EH/s.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receipt of the power permit by the private Argentinian power producer enabled the Company to commence purchasing low-cost power under its purchase agreement, currently expected to be approximately $0.03 per kWh, on an annualized basis, or less as the Company reaches full capacity at the first facility. The Company expects the cost of BTC mined at this farm to decrease substantially as it actively scales up operations at the first warehouse.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2023, in anticipation of the power permit approval, the Company, using credits and cash, purchased over 6,200 new Bitmain and MicroBT Miners to fill out an additional 22 MW in the first facility. These new Miners, when fully installed as expected in the third quarter of 2023, are projected to improve the overall w/TH efficiency and generate a total 1.3 EH/s at the Argentina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540"/>
        <w:spacing w:after="0"/>
        <w:rPr>
          <w:sz w:val="20"/>
          <w:szCs w:val="20"/>
          <w:color w:val="auto"/>
        </w:rPr>
      </w:pPr>
      <w:r>
        <w:rPr>
          <w:rFonts w:ascii="Arial" w:cs="Arial" w:eastAsia="Arial" w:hAnsi="Arial"/>
          <w:sz w:val="18"/>
          <w:szCs w:val="18"/>
          <w:color w:val="auto"/>
        </w:rPr>
        <w:t>9 Page</w:t>
      </w:r>
    </w:p>
    <w:p>
      <w:pPr>
        <w:sectPr>
          <w:pgSz w:w="11900" w:h="16838" w:orient="portrait"/>
          <w:cols w:equalWidth="0" w:num="1">
            <w:col w:w="11240"/>
          </w:cols>
          <w:pgMar w:left="320" w:top="90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EXPANSION PROJECTS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Argentina Expansion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2023 update </w:t>
      </w:r>
      <w:r>
        <w:rPr>
          <w:rFonts w:ascii="Arial" w:cs="Arial" w:eastAsia="Arial" w:hAnsi="Arial"/>
          <w:sz w:val="18"/>
          <w:szCs w:val="18"/>
          <w:color w:val="auto"/>
        </w:rPr>
        <w:t>(Continued)</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June 2023, 1,650 new high efficiency BTC Miners were purchased for Argentina at an average direct cost of $12.98/TH, in addition to the 6,200 Miners purchased in April 2023.</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June 2023, 2,900 MicroBT Miners were installed and energized, contributing to additional 290 PH/s and driving the Company’s operational hashrate to 5.3 EH/s. With these new installations, the operating capacity increased to 29 MW at Rio Cuarto and to 207 MW company-wide. An additional 4,950 miners are en route to Rio Cuarto and will improve production and energy efficiency at this facility when installed in the third quarter of 2023.</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currently has a fully built 50 MW farm which is now permitted to draw power under this agreement. The Company retains the option, subject to additional government approvals which are not currently obtained, to build out other facilities to the full contracted amount of 210 MW. Due to changing economic and financial conditions in Argentina, the Company is not yet in a position to determine when or if construction of additional infrastructure will resume or commence.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as of June 30, 2023</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2023, the Company had placed deposits of $6.7 million and $12.1 million with suppliers for existing and additional construction costs and for Blockchain Verification and Validation Equipment and electrical components, respectively. The Company has also acquired $58.1 million of property, plant and equipment, incurred $0.3 million of expenditures relating to design and feasibility studies and recorded cumulative gains on the disposition of marketable securities of $64.9 million associated with the mechanism to convert funds into Argentine Pesos for disbursements.</w:t>
      </w:r>
    </w:p>
    <w:p>
      <w:pPr>
        <w:spacing w:after="0" w:line="172"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Paraguay Expansion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law on crypto-assets activities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July 18, 2022, the Paraguayan Congress approved a bill regulating the Mining, trading, intermediation, exchange, transfer, custody and administration of crypto-assets and instruments. The proposed legislation by the Paraguayan Congress aimed to create an attractive regulatory environment within the country through the establishment of a straightforward licensing regime with clear requirements for operating crypto-assets activities in the country. On August 30, 2022, the proposed law was vetoed by the Paraguayan president and returned to the Paraguayan Congress to be modified and potentially resubmitted. National elections took place on April 30, 2023. The country’s new president is expected to be inaugurated on August 15, 2023.</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unknown if and when a new law will be approved. The absence of specific law in Paraguay regarding crypto assets has not materially impacted the Company’s current operations in the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3"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10 Page</w:t>
      </w:r>
    </w:p>
    <w:p>
      <w:pPr>
        <w:sectPr>
          <w:pgSz w:w="11900" w:h="16838" w:orient="portrait"/>
          <w:cols w:equalWidth="0" w:num="1">
            <w:col w:w="11240"/>
          </w:cols>
          <w:pgMar w:left="320" w:top="90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EXPANSION PROJECTS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Paraguay Expansion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update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2023, all of the older generation Miners at the Villarrica facility were replaced with approximately 2,900 new M30S Whatsminer Miners generating approximately 290 PH/s, a 165 PH/s increase, or 132%, compared to the hashrate that was being produced by the older generation Miners. During the three months ended March 31, 2023, the Company reached an agreement and sold the older generation Miners to a third party for approximately $0.2 million.</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2023, the Company acquired two power purchase agreements in Paraguay for up to 150 MW of eco-friendly hydro power: up to 50 MW in Villarrica, in close proximity to the Company’s existing operations in Paraguay, and up to 100 MW in Yguazu, a new location close to the Itaipu dam, the third largest hydro-electric dam in the world.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Villarrica, construction is scheduled to commence in the third quarter of 2023 beginning with a sub-station followed by building-out a second mining facility consisting of a 30 MW air-cooled warehouse and 20 MW of containers, expected to be achieved during the first quarter of 2024. In August 2023, the Company placed orders using vendor credits for eight 2.4 MW hydro containers and approximately 1,900 Miners capable of producing approximately 675 PH/s once installed. The new facility will be referred to as the Paso Pe farm.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At Yguazu, the Company has the opportunity to develop a new farm with up to 100 MW of mining capacity, the timeline for which is being determined.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Hydro power at both locations will be provided at a contracted cost of approximately $0.039 per kWh and is not subject to annual inflationary adjustments.</w:t>
      </w:r>
    </w:p>
    <w:p>
      <w:pPr>
        <w:spacing w:after="0" w:line="230"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Washington Expansion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update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2023, the Company received approval from the power supplier for an additional 6 MW that is estimated to be energized in the fourth quarter of 2023. The Company began constructing another facility on Company-owned land in June 2023 with an estimated cost of $2.1 million, including $0.9 million paid in Q2 2023 to the power supplier for establishing the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460"/>
        <w:spacing w:after="0"/>
        <w:rPr>
          <w:sz w:val="20"/>
          <w:szCs w:val="20"/>
          <w:color w:val="auto"/>
        </w:rPr>
      </w:pPr>
      <w:r>
        <w:rPr>
          <w:rFonts w:ascii="Arial" w:cs="Arial" w:eastAsia="Arial" w:hAnsi="Arial"/>
          <w:sz w:val="18"/>
          <w:szCs w:val="18"/>
          <w:color w:val="auto"/>
        </w:rPr>
        <w:t>11 Page</w:t>
      </w:r>
    </w:p>
    <w:p>
      <w:pPr>
        <w:sectPr>
          <w:pgSz w:w="11900" w:h="16838" w:orient="portrait"/>
          <w:cols w:equalWidth="0" w:num="1">
            <w:col w:w="11240"/>
          </w:cols>
          <w:pgMar w:left="320" w:top="90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EXPANSION PROJECTS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Baie-Comeau (Canada) Expansion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2023, the Company entered into agreements to acquire shares of a Company that owns the right to consume 22 MW of hydro power capacity in Baie-Comeau, Quebec, and to lease a site to install the infrastructure to operate the acquired capacity. The 22 MW facility could add over 600 PH/s when in full production. The Baie-Comeau area is home to five hydro-electricity generation facilities with over 5.4 gigawatts of nameplate capacity. Adding reliable hydro power in Quebec is part of the Company’s strategy to cost-effectively expand its operating footprint.</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2023, the Company completed the acquisition. The consideration transferred at closing totaled $1.9 million (CAD$2.5 million), of which $0.8 million (CAD$1.0 million) was paid in cash and $1.1 million (CAD$1.5 million) was paid through the issuance of 821,000 common shares of the Company. The lease agreement is for an industrialized site in Baie-Comeau for an initial term of 10 years and provides the Company with the option to purchase the site for $2.2 million (CAD $3.0 million) with an annual adjustment of the lesser of (i) the Consumer Price Index and (ii) 3% throughout the lease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plan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Following the closing of the acquisition, the Company immediately commenced production at Baie-Comeau with an initial 3 MW online. In connection with the acquisition, the Company increased its total hashrate target to 6.3 EH/s to be achieved by the end of Q3 2023.</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plans to minimize development and build-out expenditures by relocating miners from other facilities and by applying infrastructure equipment repurposed from the December 2022 sale of the former De La Pointe facility. The Company could bring 11 MW online by the third quarter of 2023 and commission the remaining 11 MW during the second half of 2024, after local grid infrastructure improvements have been completed. The cost of electrical infrastructure and leasehold improvements for the first 11 MW of the facility are currently estimated to be approximately $2.6 million. Assuming the Company continues to lease the property and decides to build the extension for the second 11 MW, it will cost approximately $1.8 million for the leasehold improvements, which will largely involve the construction of a new building and $2.3 million for the electrical infrastructure.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 Company has $2.1 million of property, plant and equipment relating to the Baie-Comeau facility, including infrastructure equipment that was repurposed from other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3"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12 Page</w:t>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right="7680" w:firstLine="8"/>
        <w:spacing w:after="0" w:line="563" w:lineRule="auto"/>
        <w:tabs>
          <w:tab w:leader="none" w:pos="18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PERFORMANCE Consolidated Financial &amp; Operational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Three months ended June 30,</w:t>
            </w: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in thousands except where indicated)</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 Change</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0"/>
              </w:rPr>
              <w:t>% Change</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 Change</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5"/>
              </w:rPr>
              <w:t>% Change</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35,479</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41,815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65,529</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82,144</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revenues</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41,519</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32,311</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9,208</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79,922</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55,603</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24,319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(loss) profit</w:t>
            </w: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(6,040)</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9,504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8"/>
              </w:rPr>
              <w:t>(14,393)</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26,541</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(40,934)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57"/>
        </w:trPr>
        <w:tc>
          <w:tcPr>
            <w:tcW w:w="3620" w:type="dxa"/>
            <w:vAlign w:val="bottom"/>
            <w:tcBorders>
              <w:bottom w:val="single" w:sz="8" w:color="auto"/>
            </w:tcBorders>
          </w:tcPr>
          <w:p>
            <w:pPr>
              <w:spacing w:after="0" w:line="256"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9"/>
                <w:szCs w:val="29"/>
                <w:color w:val="auto"/>
                <w:vertAlign w:val="superscript"/>
              </w:rPr>
              <w:t>(1)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9,155</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15,392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17,515</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29,235</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620" w:type="dxa"/>
            <w:vAlign w:val="bottom"/>
          </w:tcPr>
          <w:p>
            <w:pPr>
              <w:ind w:left="180"/>
              <w:spacing w:after="0"/>
              <w:rPr>
                <w:sz w:val="20"/>
                <w:szCs w:val="20"/>
                <w:color w:val="auto"/>
              </w:rPr>
            </w:pPr>
            <w:r>
              <w:rPr>
                <w:rFonts w:ascii="Arial" w:cs="Arial" w:eastAsia="Arial" w:hAnsi="Arial"/>
                <w:sz w:val="18"/>
                <w:szCs w:val="18"/>
                <w:color w:val="auto"/>
                <w:w w:val="97"/>
              </w:rPr>
              <w:t>Realized loss on disposition of digital assets</w:t>
            </w: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77,880</w:t>
            </w:r>
          </w:p>
        </w:tc>
        <w:tc>
          <w:tcPr>
            <w:tcW w:w="840" w:type="dxa"/>
            <w:vAlign w:val="bottom"/>
          </w:tcPr>
          <w:p>
            <w:pPr>
              <w:jc w:val="right"/>
              <w:spacing w:after="0"/>
              <w:rPr>
                <w:sz w:val="20"/>
                <w:szCs w:val="20"/>
                <w:color w:val="auto"/>
              </w:rPr>
            </w:pPr>
            <w:r>
              <w:rPr>
                <w:rFonts w:ascii="Arial" w:cs="Arial" w:eastAsia="Arial" w:hAnsi="Arial"/>
                <w:sz w:val="18"/>
                <w:szCs w:val="18"/>
                <w:color w:val="auto"/>
              </w:rPr>
              <w:t>(77,880)</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77,914</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(77,914)</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(Reversal of) revaluation loss on digital assets</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70,475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(2,695)</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66,773</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(69,468)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3620" w:type="dxa"/>
            <w:vAlign w:val="bottom"/>
          </w:tcPr>
          <w:p>
            <w:pPr>
              <w:ind w:left="180"/>
              <w:spacing w:after="0" w:line="201" w:lineRule="exact"/>
              <w:rPr>
                <w:sz w:val="20"/>
                <w:szCs w:val="20"/>
                <w:color w:val="auto"/>
              </w:rPr>
            </w:pPr>
            <w:r>
              <w:rPr>
                <w:rFonts w:ascii="Arial" w:cs="Arial" w:eastAsia="Arial" w:hAnsi="Arial"/>
                <w:sz w:val="18"/>
                <w:szCs w:val="18"/>
                <w:color w:val="auto"/>
                <w:w w:val="99"/>
              </w:rPr>
              <w:t>(Gain) loss on disposition of property, plant</w:t>
            </w:r>
          </w:p>
        </w:tc>
        <w:tc>
          <w:tcPr>
            <w:tcW w:w="9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(7)</w:t>
            </w: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1,559</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340"/>
              <w:spacing w:after="0"/>
              <w:rPr>
                <w:sz w:val="20"/>
                <w:szCs w:val="20"/>
                <w:color w:val="auto"/>
              </w:rPr>
            </w:pPr>
            <w:r>
              <w:rPr>
                <w:rFonts w:ascii="Arial" w:cs="Arial" w:eastAsia="Arial" w:hAnsi="Arial"/>
                <w:sz w:val="18"/>
                <w:szCs w:val="18"/>
                <w:color w:val="auto"/>
              </w:rPr>
              <w:t>and equipment</w:t>
            </w:r>
          </w:p>
        </w:tc>
        <w:tc>
          <w:tcPr>
            <w:tcW w:w="960" w:type="dxa"/>
            <w:vAlign w:val="bottom"/>
            <w:vMerge w:val="continue"/>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948</w:t>
            </w:r>
          </w:p>
        </w:tc>
        <w:tc>
          <w:tcPr>
            <w:tcW w:w="840" w:type="dxa"/>
            <w:vAlign w:val="bottom"/>
          </w:tcPr>
          <w:p>
            <w:pPr>
              <w:jc w:val="right"/>
              <w:spacing w:after="0"/>
              <w:rPr>
                <w:sz w:val="20"/>
                <w:szCs w:val="20"/>
                <w:color w:val="auto"/>
              </w:rPr>
            </w:pPr>
            <w:r>
              <w:rPr>
                <w:rFonts w:ascii="Arial" w:cs="Arial" w:eastAsia="Arial" w:hAnsi="Arial"/>
                <w:sz w:val="18"/>
                <w:szCs w:val="18"/>
                <w:color w:val="auto"/>
              </w:rPr>
              <w:t>(955)</w:t>
            </w: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940" w:type="dxa"/>
            <w:vAlign w:val="bottom"/>
            <w:vMerge w:val="continue"/>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936</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623</w:t>
            </w: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Impairment on short-term prepaid deposits and</w:t>
            </w:r>
          </w:p>
        </w:tc>
        <w:tc>
          <w:tcPr>
            <w:tcW w:w="9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9,982</w:t>
            </w: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9,982</w:t>
            </w: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960" w:type="dxa"/>
            <w:vAlign w:val="bottom"/>
            <w:vMerge w:val="continue"/>
            <w:shd w:val="clear" w:color="auto" w:fill="CCEEFF"/>
          </w:tcPr>
          <w:p>
            <w:pPr>
              <w:spacing w:after="0"/>
              <w:rPr>
                <w:sz w:val="20"/>
                <w:szCs w:val="20"/>
                <w:color w:val="auto"/>
              </w:rPr>
            </w:pP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9,982</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940" w:type="dxa"/>
            <w:vAlign w:val="bottom"/>
            <w:vMerge w:val="continue"/>
            <w:shd w:val="clear" w:color="auto" w:fill="CCEEFF"/>
          </w:tcPr>
          <w:p>
            <w:pPr>
              <w:spacing w:after="0"/>
              <w:rPr>
                <w:sz w:val="20"/>
                <w:szCs w:val="20"/>
                <w:color w:val="auto"/>
              </w:rPr>
            </w:pP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Impairment on goodwill</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17,900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17,900</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(25,170)</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8"/>
              </w:rPr>
              <w:t>(173,091)</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147,921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8"/>
              </w:rPr>
              <w:t>(40,754)</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8"/>
              </w:rPr>
              <w:t>(166,217)</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125,463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3620" w:type="dxa"/>
            <w:vAlign w:val="bottom"/>
            <w:tcBorders>
              <w:bottom w:val="single" w:sz="8" w:color="auto"/>
            </w:tcBorders>
          </w:tcPr>
          <w:p>
            <w:pPr>
              <w:spacing w:after="0" w:line="270" w:lineRule="exact"/>
              <w:rPr>
                <w:sz w:val="20"/>
                <w:szCs w:val="20"/>
                <w:color w:val="auto"/>
              </w:rPr>
            </w:pPr>
            <w:r>
              <w:rPr>
                <w:rFonts w:ascii="Arial" w:cs="Arial" w:eastAsia="Arial" w:hAnsi="Arial"/>
                <w:sz w:val="18"/>
                <w:szCs w:val="18"/>
                <w:color w:val="auto"/>
              </w:rPr>
              <w:t xml:space="preserve">Operating margin </w:t>
            </w:r>
            <w:r>
              <w:rPr>
                <w:rFonts w:ascii="Arial" w:cs="Arial" w:eastAsia="Arial" w:hAnsi="Arial"/>
                <w:sz w:val="29"/>
                <w:szCs w:val="29"/>
                <w:color w:val="auto"/>
                <w:vertAlign w:val="superscript"/>
              </w:rPr>
              <w:t>(1)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financial income</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(182)</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(11,857)</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11,675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(12,370)</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(15,940)</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3,570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loss before income taxes</w:t>
            </w:r>
          </w:p>
        </w:tc>
        <w:tc>
          <w:tcPr>
            <w:tcW w:w="9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(24,988)</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8"/>
              </w:rPr>
              <w:t>(161,234)</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136,246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8"/>
              </w:rPr>
              <w:t>(28,384)</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8"/>
              </w:rPr>
              <w:t>(150,277)</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121,893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recovery</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(94)</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(19,316)</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(424)</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(12,878)</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12,454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(24,894)</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8"/>
              </w:rPr>
              <w:t>(141,918)</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117,024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8"/>
              </w:rPr>
              <w:t>(27,960)</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8"/>
              </w:rPr>
              <w:t>(137,399)</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109,439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Basic and diluted loss per share (in U.S. dollars)</w:t>
            </w:r>
          </w:p>
        </w:tc>
        <w:tc>
          <w:tcPr>
            <w:tcW w:w="9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(0.10)</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(0.70)</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(0.12)</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(0.69)</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w w:val="91"/>
              </w:rPr>
              <w:t>Change in revaluation surplus - digital assets, net</w:t>
            </w: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579</w:t>
            </w: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2,391</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of tax</w:t>
            </w:r>
          </w:p>
        </w:tc>
        <w:tc>
          <w:tcPr>
            <w:tcW w:w="9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579</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9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2,391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net of tax</w:t>
            </w:r>
          </w:p>
        </w:tc>
        <w:tc>
          <w:tcPr>
            <w:tcW w:w="9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(24,315)</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8"/>
              </w:rPr>
              <w:t>(141,918)</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117,603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8"/>
              </w:rPr>
              <w:t>(25,569)</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8"/>
              </w:rPr>
              <w:t>(137,399)</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111,830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Gross Mining profit </w:t>
            </w:r>
            <w:r>
              <w:rPr>
                <w:rFonts w:ascii="Arial" w:cs="Arial" w:eastAsia="Arial" w:hAnsi="Arial"/>
                <w:sz w:val="29"/>
                <w:szCs w:val="29"/>
                <w:color w:val="auto"/>
                <w:vertAlign w:val="superscript"/>
              </w:rPr>
              <w:t>(2)</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14,329</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27,160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26,514</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57,300</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(30,786)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3620" w:type="dxa"/>
            <w:vAlign w:val="bottom"/>
          </w:tcPr>
          <w:p>
            <w:pPr>
              <w:spacing w:after="0" w:line="270"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(2)</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42%</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42%</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(2)</w:t>
            </w: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(3,437)</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8"/>
              </w:rPr>
              <w:t>(138,831)</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135,394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15,487</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8"/>
              </w:rPr>
              <w:t>(111,798)</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127,285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0"/>
        </w:trPr>
        <w:tc>
          <w:tcPr>
            <w:tcW w:w="3620" w:type="dxa"/>
            <w:vAlign w:val="bottom"/>
          </w:tcPr>
          <w:p>
            <w:pPr>
              <w:spacing w:after="0" w:line="270"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(2)</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980" w:type="dxa"/>
            <w:vAlign w:val="bottom"/>
          </w:tcPr>
          <w:p>
            <w:pPr>
              <w:jc w:val="right"/>
              <w:spacing w:after="0"/>
              <w:rPr>
                <w:sz w:val="20"/>
                <w:szCs w:val="20"/>
                <w:color w:val="auto"/>
              </w:rPr>
            </w:pPr>
            <w:r>
              <w:rPr>
                <w:rFonts w:ascii="Arial" w:cs="Arial" w:eastAsia="Arial" w:hAnsi="Arial"/>
                <w:sz w:val="18"/>
                <w:szCs w:val="18"/>
                <w:color w:val="auto"/>
              </w:rPr>
              <w:t>(332)%</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24%</w:t>
            </w:r>
          </w:p>
        </w:tc>
        <w:tc>
          <w:tcPr>
            <w:tcW w:w="980" w:type="dxa"/>
            <w:vAlign w:val="bottom"/>
          </w:tcPr>
          <w:p>
            <w:pPr>
              <w:jc w:val="right"/>
              <w:spacing w:after="0"/>
              <w:rPr>
                <w:sz w:val="20"/>
                <w:szCs w:val="20"/>
                <w:color w:val="auto"/>
              </w:rPr>
            </w:pPr>
            <w:r>
              <w:rPr>
                <w:rFonts w:ascii="Arial" w:cs="Arial" w:eastAsia="Arial" w:hAnsi="Arial"/>
                <w:sz w:val="18"/>
                <w:szCs w:val="18"/>
                <w:color w:val="auto"/>
              </w:rPr>
              <w:t>(136)%</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(2)</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7,672</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19,703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14,241</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42,001</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(27,760)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7"/>
        </w:trPr>
        <w:tc>
          <w:tcPr>
            <w:tcW w:w="3620" w:type="dxa"/>
            <w:vAlign w:val="bottom"/>
            <w:tcBorders>
              <w:bottom w:val="single" w:sz="8" w:color="auto"/>
            </w:tcBorders>
          </w:tcPr>
          <w:p>
            <w:pPr>
              <w:spacing w:after="0" w:line="270"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(2)</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22%</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22%</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160" w:hanging="113"/>
        <w:spacing w:after="0"/>
        <w:tabs>
          <w:tab w:leader="none" w:pos="160" w:val="left"/>
        </w:tabs>
        <w:numPr>
          <w:ilvl w:val="0"/>
          <w:numId w:val="50"/>
        </w:numPr>
        <w:rPr>
          <w:rFonts w:ascii="Arial" w:cs="Arial" w:eastAsia="Arial" w:hAnsi="Arial"/>
          <w:sz w:val="12"/>
          <w:szCs w:val="12"/>
          <w:color w:val="auto"/>
        </w:rPr>
      </w:pPr>
      <w:r>
        <w:rPr>
          <w:rFonts w:ascii="Arial" w:cs="Arial" w:eastAsia="Arial" w:hAnsi="Arial"/>
          <w:sz w:val="14"/>
          <w:szCs w:val="14"/>
          <w:color w:val="auto"/>
        </w:rPr>
        <w:t xml:space="preserve">Gross margin and Operating margin are supplemental financial ratios; refer to section 9 - </w:t>
      </w:r>
      <w:r>
        <w:rPr>
          <w:rFonts w:ascii="Arial" w:cs="Arial" w:eastAsia="Arial" w:hAnsi="Arial"/>
          <w:sz w:val="14"/>
          <w:szCs w:val="14"/>
          <w:i w:val="1"/>
          <w:iCs w:val="1"/>
          <w:color w:val="auto"/>
        </w:rPr>
        <w:t>Non-IFRS and Other Financial Measures and Ratios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6" w:lineRule="exact"/>
        <w:rPr>
          <w:sz w:val="20"/>
          <w:szCs w:val="20"/>
          <w:color w:val="auto"/>
        </w:rPr>
      </w:pPr>
    </w:p>
    <w:p>
      <w:pPr>
        <w:ind w:left="160" w:right="40" w:hanging="113"/>
        <w:spacing w:after="0" w:line="253" w:lineRule="auto"/>
        <w:tabs>
          <w:tab w:leader="none" w:pos="160" w:val="left"/>
        </w:tabs>
        <w:numPr>
          <w:ilvl w:val="0"/>
          <w:numId w:val="51"/>
        </w:numPr>
        <w:rPr>
          <w:rFonts w:ascii="Arial" w:cs="Arial" w:eastAsia="Arial" w:hAnsi="Arial"/>
          <w:sz w:val="12"/>
          <w:szCs w:val="12"/>
          <w:color w:val="auto"/>
        </w:rPr>
      </w:pPr>
      <w:r>
        <w:rPr>
          <w:rFonts w:ascii="Arial" w:cs="Arial" w:eastAsia="Arial" w:hAnsi="Arial"/>
          <w:sz w:val="14"/>
          <w:szCs w:val="14"/>
          <w:color w:val="auto"/>
        </w:rPr>
        <w:t xml:space="preserve">Gross Mining profit, Gross Mining margin, EBITDA, EBITDA margin, Adjusted EBITDA, and Adjusted EBITDA margin are non-IFRS measures or ratios; refer to section 9 - </w:t>
      </w:r>
      <w:r>
        <w:rPr>
          <w:rFonts w:ascii="Arial" w:cs="Arial" w:eastAsia="Arial" w:hAnsi="Arial"/>
          <w:sz w:val="14"/>
          <w:szCs w:val="14"/>
          <w:i w:val="1"/>
          <w:iCs w:val="1"/>
          <w:color w:val="auto"/>
        </w:rPr>
        <w:t>Non-IFRS and</w:t>
      </w:r>
      <w:r>
        <w:rPr>
          <w:rFonts w:ascii="Arial" w:cs="Arial" w:eastAsia="Arial" w:hAnsi="Arial"/>
          <w:sz w:val="14"/>
          <w:szCs w:val="14"/>
          <w:color w:val="auto"/>
        </w:rPr>
        <w:t xml:space="preserve"> </w:t>
      </w:r>
      <w:r>
        <w:rPr>
          <w:rFonts w:ascii="Arial" w:cs="Arial" w:eastAsia="Arial" w:hAnsi="Arial"/>
          <w:sz w:val="14"/>
          <w:szCs w:val="14"/>
          <w:i w:val="1"/>
          <w:iCs w:val="1"/>
          <w:color w:val="auto"/>
        </w:rPr>
        <w:t>Other Financial Measures and Ratios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13 Page</w:t>
      </w:r>
    </w:p>
    <w:p>
      <w:pPr>
        <w:sectPr>
          <w:pgSz w:w="11900" w:h="16838" w:orient="portrait"/>
          <w:cols w:equalWidth="0" w:num="1">
            <w:col w:w="11240"/>
          </w:cols>
          <w:pgMar w:left="320" w:top="90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Q2 2023 v. Q2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Revenues were $35.5 million in Q2 2023, compared to $41.8 million in Q2 2022, a decrease of $6.3 million, or 15%.</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most significant factors impacting the decrease in Bitfarms’ revenues in Q2 2023, compared to Q2 2022, are presented in the table below. Revenues decreased mostly due to the decrease in average BTC price, further intensified by the increase in network difficulty, partially offset by the increase in Bitfarms’ BTC hashrate.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 $ in thousands except where indicated)</w:t>
            </w: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Note</w:t>
            </w:r>
          </w:p>
        </w:tc>
        <w:tc>
          <w:tcPr>
            <w:tcW w:w="12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BTC</w:t>
            </w:r>
          </w:p>
        </w:tc>
        <w:tc>
          <w:tcPr>
            <w:tcW w:w="12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(USD)</w:t>
            </w:r>
          </w:p>
        </w:tc>
        <w:tc>
          <w:tcPr>
            <w:tcW w:w="12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BTC and revenues, including Volta, for the three months ended June 30, 2022</w:t>
            </w:r>
          </w:p>
        </w:tc>
        <w:tc>
          <w:tcPr>
            <w:tcW w:w="1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1,257</w:t>
            </w: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41,815</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195"/>
        </w:trPr>
        <w:tc>
          <w:tcPr>
            <w:tcW w:w="6180" w:type="dxa"/>
            <w:vAlign w:val="bottom"/>
          </w:tcPr>
          <w:p>
            <w:pPr>
              <w:spacing w:after="0" w:line="195" w:lineRule="exact"/>
              <w:rPr>
                <w:sz w:val="20"/>
                <w:szCs w:val="20"/>
                <w:color w:val="auto"/>
              </w:rPr>
            </w:pPr>
            <w:r>
              <w:rPr>
                <w:rFonts w:ascii="Arial" w:cs="Arial" w:eastAsia="Arial" w:hAnsi="Arial"/>
                <w:sz w:val="18"/>
                <w:szCs w:val="18"/>
                <w:color w:val="auto"/>
              </w:rPr>
              <w:t>Impact of increase in network difficulty during Q2 2023 as compared to Q2</w:t>
            </w: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2022</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(720)</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(20,161)</w:t>
            </w: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2"/>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Impact of increase in average Bitfarms’ BTC hashrate during Q2 2023 as</w:t>
            </w: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compared to Q2 2022</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686</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19,206</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w w:val="98"/>
              </w:rPr>
              <w:t>Impact of difference in average BTC price in Q2 2023 as compared to Q2 2022</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128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(5,864)</w:t>
            </w: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Mining variance and change in Volta</w:t>
            </w:r>
          </w:p>
        </w:tc>
        <w:tc>
          <w:tcPr>
            <w:tcW w:w="1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483</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10"/>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BTC and revenues for the three months ended June 30, 2023</w:t>
            </w:r>
          </w:p>
        </w:tc>
        <w:tc>
          <w:tcPr>
            <w:tcW w:w="1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1,223</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35,479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600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620" w:hanging="350"/>
        <w:spacing w:after="0"/>
        <w:tabs>
          <w:tab w:leader="none" w:pos="6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Calculated as the difference in BTC mined in Q2 2023 compared to Q2 2022, based on the change in network difficulty, multiplied by Q2 2023 average BTC price</w:t>
      </w:r>
    </w:p>
    <w:p>
      <w:pPr>
        <w:ind w:left="620" w:hanging="350"/>
        <w:spacing w:after="0"/>
        <w:tabs>
          <w:tab w:leader="none" w:pos="6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Calculated as the difference in BTC mined in Q2 2023 compared to Q2 2022, based on the change in Bitfarms’ average BTC hashrate, multiplied by Q2 2023 average BTC price</w:t>
      </w:r>
    </w:p>
    <w:p>
      <w:pPr>
        <w:ind w:left="260"/>
        <w:spacing w:after="0"/>
        <w:rPr>
          <w:rFonts w:ascii="Arial" w:cs="Arial" w:eastAsia="Arial" w:hAnsi="Arial"/>
          <w:sz w:val="13"/>
          <w:szCs w:val="13"/>
          <w:color w:val="auto"/>
        </w:rPr>
      </w:pPr>
      <w:r>
        <w:rPr>
          <w:rFonts w:ascii="Arial" w:cs="Arial" w:eastAsia="Arial" w:hAnsi="Arial"/>
          <w:sz w:val="14"/>
          <w:szCs w:val="14"/>
          <w:color w:val="auto"/>
        </w:rPr>
        <w:t>3</w:t>
      </w:r>
      <w:r>
        <w:rPr>
          <w:rFonts w:ascii="Arial" w:cs="Arial" w:eastAsia="Arial" w:hAnsi="Arial"/>
          <w:sz w:val="13"/>
          <w:szCs w:val="13"/>
          <w:color w:val="auto"/>
        </w:rPr>
        <w:t>Calculated as the difference in average BTC price in Q2 2023 compared to Q2 2022 multiplied by BTC mined in Q2 2022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revenues and average hashrate by country: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w w:val="94"/>
              </w:rPr>
              <w:t>Three months ended June 30,</w:t>
            </w:r>
          </w:p>
        </w:tc>
        <w:tc>
          <w:tcPr>
            <w:tcW w:w="1220" w:type="dxa"/>
            <w:vAlign w:val="bottom"/>
            <w:tcBorders>
              <w:bottom w:val="single" w:sz="8" w:color="auto"/>
            </w:tcBorders>
          </w:tcPr>
          <w:p>
            <w:pPr>
              <w:spacing w:after="0"/>
              <w:rPr>
                <w:sz w:val="20"/>
                <w:szCs w:val="20"/>
                <w:color w:val="auto"/>
              </w:rPr>
            </w:pPr>
          </w:p>
        </w:tc>
      </w:tr>
      <w:tr>
        <w:trPr>
          <w:trHeight w:val="210"/>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in thousands except where indicated)</w:t>
            </w:r>
          </w:p>
        </w:tc>
        <w:tc>
          <w:tcPr>
            <w:tcW w:w="2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26,458</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33,169</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(6,711)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USA</w:t>
            </w:r>
          </w:p>
        </w:tc>
        <w:tc>
          <w:tcPr>
            <w:tcW w:w="2320" w:type="dxa"/>
            <w:vAlign w:val="bottom"/>
          </w:tcPr>
          <w:p>
            <w:pPr>
              <w:jc w:val="right"/>
              <w:ind w:right="70"/>
              <w:spacing w:after="0"/>
              <w:rPr>
                <w:sz w:val="20"/>
                <w:szCs w:val="20"/>
                <w:color w:val="auto"/>
              </w:rPr>
            </w:pPr>
            <w:r>
              <w:rPr>
                <w:rFonts w:ascii="Arial" w:cs="Arial" w:eastAsia="Arial" w:hAnsi="Arial"/>
                <w:sz w:val="18"/>
                <w:szCs w:val="18"/>
                <w:b w:val="1"/>
                <w:bCs w:val="1"/>
                <w:color w:val="auto"/>
              </w:rPr>
              <w:t>4,293</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7,264</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(2,971)</w:t>
            </w: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2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2,796</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2,796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Paraguay</w:t>
            </w:r>
          </w:p>
        </w:tc>
        <w:tc>
          <w:tcPr>
            <w:tcW w:w="2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1,932</w:t>
            </w: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1,382</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550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17"/>
        </w:trPr>
        <w:tc>
          <w:tcPr>
            <w:tcW w:w="486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35,479</w:t>
            </w:r>
          </w:p>
        </w:tc>
        <w:tc>
          <w:tcPr>
            <w:tcW w:w="1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41,815</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(6,336)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48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w w:val="95"/>
              </w:rPr>
              <w:t>Three months ended June 30,</w:t>
            </w:r>
          </w:p>
        </w:tc>
        <w:tc>
          <w:tcPr>
            <w:tcW w:w="1220" w:type="dxa"/>
            <w:vAlign w:val="bottom"/>
            <w:tcBorders>
              <w:bottom w:val="single" w:sz="8" w:color="auto"/>
            </w:tcBorders>
          </w:tcPr>
          <w:p>
            <w:pPr>
              <w:spacing w:after="0"/>
              <w:rPr>
                <w:sz w:val="24"/>
                <w:szCs w:val="24"/>
                <w:color w:val="auto"/>
              </w:rPr>
            </w:pPr>
          </w:p>
        </w:tc>
      </w:tr>
      <w:tr>
        <w:trPr>
          <w:trHeight w:val="209"/>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(Hashrate in EH/s except where indicated)</w:t>
            </w:r>
          </w:p>
        </w:tc>
        <w:tc>
          <w:tcPr>
            <w:tcW w:w="2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Change</w:t>
            </w: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3.6</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USA</w:t>
            </w:r>
          </w:p>
        </w:tc>
        <w:tc>
          <w:tcPr>
            <w:tcW w:w="2320" w:type="dxa"/>
            <w:vAlign w:val="bottom"/>
          </w:tcPr>
          <w:p>
            <w:pPr>
              <w:jc w:val="right"/>
              <w:ind w:right="50"/>
              <w:spacing w:after="0"/>
              <w:rPr>
                <w:sz w:val="20"/>
                <w:szCs w:val="20"/>
                <w:color w:val="auto"/>
              </w:rPr>
            </w:pPr>
            <w:r>
              <w:rPr>
                <w:rFonts w:ascii="Arial" w:cs="Arial" w:eastAsia="Arial" w:hAnsi="Arial"/>
                <w:sz w:val="18"/>
                <w:szCs w:val="18"/>
                <w:b w:val="1"/>
                <w:bCs w:val="1"/>
                <w:color w:val="auto"/>
              </w:rPr>
              <w:t>0.6</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0.6</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2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0.4</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Paraguay</w:t>
            </w:r>
          </w:p>
        </w:tc>
        <w:tc>
          <w:tcPr>
            <w:tcW w:w="2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0.3</w:t>
            </w: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0.1</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17"/>
        </w:trPr>
        <w:tc>
          <w:tcPr>
            <w:tcW w:w="486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w:t>
            </w:r>
          </w:p>
        </w:tc>
        <w:tc>
          <w:tcPr>
            <w:tcW w:w="1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3.2</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14 Page</w:t>
      </w:r>
    </w:p>
    <w:p>
      <w:pPr>
        <w:sectPr>
          <w:pgSz w:w="11900" w:h="16838" w:orient="portrait"/>
          <w:cols w:equalWidth="0" w:num="1">
            <w:col w:w="11240"/>
          </w:cols>
          <w:pgMar w:left="320" w:top="90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Q2 2023 v. Q2 2022 </w:t>
      </w:r>
      <w:r>
        <w:rPr>
          <w:rFonts w:ascii="Arial" w:cs="Arial" w:eastAsia="Arial" w:hAnsi="Arial"/>
          <w:sz w:val="18"/>
          <w:szCs w:val="18"/>
          <w:color w:val="auto"/>
        </w:rPr>
        <w:t>(Continued)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Bitfarms earned the majority of its revenues from its Canadian and US-based operations in Q2 2023, which accounted for 75% and 12% of total revenues, respectively, compared to 79% and 18% in Q2 2022, respectively. The impact of the increase in network difficulty and the decrease in average BTC price was partially offset by the average hashrate increase of 1.1 EH/s, or 44%, for the Canadian operations, resulting in revenues decrease of $6.7 million in Canada and $3.0 million in the USA during Q2 2023 as compared to Q2 2022. The Argentina and Paraguay operations accounted for 8% and 5% of total revenues, respectively, compared to nil and 3% in Q2 2022, respectively. The hashrate increase of the Argentina and Paraguay operations of 0.4 EH/s, or 100%, and 0.2 EH/s, or 200%, respectively, resulted in Q2 2023 revenues increasing by $2.8 million and $0.6 million, respectively, compared to Q2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YTD Q2 2023 v. YTD Q2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Revenues were $65.5 million in YTD Q2 2023, compared to $82.1 million in YTD Q2 2022, a decrease of $16.6 million, or 20%.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most significant factors impacting the decrease in Bitfarms’ revenues in YTD Q2 2023, compared to YTD Q2 2022, are presented in the table below. Revenues decreased mostly due to the decrease in average BTC price, further intensified by the increase in network difficulty, partially offset by the increase in Bitfarms’ BTC hashrate.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 $ in thousands except where indicated)</w:t>
            </w:r>
          </w:p>
        </w:tc>
        <w:tc>
          <w:tcPr>
            <w:tcW w:w="12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Note</w:t>
            </w:r>
          </w:p>
        </w:tc>
        <w:tc>
          <w:tcPr>
            <w:tcW w:w="13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BTC</w:t>
            </w:r>
          </w:p>
        </w:tc>
        <w:tc>
          <w:tcPr>
            <w:tcW w:w="12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(USD)</w:t>
            </w:r>
          </w:p>
        </w:tc>
        <w:tc>
          <w:tcPr>
            <w:tcW w:w="12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BTC and revenues, including Volta, for the six months ended June 30, 2022</w:t>
            </w:r>
          </w:p>
        </w:tc>
        <w:tc>
          <w:tcPr>
            <w:tcW w:w="1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2,218</w:t>
            </w: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82,144</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195"/>
        </w:trPr>
        <w:tc>
          <w:tcPr>
            <w:tcW w:w="6160" w:type="dxa"/>
            <w:vAlign w:val="bottom"/>
          </w:tcPr>
          <w:p>
            <w:pPr>
              <w:spacing w:after="0" w:line="195" w:lineRule="exact"/>
              <w:rPr>
                <w:sz w:val="20"/>
                <w:szCs w:val="20"/>
                <w:color w:val="auto"/>
              </w:rPr>
            </w:pPr>
            <w:r>
              <w:rPr>
                <w:rFonts w:ascii="Arial" w:cs="Arial" w:eastAsia="Arial" w:hAnsi="Arial"/>
                <w:sz w:val="18"/>
                <w:szCs w:val="18"/>
                <w:color w:val="auto"/>
              </w:rPr>
              <w:t>Impact of increase in network difficulty during YTD Q2 2023 as compared to</w:t>
            </w: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YTD Q2 2022</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(1,341)</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(33,772)</w:t>
            </w: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2"/>
        </w:trPr>
        <w:tc>
          <w:tcPr>
            <w:tcW w:w="6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Impact of increase in average Bitfarms’ BTC hashrate during YTD Q2 2023 as</w:t>
            </w:r>
          </w:p>
        </w:tc>
        <w:tc>
          <w:tcPr>
            <w:tcW w:w="1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compared to YTD Q2 2022</w:t>
            </w: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w:t>
            </w:r>
          </w:p>
        </w:tc>
        <w:tc>
          <w:tcPr>
            <w:tcW w:w="1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1,643</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41,370</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02"/>
        </w:trPr>
        <w:tc>
          <w:tcPr>
            <w:tcW w:w="6160" w:type="dxa"/>
            <w:vAlign w:val="bottom"/>
          </w:tcPr>
          <w:p>
            <w:pPr>
              <w:spacing w:after="0" w:line="201" w:lineRule="exact"/>
              <w:rPr>
                <w:sz w:val="20"/>
                <w:szCs w:val="20"/>
                <w:color w:val="auto"/>
              </w:rPr>
            </w:pPr>
            <w:r>
              <w:rPr>
                <w:rFonts w:ascii="Arial" w:cs="Arial" w:eastAsia="Arial" w:hAnsi="Arial"/>
                <w:sz w:val="18"/>
                <w:szCs w:val="18"/>
                <w:color w:val="auto"/>
              </w:rPr>
              <w:t>Impact of difference in average BTC price in YTD Q2 2023 as compared to</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YTD Q2 2022</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130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(24,939)</w:t>
            </w: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Mining variance and change in Volta</w:t>
            </w:r>
          </w:p>
        </w:tc>
        <w:tc>
          <w:tcPr>
            <w:tcW w:w="1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726</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10"/>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BTC and revenues for the six months ended June 30, 2023</w:t>
            </w:r>
          </w:p>
        </w:tc>
        <w:tc>
          <w:tcPr>
            <w:tcW w:w="1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2,520</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65,529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r>
    </w:tbl>
    <w:p>
      <w:pPr>
        <w:spacing w:after="0" w:line="197" w:lineRule="exact"/>
        <w:rPr>
          <w:sz w:val="20"/>
          <w:szCs w:val="20"/>
          <w:color w:val="auto"/>
        </w:rPr>
      </w:pPr>
    </w:p>
    <w:p>
      <w:pPr>
        <w:sectPr>
          <w:pgSz w:w="11900" w:h="16838" w:orient="portrait"/>
          <w:cols w:equalWidth="0" w:num="1">
            <w:col w:w="11240"/>
          </w:cols>
          <w:pgMar w:left="320" w:top="904" w:right="339" w:bottom="1440" w:gutter="0" w:footer="0" w:header="0"/>
        </w:sectPr>
      </w:pPr>
    </w:p>
    <w:p>
      <w:pPr>
        <w:ind w:left="180"/>
        <w:spacing w:after="0"/>
        <w:rPr>
          <w:sz w:val="20"/>
          <w:szCs w:val="20"/>
          <w:color w:val="auto"/>
        </w:rPr>
      </w:pPr>
      <w:r>
        <w:rPr>
          <w:rFonts w:ascii="Arial" w:cs="Arial" w:eastAsia="Arial" w:hAnsi="Arial"/>
          <w:sz w:val="13"/>
          <w:szCs w:val="13"/>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4286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2</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Calculated as the difference in BTC mined in YTD Q2 2023 compared to YTD Q2 2022, based on the change in network difficulty, multiplied by YTD Q2 2023 average BTC price Calculated as the difference in BTC mined in YTD Q2 2023 compared to YTD Q2 2022, based on the change in Bitfarms’ average BTC hashrate, multiplied by YTD Q2 2023 average BTC price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Calculated as the difference in average BTC price in YTD Q2 2023 compared to YTD Q2 2022 multiplied by BTC mined in YTD Q2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270510</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 w:space="200"/>
            <w:col w:w="10520"/>
          </w:cols>
          <w:pgMar w:left="320" w:top="904" w:right="339" w:bottom="1440" w:gutter="0" w:footer="0" w:header="0"/>
          <w:type w:val="continuous"/>
        </w:sectPr>
      </w:pPr>
    </w:p>
    <w:p>
      <w:pPr>
        <w:spacing w:after="0" w:line="239" w:lineRule="exact"/>
        <w:rPr>
          <w:sz w:val="20"/>
          <w:szCs w:val="20"/>
          <w:color w:val="auto"/>
        </w:rPr>
      </w:pPr>
    </w:p>
    <w:p>
      <w:pPr>
        <w:ind w:left="10440"/>
        <w:spacing w:after="0"/>
        <w:rPr>
          <w:sz w:val="20"/>
          <w:szCs w:val="20"/>
          <w:color w:val="auto"/>
        </w:rPr>
      </w:pPr>
      <w:r>
        <w:rPr>
          <w:rFonts w:ascii="Arial" w:cs="Arial" w:eastAsia="Arial" w:hAnsi="Arial"/>
          <w:sz w:val="17"/>
          <w:szCs w:val="17"/>
          <w:color w:val="auto"/>
        </w:rPr>
        <w:t>15 Page</w:t>
      </w:r>
    </w:p>
    <w:p>
      <w:pPr>
        <w:sectPr>
          <w:pgSz w:w="11900" w:h="16838" w:orient="portrait"/>
          <w:cols w:equalWidth="0" w:num="1">
            <w:col w:w="11240"/>
          </w:cols>
          <w:pgMar w:left="320" w:top="904"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tc>
        <w:tc>
          <w:tcPr>
            <w:tcW w:w="1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b w:val="1"/>
                <w:bCs w:val="1"/>
                <w:color w:val="auto"/>
              </w:rPr>
              <w:t>A.</w:t>
            </w:r>
          </w:p>
        </w:tc>
        <w:tc>
          <w:tcPr>
            <w:tcW w:w="5520" w:type="dxa"/>
            <w:vAlign w:val="bottom"/>
          </w:tcPr>
          <w:p>
            <w:pPr>
              <w:ind w:left="60"/>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(Continued)</w:t>
            </w: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xml:space="preserve">YTD Q2 2023 v. YTD Q2 2022 </w:t>
            </w:r>
            <w:r>
              <w:rPr>
                <w:rFonts w:ascii="Arial" w:cs="Arial" w:eastAsia="Arial" w:hAnsi="Arial"/>
                <w:sz w:val="18"/>
                <w:szCs w:val="18"/>
                <w:color w:val="auto"/>
              </w:rPr>
              <w:t>(Continued)</w:t>
            </w: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color w:val="auto"/>
                <w:w w:val="96"/>
              </w:rPr>
              <w:t>The following tables summarize the revenues and average hashrate by country:</w:t>
            </w: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6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w w:val="96"/>
              </w:rPr>
              <w:t>Six months ended June 30,</w:t>
            </w:r>
          </w:p>
        </w:tc>
        <w:tc>
          <w:tcPr>
            <w:tcW w:w="1220" w:type="dxa"/>
            <w:vAlign w:val="bottom"/>
            <w:tcBorders>
              <w:bottom w:val="single" w:sz="8" w:color="auto"/>
            </w:tcBorders>
          </w:tcPr>
          <w:p>
            <w:pPr>
              <w:spacing w:after="0"/>
              <w:rPr>
                <w:sz w:val="24"/>
                <w:szCs w:val="24"/>
                <w:color w:val="auto"/>
              </w:rPr>
            </w:pPr>
          </w:p>
        </w:tc>
      </w:tr>
      <w:tr>
        <w:trPr>
          <w:trHeight w:val="210"/>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(U.S.$ in thousands except where indicated)</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09"/>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1"/>
              </w:rPr>
              <w:t>Canada</w:t>
            </w:r>
          </w:p>
        </w:tc>
        <w:tc>
          <w:tcPr>
            <w:tcW w:w="5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49,947</w:t>
            </w: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63,095</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(13,148)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USA</w:t>
            </w:r>
          </w:p>
        </w:tc>
        <w:tc>
          <w:tcPr>
            <w:tcW w:w="552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8,184</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17,069</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(8,885)</w:t>
            </w: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Argentina</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4,092</w:t>
            </w: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4,092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Paraguay</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3,306</w:t>
            </w:r>
          </w:p>
        </w:tc>
        <w:tc>
          <w:tcPr>
            <w:tcW w:w="1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1,980</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1,326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17"/>
        </w:trPr>
        <w:tc>
          <w:tcPr>
            <w:tcW w:w="600" w:type="dxa"/>
            <w:vAlign w:val="bottom"/>
            <w:tcBorders>
              <w:bottom w:val="single" w:sz="8" w:color="auto"/>
            </w:tcBorders>
            <w:shd w:val="clear" w:color="auto" w:fill="CCEEFF"/>
          </w:tcPr>
          <w:p>
            <w:pPr>
              <w:spacing w:after="0"/>
              <w:rPr>
                <w:sz w:val="18"/>
                <w:szCs w:val="18"/>
                <w:color w:val="auto"/>
              </w:rPr>
            </w:pPr>
          </w:p>
        </w:tc>
        <w:tc>
          <w:tcPr>
            <w:tcW w:w="5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65,529</w:t>
            </w:r>
          </w:p>
        </w:tc>
        <w:tc>
          <w:tcPr>
            <w:tcW w:w="1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82,144</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(16,615)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6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w w:val="96"/>
              </w:rPr>
              <w:t>Six months ended June 30,</w:t>
            </w:r>
          </w:p>
        </w:tc>
        <w:tc>
          <w:tcPr>
            <w:tcW w:w="1220" w:type="dxa"/>
            <w:vAlign w:val="bottom"/>
            <w:tcBorders>
              <w:bottom w:val="single" w:sz="8" w:color="auto"/>
            </w:tcBorders>
          </w:tcPr>
          <w:p>
            <w:pPr>
              <w:spacing w:after="0"/>
              <w:rPr>
                <w:sz w:val="24"/>
                <w:szCs w:val="24"/>
                <w:color w:val="auto"/>
              </w:rPr>
            </w:pPr>
          </w:p>
        </w:tc>
      </w:tr>
      <w:tr>
        <w:trPr>
          <w:trHeight w:val="209"/>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(Hashrate in EH/s except where indicated)</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1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Change</w:t>
            </w:r>
          </w:p>
        </w:tc>
      </w:tr>
      <w:tr>
        <w:trPr>
          <w:trHeight w:val="210"/>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1"/>
              </w:rPr>
              <w:t>Canada</w:t>
            </w:r>
          </w:p>
        </w:tc>
        <w:tc>
          <w:tcPr>
            <w:tcW w:w="5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3.5</w:t>
            </w: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USA</w:t>
            </w:r>
          </w:p>
        </w:tc>
        <w:tc>
          <w:tcPr>
            <w:tcW w:w="552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0.6</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0.6</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Argentina</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0.3</w:t>
            </w: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Paraguay</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0.2</w:t>
            </w:r>
          </w:p>
        </w:tc>
        <w:tc>
          <w:tcPr>
            <w:tcW w:w="1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0.1</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Borders>
              <w:bottom w:val="single" w:sz="8" w:color="auto"/>
            </w:tcBorders>
            <w:shd w:val="clear" w:color="auto" w:fill="CCEEFF"/>
          </w:tcPr>
          <w:p>
            <w:pPr>
              <w:spacing w:after="0"/>
              <w:rPr>
                <w:sz w:val="18"/>
                <w:szCs w:val="18"/>
                <w:color w:val="auto"/>
              </w:rPr>
            </w:pPr>
          </w:p>
        </w:tc>
        <w:tc>
          <w:tcPr>
            <w:tcW w:w="5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4.6</w:t>
            </w:r>
          </w:p>
        </w:tc>
        <w:tc>
          <w:tcPr>
            <w:tcW w:w="1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2.8</w:t>
            </w:r>
          </w:p>
        </w:tc>
        <w:tc>
          <w:tcPr>
            <w:tcW w:w="1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Bitfarms earned the majority of its revenues from its Canadian and US-based operations in YTD Q2 2023, which accounted for 76% and 13% of total revenues, respectively, compared to 77% and 21% in YTD Q2 2022, respectively. The impact of the increase in network difficulty and the decrease in average BTC price was partially offset by the average hashrate increase of 1.4 EH/s, or 67%, for the Canadian operations, resulting in revenues decreasing by $13.1 million in Canada and $8.9 million in the USA during YTD Q2 2023 as compared to YTD Q2 2022. The Argentina and Paraguay operations accounted for 6% and 5% of total revenues, respectively, compared to nil and 2% in YTD Q2 2022, respectively. The hashrate increase of the Argentina and Paraguay operations of 0.3 EH/s, or 100%, and 0.1 EH/s, or 100%, respectively, resulted in YTD Q2 2023 revenues increasing by $4.1 million and $1.3 million, respectively compared to YTD Q2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16 Page</w:t>
      </w:r>
    </w:p>
    <w:p>
      <w:pPr>
        <w:sectPr>
          <w:pgSz w:w="11900" w:h="16838" w:orient="portrait"/>
          <w:cols w:equalWidth="0" w:num="1">
            <w:col w:w="11240"/>
          </w:cols>
          <w:pgMar w:left="320" w:top="90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B.</w:t>
            </w:r>
          </w:p>
        </w:tc>
        <w:tc>
          <w:tcPr>
            <w:tcW w:w="2960" w:type="dxa"/>
            <w:vAlign w:val="bottom"/>
          </w:tcPr>
          <w:p>
            <w:pPr>
              <w:ind w:left="240"/>
              <w:spacing w:after="0"/>
              <w:rPr>
                <w:sz w:val="20"/>
                <w:szCs w:val="20"/>
                <w:color w:val="auto"/>
              </w:rPr>
            </w:pPr>
            <w:r>
              <w:rPr>
                <w:rFonts w:ascii="Arial" w:cs="Arial" w:eastAsia="Arial" w:hAnsi="Arial"/>
                <w:sz w:val="18"/>
                <w:szCs w:val="18"/>
                <w:b w:val="1"/>
                <w:bCs w:val="1"/>
                <w:color w:val="auto"/>
              </w:rPr>
              <w:t>Cost of Revenues</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4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1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Six months ended June 30,</w:t>
            </w:r>
          </w:p>
        </w:tc>
        <w:tc>
          <w:tcPr>
            <w:tcW w:w="960" w:type="dxa"/>
            <w:vAlign w:val="bottom"/>
            <w:tcBorders>
              <w:bottom w:val="single" w:sz="8" w:color="auto"/>
            </w:tcBorders>
          </w:tcPr>
          <w:p>
            <w:pPr>
              <w:spacing w:after="0"/>
              <w:rPr>
                <w:sz w:val="24"/>
                <w:szCs w:val="24"/>
                <w:color w:val="auto"/>
              </w:rPr>
            </w:pPr>
          </w:p>
        </w:tc>
      </w:tr>
      <w:tr>
        <w:trPr>
          <w:trHeight w:val="210"/>
        </w:trPr>
        <w:tc>
          <w:tcPr>
            <w:tcW w:w="3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(U.S.$ in thousands except where indicated)</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Change</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5"/>
              </w:rPr>
              <w:t>% Change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2"/>
              </w:rPr>
              <w:t>% Change</w:t>
            </w:r>
          </w:p>
        </w:tc>
      </w:tr>
      <w:tr>
        <w:trPr>
          <w:trHeight w:val="209"/>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and infrastructure</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19,916</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13,891</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6,025</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36,943</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23,481</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13,462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20,528</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17,857</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2,671</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41,228</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30,923</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10,305</w:t>
            </w: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electrical components</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620</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257</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363</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940</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564</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Electrician salaries and payroll taxes</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455</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306</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149</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811</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635</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17"/>
        </w:trPr>
        <w:tc>
          <w:tcPr>
            <w:tcW w:w="42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41,519</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32,311</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9,208</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79,922</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55,603</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24,319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Q2 2023 v. Q2 2022</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Bitfarms’ cost of revenues for Q2 2023 was $41.5 million, compared to $32.3 million for Q2 2022. The increase in cost of revenues was mainly attributable to:</w:t>
      </w:r>
    </w:p>
    <w:p>
      <w:pPr>
        <w:spacing w:after="0" w:line="1" w:lineRule="exact"/>
        <w:rPr>
          <w:sz w:val="20"/>
          <w:szCs w:val="20"/>
          <w:color w:val="auto"/>
        </w:rPr>
      </w:pPr>
    </w:p>
    <w:p>
      <w:pPr>
        <w:jc w:val="both"/>
        <w:ind w:left="260" w:hanging="252"/>
        <w:spacing w:after="0" w:line="250" w:lineRule="auto"/>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$6.0 million, or 43%, increase in energy and infrastructure expenses, mainly due to the Company adding new Miners, which increased energy utilization to an average of 186 MW during Q2 2023 versus 131 MW for the same period in 2022, and higher energy rates in 2023, resulting in an increase in electricity costs of $6.8 million. The availability and pricing of energy may be negatively affected by governmental or regulatory changes in energy policies in the countries, provinces and states where the Company operates.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$2.6 million increase in non-cash depreciation expense as the Company added new Miners and electrical infrastructure.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partially offset by:</w:t>
      </w:r>
    </w:p>
    <w:p>
      <w:pPr>
        <w:spacing w:after="0" w:line="23"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decrease in rent expense of $0.4 million mainly due to the capitalization of the leased Washington facility which was renewed in Q4 2022.</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decrease in repairs and maintenance of $0.3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YTD Q2 2023 v. YTD Q2 2022</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Bitfarms’ cost of revenues was $79.9 million for YTD Q2 2023, compared to $55.6 million for YTD Q2 2022. The increase in cost of revenues was mainly due to:</w:t>
      </w:r>
    </w:p>
    <w:p>
      <w:pPr>
        <w:spacing w:after="0" w:line="1" w:lineRule="exact"/>
        <w:rPr>
          <w:sz w:val="20"/>
          <w:szCs w:val="20"/>
          <w:color w:val="auto"/>
        </w:rPr>
      </w:pPr>
    </w:p>
    <w:p>
      <w:pPr>
        <w:jc w:val="both"/>
        <w:ind w:left="260" w:hanging="252"/>
        <w:spacing w:after="0" w:line="250" w:lineRule="auto"/>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$13.5 million, or 57%, increase in energy and infrastructure expenses, mainly due to the Company adding new Miners and upgrading its fleet, which increased energy utilization to an average of 178 MW during YTD Q2 2023, compared to 113 MW for the same period in 2022, resulting in an increase in electricity costs of $14.6 million.</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$10.3 million increase in non-cash depreciation expense as the Company added new Miners and electrical infrastructure.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partially offset by:</w:t>
      </w:r>
    </w:p>
    <w:p>
      <w:pPr>
        <w:spacing w:after="0" w:line="23"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decrease in rent expense of $0.6 million mainly due to the capitalization of the leased Washington facility which was renewed in Q4 2022.</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decrease in repairs and maintenance of $0.5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17 Page</w:t>
      </w:r>
    </w:p>
    <w:p>
      <w:pPr>
        <w:sectPr>
          <w:pgSz w:w="11900" w:h="16838" w:orient="portrait"/>
          <w:cols w:equalWidth="0" w:num="1">
            <w:col w:w="11240"/>
          </w:cols>
          <w:pgMar w:left="320" w:top="90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General &amp; Administrative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Three months ended June 30,</w:t>
            </w:r>
          </w:p>
        </w:tc>
        <w:tc>
          <w:tcPr>
            <w:tcW w:w="7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Six months ended June 30,</w:t>
            </w:r>
          </w:p>
        </w:tc>
        <w:tc>
          <w:tcPr>
            <w:tcW w:w="1020" w:type="dxa"/>
            <w:vAlign w:val="bottom"/>
            <w:tcBorders>
              <w:bottom w:val="single" w:sz="8" w:color="auto"/>
            </w:tcBorders>
          </w:tcPr>
          <w:p>
            <w:pPr>
              <w:spacing w:after="0"/>
              <w:rPr>
                <w:sz w:val="20"/>
                <w:szCs w:val="20"/>
                <w:color w:val="auto"/>
              </w:rPr>
            </w:pPr>
          </w:p>
        </w:tc>
      </w:tr>
      <w:tr>
        <w:trPr>
          <w:trHeight w:val="209"/>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(U.S.$ in thousands except where indicated)</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Change</w:t>
            </w: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7"/>
              </w:rPr>
              <w:t>% Change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 Change</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Salaries and share-based payment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5,040</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9,891</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(4,851)</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10,197</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17,551</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(7,354)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Professional services</w:t>
            </w: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rPr>
              <w:t>1,652</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2,501</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(849)</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3,530</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4,624</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(1,094)</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Insurance, duties and other</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1,938</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2,394</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2,912</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5,959</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(3,047)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Travel, motor vehicle and meals</w:t>
            </w: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rPr>
              <w:t>205</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346</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661</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(278)</w:t>
            </w: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Hosting and telecommunications</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114</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191</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321</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Advertising and promotion</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206</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137</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119</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3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9,155</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15,392</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(6,237)</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17,515</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29,235</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(11,720)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Q2 2023 v. Q2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Bitfarms’ general and administrative (“G&amp;A”) expenses were $9.2 million in Q2 2023, compared to $15.4 million for Q2 2022. The decrease of $6.2 million, or 40%, in G&amp;A expense was largely due to:</w:t>
      </w:r>
    </w:p>
    <w:p>
      <w:pPr>
        <w:spacing w:after="0" w:line="170" w:lineRule="exact"/>
        <w:rPr>
          <w:sz w:val="20"/>
          <w:szCs w:val="20"/>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$5.4 million decrease in non-cash share-based payment expense in connection with:</w:t>
      </w:r>
    </w:p>
    <w:p>
      <w:pPr>
        <w:spacing w:after="0" w:line="23" w:lineRule="exact"/>
        <w:rPr>
          <w:rFonts w:ascii="Arial" w:cs="Arial" w:eastAsia="Arial" w:hAnsi="Arial"/>
          <w:sz w:val="18"/>
          <w:szCs w:val="18"/>
          <w:color w:val="auto"/>
        </w:rPr>
      </w:pPr>
    </w:p>
    <w:p>
      <w:pPr>
        <w:jc w:val="both"/>
        <w:ind w:left="900" w:hanging="244"/>
        <w:spacing w:after="0" w:line="250"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Stock options granted in 2021 with fair values between $3.16 to $5.97 had a higher share-based payment expense in Q2 2022 than Q2 2023. As the majority of these 2021 stock options were fully vested or cancelled at the end of Q1 2023, as explained below, the Company did not incur an expense for these options in Q2 2023, compared to the graded vesting expense in Q2 2022.</w:t>
      </w:r>
    </w:p>
    <w:p>
      <w:pPr>
        <w:spacing w:after="0" w:line="1" w:lineRule="exact"/>
        <w:rPr>
          <w:rFonts w:ascii="Arial" w:cs="Arial" w:eastAsia="Arial" w:hAnsi="Arial"/>
          <w:sz w:val="18"/>
          <w:szCs w:val="18"/>
          <w:color w:val="auto"/>
        </w:rPr>
      </w:pPr>
    </w:p>
    <w:p>
      <w:pPr>
        <w:jc w:val="both"/>
        <w:ind w:left="900" w:hanging="244"/>
        <w:spacing w:after="0" w:line="265" w:lineRule="auto"/>
        <w:tabs>
          <w:tab w:leader="none" w:pos="900" w:val="left"/>
        </w:tabs>
        <w:numPr>
          <w:ilvl w:val="1"/>
          <w:numId w:val="61"/>
        </w:numPr>
        <w:rPr>
          <w:rFonts w:ascii="Arial" w:cs="Arial" w:eastAsia="Arial" w:hAnsi="Arial"/>
          <w:sz w:val="17"/>
          <w:szCs w:val="17"/>
          <w:color w:val="auto"/>
        </w:rPr>
      </w:pPr>
      <w:r>
        <w:rPr>
          <w:rFonts w:ascii="Arial" w:cs="Arial" w:eastAsia="Arial" w:hAnsi="Arial"/>
          <w:sz w:val="17"/>
          <w:szCs w:val="17"/>
          <w:color w:val="auto"/>
        </w:rPr>
        <w:t>During Q2 2023, 8,471,000 stock options were granted with a fair value of $0.89, compared to 5,402,000 stock options granted in Q2 2022 with the majority having a fair value of $1.21. The higher number of stock options granted in Q2 2023 with a lower fair value had a similar share-based payment expense to the lower number of stock options granted in Q2 2022 with a higher fair value.</w:t>
      </w:r>
    </w:p>
    <w:p>
      <w:pPr>
        <w:ind w:left="260" w:hanging="252"/>
        <w:spacing w:after="0" w:line="250" w:lineRule="auto"/>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$0.5 million decrease in the Company’s insurance, duties and other expense mostly due to the lower premiums reflecting lower asset values, particularly Miners, due to general market conditions partially offset by a larger number of Miners.</w:t>
      </w:r>
    </w:p>
    <w:p>
      <w:pPr>
        <w:ind w:left="260" w:hanging="252"/>
        <w:spacing w:after="0" w:line="260" w:lineRule="auto"/>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$0.8 million decrease in professional fees mainly due to the termination of consulting agreements with two directors in the fourth quarter of 2022 and the previous owner of the Mining facility in Washington State in first quarter of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260" w:hanging="252"/>
        <w:spacing w:after="0" w:line="260" w:lineRule="auto"/>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$0.5 million increase in salaries and wage due to the increase in the Company’s headcount in Q2 2023 compared to Q2 2022 to support the global project expansions as well as merit, market-based adjustments and cost of living salary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18 Page</w:t>
      </w:r>
    </w:p>
    <w:p>
      <w:pPr>
        <w:sectPr>
          <w:pgSz w:w="11900" w:h="16838" w:orient="portrait"/>
          <w:cols w:equalWidth="0" w:num="1">
            <w:col w:w="11240"/>
          </w:cols>
          <w:pgMar w:left="320" w:top="90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&amp; Administrative Expenses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YTD Q2 2023 v. YTD Q2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YTD Q2 2023, Bitfarms’ G&amp;A expenses were $17.5 million, compared to $29.2 million for the same period in 2022. The decrease of $11.7 million, or 40%, in G&amp;A expenses was mainly due to:</w:t>
      </w:r>
    </w:p>
    <w:p>
      <w:pPr>
        <w:spacing w:after="0" w:line="170"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$9.0 million decrease in non-cash share-based payment expense in connection with:</w:t>
      </w:r>
    </w:p>
    <w:p>
      <w:pPr>
        <w:spacing w:after="0" w:line="23" w:lineRule="exact"/>
        <w:rPr>
          <w:rFonts w:ascii="Arial" w:cs="Arial" w:eastAsia="Arial" w:hAnsi="Arial"/>
          <w:sz w:val="18"/>
          <w:szCs w:val="18"/>
          <w:color w:val="auto"/>
        </w:rPr>
      </w:pPr>
    </w:p>
    <w:p>
      <w:pPr>
        <w:ind w:left="900" w:hanging="244"/>
        <w:spacing w:after="0" w:line="265" w:lineRule="auto"/>
        <w:tabs>
          <w:tab w:leader="none" w:pos="900" w:val="left"/>
        </w:tabs>
        <w:numPr>
          <w:ilvl w:val="1"/>
          <w:numId w:val="64"/>
        </w:numPr>
        <w:rPr>
          <w:rFonts w:ascii="Arial" w:cs="Arial" w:eastAsia="Arial" w:hAnsi="Arial"/>
          <w:sz w:val="17"/>
          <w:szCs w:val="17"/>
          <w:b w:val="1"/>
          <w:bCs w:val="1"/>
          <w:color w:val="auto"/>
        </w:rPr>
      </w:pPr>
      <w:r>
        <w:rPr>
          <w:rFonts w:ascii="Arial" w:cs="Arial" w:eastAsia="Arial" w:hAnsi="Arial"/>
          <w:sz w:val="17"/>
          <w:szCs w:val="17"/>
          <w:color w:val="auto"/>
        </w:rPr>
        <w:t>Stock options granted in 2021 with fair values between $3.16 to $5.97 had a higher share-based payment expense in YTD Q2 2022 than YTD Q2 2023 due to the graded vesting method, which resulted in an accelerated recognition of share-based expense in earlier periods.</w:t>
      </w:r>
    </w:p>
    <w:p>
      <w:pPr>
        <w:jc w:val="both"/>
        <w:ind w:left="900" w:hanging="244"/>
        <w:spacing w:after="0" w:line="250" w:lineRule="auto"/>
        <w:tabs>
          <w:tab w:leader="none" w:pos="90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The majority of those 2021 stock options were fully vested or cancelled at the end of the first quarter of 2023 which resulted in accelerated share-based payment expense of $0.9 million during YTD Q2 2023. Refer to Note 19 to the Financial Statements for more details. The Company did not incur the share-based payment expense for those cancelled options in the second half of the YTD Q2 2023, compared to the graded vesting expense in YTD Q2 2022.</w:t>
      </w:r>
    </w:p>
    <w:p>
      <w:pPr>
        <w:spacing w:after="0" w:line="1" w:lineRule="exact"/>
        <w:rPr>
          <w:rFonts w:ascii="Arial" w:cs="Arial" w:eastAsia="Arial" w:hAnsi="Arial"/>
          <w:sz w:val="18"/>
          <w:szCs w:val="18"/>
          <w:b w:val="1"/>
          <w:bCs w:val="1"/>
          <w:color w:val="auto"/>
        </w:rPr>
      </w:pPr>
    </w:p>
    <w:p>
      <w:pPr>
        <w:ind w:left="260" w:right="120" w:hanging="252"/>
        <w:spacing w:after="0" w:line="250" w:lineRule="auto"/>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inclusion of $1.8 million of shipping costs and duties in YTD Q2 2022 from transferring older generation Miners from Canada to Paraguay, which did not occur in YTD Q2 2023.</w:t>
      </w:r>
    </w:p>
    <w:p>
      <w:pPr>
        <w:ind w:left="260" w:hanging="252"/>
        <w:spacing w:after="0" w:line="250" w:lineRule="auto"/>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$0.9 million decrease in the Company’s insurance expense mostly due to refunds from insurers and lower premiums reflecting lower asset values, particularly Miners, due to general market conditions partially offset by a larger number of Miners.</w:t>
      </w:r>
    </w:p>
    <w:p>
      <w:pPr>
        <w:ind w:left="260" w:hanging="252"/>
        <w:spacing w:after="0" w:line="260" w:lineRule="auto"/>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$1.1 million decrease in professional fees mainly due to the termination of consulting agreements with two directors in the fourth quarter of 2022 and the previous owner of the Mining facility in Washington State in first quarter of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260" w:hanging="252"/>
        <w:spacing w:after="0" w:line="260" w:lineRule="auto"/>
        <w:tabs>
          <w:tab w:leader="none" w:pos="2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A $1.6 million increase in salaries and wage as a result of hiring additional employees in YTD Q2 2023 compared to YTD Q2 2022 to support the global project expansions as well as merit, market-based adjustments and cost of living salary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19 Page</w:t>
      </w:r>
    </w:p>
    <w:p>
      <w:pPr>
        <w:sectPr>
          <w:pgSz w:w="11900" w:h="16838" w:orient="portrait"/>
          <w:cols w:equalWidth="0" w:num="1">
            <w:col w:w="11240"/>
          </w:cols>
          <w:pgMar w:left="320" w:top="90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rPr>
              <w:t>D.</w:t>
            </w:r>
          </w:p>
        </w:tc>
        <w:tc>
          <w:tcPr>
            <w:tcW w:w="2820" w:type="dxa"/>
            <w:vAlign w:val="bottom"/>
          </w:tcPr>
          <w:p>
            <w:pPr>
              <w:ind w:left="100"/>
              <w:spacing w:after="0"/>
              <w:rPr>
                <w:sz w:val="20"/>
                <w:szCs w:val="20"/>
                <w:color w:val="auto"/>
              </w:rPr>
            </w:pPr>
            <w:r>
              <w:rPr>
                <w:rFonts w:ascii="Arial" w:cs="Arial" w:eastAsia="Arial" w:hAnsi="Arial"/>
                <w:sz w:val="18"/>
                <w:szCs w:val="18"/>
                <w:b w:val="1"/>
                <w:bCs w:val="1"/>
                <w:color w:val="auto"/>
              </w:rPr>
              <w:t>Net financial income</w:t>
            </w:r>
          </w:p>
        </w:tc>
        <w:tc>
          <w:tcPr>
            <w:tcW w:w="3980" w:type="dxa"/>
            <w:vAlign w:val="bottom"/>
            <w:gridSpan w:val="4"/>
            <w:vMerge w:val="restart"/>
          </w:tcPr>
          <w:p>
            <w:pPr>
              <w:jc w:val="right"/>
              <w:ind w:right="1010"/>
              <w:spacing w:after="0"/>
              <w:rPr>
                <w:sz w:val="20"/>
                <w:szCs w:val="20"/>
                <w:color w:val="auto"/>
              </w:rPr>
            </w:pPr>
            <w:r>
              <w:rPr>
                <w:rFonts w:ascii="Arial" w:cs="Arial" w:eastAsia="Arial" w:hAnsi="Arial"/>
                <w:sz w:val="18"/>
                <w:szCs w:val="18"/>
                <w:b w:val="1"/>
                <w:bCs w:val="1"/>
                <w:color w:val="auto"/>
              </w:rPr>
              <w:t>Three months ended June 30,</w:t>
            </w:r>
          </w:p>
        </w:tc>
        <w:tc>
          <w:tcPr>
            <w:tcW w:w="760" w:type="dxa"/>
            <w:vAlign w:val="bottom"/>
          </w:tcPr>
          <w:p>
            <w:pPr>
              <w:spacing w:after="0"/>
              <w:rPr>
                <w:sz w:val="20"/>
                <w:szCs w:val="20"/>
                <w:color w:val="auto"/>
              </w:rPr>
            </w:pPr>
          </w:p>
        </w:tc>
        <w:tc>
          <w:tcPr>
            <w:tcW w:w="21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7"/>
              </w:rPr>
              <w:t>Six months ended June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4"/>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(U.S.$ in thousands except where indicated)</w:t>
            </w: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7"/>
              </w:rPr>
              <w:t>% Change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Change</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 Change</w:t>
            </w:r>
          </w:p>
        </w:tc>
        <w:tc>
          <w:tcPr>
            <w:tcW w:w="0" w:type="dxa"/>
            <w:vAlign w:val="bottom"/>
          </w:tcPr>
          <w:p>
            <w:pPr>
              <w:spacing w:after="0"/>
              <w:rPr>
                <w:sz w:val="1"/>
                <w:szCs w:val="1"/>
                <w:color w:val="auto"/>
              </w:rPr>
            </w:pPr>
          </w:p>
        </w:tc>
      </w:tr>
      <w:tr>
        <w:trPr>
          <w:trHeight w:val="209"/>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Gain on disposition of marketable securities</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(4,955)</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(19,705)</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14,750</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(7,126)</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(30,642)</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23,516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2"/>
        </w:trPr>
        <w:tc>
          <w:tcPr>
            <w:tcW w:w="3380" w:type="dxa"/>
            <w:vAlign w:val="bottom"/>
            <w:gridSpan w:val="2"/>
          </w:tcPr>
          <w:p>
            <w:pPr>
              <w:spacing w:after="0" w:line="201" w:lineRule="exact"/>
              <w:rPr>
                <w:sz w:val="20"/>
                <w:szCs w:val="20"/>
                <w:color w:val="auto"/>
              </w:rPr>
            </w:pPr>
            <w:r>
              <w:rPr>
                <w:rFonts w:ascii="Arial" w:cs="Arial" w:eastAsia="Arial" w:hAnsi="Arial"/>
                <w:sz w:val="18"/>
                <w:szCs w:val="18"/>
                <w:color w:val="auto"/>
              </w:rPr>
              <w:t>Gain on extinguishment of long-term debt</w:t>
            </w:r>
          </w:p>
        </w:tc>
        <w:tc>
          <w:tcPr>
            <w:tcW w:w="8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(12,835)</w:t>
            </w: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and lease liabilities</w:t>
            </w:r>
          </w:p>
        </w:tc>
        <w:tc>
          <w:tcPr>
            <w:tcW w:w="880" w:type="dxa"/>
            <w:vAlign w:val="bottom"/>
            <w:vMerge w:val="continue"/>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760" w:type="dxa"/>
            <w:vAlign w:val="bottom"/>
            <w:vMerge w:val="continue"/>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(12,835)</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currency exchange</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2,719</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1,018</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1,701</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2,989</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1,876</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3380" w:type="dxa"/>
            <w:vAlign w:val="bottom"/>
            <w:gridSpan w:val="2"/>
          </w:tcPr>
          <w:p>
            <w:pPr>
              <w:spacing w:after="0" w:line="201" w:lineRule="exact"/>
              <w:rPr>
                <w:sz w:val="20"/>
                <w:szCs w:val="20"/>
                <w:color w:val="auto"/>
              </w:rPr>
            </w:pPr>
            <w:r>
              <w:rPr>
                <w:rFonts w:ascii="Arial" w:cs="Arial" w:eastAsia="Arial" w:hAnsi="Arial"/>
                <w:sz w:val="18"/>
                <w:szCs w:val="18"/>
                <w:color w:val="auto"/>
              </w:rPr>
              <w:t>Interest on credit facility and long-term</w:t>
            </w:r>
          </w:p>
        </w:tc>
        <w:tc>
          <w:tcPr>
            <w:tcW w:w="8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673</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1,924</w:t>
            </w: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Pr>
          <w:p>
            <w:pPr>
              <w:ind w:left="180"/>
              <w:spacing w:after="0"/>
              <w:rPr>
                <w:sz w:val="20"/>
                <w:szCs w:val="20"/>
                <w:color w:val="auto"/>
              </w:rPr>
            </w:pPr>
            <w:r>
              <w:rPr>
                <w:rFonts w:ascii="Arial" w:cs="Arial" w:eastAsia="Arial" w:hAnsi="Arial"/>
                <w:sz w:val="18"/>
                <w:szCs w:val="18"/>
                <w:color w:val="auto"/>
              </w:rPr>
              <w:t>debt</w:t>
            </w:r>
          </w:p>
        </w:tc>
        <w:tc>
          <w:tcPr>
            <w:tcW w:w="28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4,191</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(3,518)</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(84)%</w:t>
            </w:r>
          </w:p>
        </w:tc>
        <w:tc>
          <w:tcPr>
            <w:tcW w:w="760" w:type="dxa"/>
            <w:vAlign w:val="bottom"/>
            <w:vMerge w:val="continue"/>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6,896</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(4,972)</w:t>
            </w: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350</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355</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719</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660</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Discount expense on VAT receivable</w:t>
            </w: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693</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2,091</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(1,398)</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1,702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5,010</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(3,308)</w:t>
            </w: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 financial (income) expenses</w:t>
            </w:r>
          </w:p>
        </w:tc>
        <w:tc>
          <w:tcPr>
            <w:tcW w:w="8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338</w:t>
            </w: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193</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145</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260</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5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(182)</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(11,857)</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11,675</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(12,370)</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(15,940)</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3,570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2"/>
        </w:trPr>
        <w:tc>
          <w:tcPr>
            <w:tcW w:w="3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Q2 2023 v. Q2 2022</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Bitfarms’ net financial income was $0.2 million for Q2 2023, compared to $11.9 million for Q2 2022. The $11.7 million decrease was primarily related to:</w:t>
      </w:r>
    </w:p>
    <w:p>
      <w:pPr>
        <w:spacing w:after="0" w:line="248" w:lineRule="exact"/>
        <w:rPr>
          <w:sz w:val="20"/>
          <w:szCs w:val="20"/>
          <w:color w:val="auto"/>
        </w:rPr>
      </w:pPr>
    </w:p>
    <w:p>
      <w:pPr>
        <w:jc w:val="both"/>
        <w:ind w:left="260" w:hanging="252"/>
        <w:spacing w:after="0" w:line="268" w:lineRule="auto"/>
        <w:tabs>
          <w:tab w:leader="none" w:pos="2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$14.7 million decrease in gain on disposition of marketable securities related to the mechanism used to fund the Argentina Expansion that began in Q3 2021. The Company has been funding its expansion in Argentina through the acquisition of marketable securities and in-kind contribution of these securities to its wholly-owned Argentinian subsidiary that it controls. The subsequent disposition of these marketable securities in exchange for Argentine Pesos gave rise to a gain as the equivalent amount received in Argentine Pesos exceeded the amount of Argentine Pesos the Company would have received from a direct foreign currency exchange. The decrease was due to less funds being sent to Argentina in Q2 2023 compared to Q2 2022 as the capital expenditures related to the first 50 MW facility were mostly paid in 2022.</w:t>
      </w:r>
    </w:p>
    <w:p>
      <w:pPr>
        <w:ind w:left="260" w:hanging="252"/>
        <w:spacing w:after="0" w:line="290" w:lineRule="auto"/>
        <w:tabs>
          <w:tab w:leader="none" w:pos="2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$1.7 million increase in loss on currency exchange due to the revaluation of our net monetary liabilities denominated in foreign currencies following the weakening of the U.S. dollar at the end of Q2 2023, compared to the strengthening of the U.S. dollar at the end of Q2 2022.</w:t>
      </w:r>
    </w:p>
    <w:p>
      <w:pPr>
        <w:spacing w:after="0" w:line="161"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These decreases were partially offset by:</w:t>
      </w:r>
    </w:p>
    <w:p>
      <w:pPr>
        <w:spacing w:after="0" w:line="23" w:lineRule="exact"/>
        <w:rPr>
          <w:rFonts w:ascii="Arial" w:cs="Arial" w:eastAsia="Arial" w:hAnsi="Arial"/>
          <w:sz w:val="17"/>
          <w:szCs w:val="17"/>
          <w:color w:val="auto"/>
        </w:rPr>
      </w:pPr>
    </w:p>
    <w:p>
      <w:pPr>
        <w:jc w:val="both"/>
        <w:ind w:left="260" w:hanging="252"/>
        <w:spacing w:after="0" w:line="250" w:lineRule="auto"/>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$3.5 million decrease in interest expense on (i) the $100 million credit facility which commenced on December 30, 2021 and was fully repaid and extinguished in December 2022, (ii) the BlockFi Loan which commenced on February 18, 2022 and was extinguished in February 2023 as described below and (iii) the NYDIG Loan which commenced on June 15, 2022. The NYDIG Loan was classified as long-term debt in the statements of financial position.</w:t>
      </w:r>
    </w:p>
    <w:p>
      <w:pPr>
        <w:spacing w:after="0" w:line="1" w:lineRule="exact"/>
        <w:rPr>
          <w:rFonts w:ascii="Arial" w:cs="Arial" w:eastAsia="Arial" w:hAnsi="Arial"/>
          <w:sz w:val="18"/>
          <w:szCs w:val="18"/>
          <w:color w:val="auto"/>
        </w:rPr>
      </w:pPr>
    </w:p>
    <w:p>
      <w:pPr>
        <w:jc w:val="both"/>
        <w:ind w:left="260" w:hanging="252"/>
        <w:spacing w:after="0" w:line="273" w:lineRule="auto"/>
        <w:tabs>
          <w:tab w:leader="none" w:pos="2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discounting expense on the Argentina VAT receivable of $2.1 million during Q2 2022 relates to the country’s historically high rate of inflation and expected length of time before the VAT receivable is refunded and reflects the accounting under the effective interest rate method. During Q2 2023, new additions to the VAT receivable were discounted, which had a lesser balance than the amount discounted in Q2 2022, resulting in lesser expense in Q2 2023. The discounting expense was partially offset by increasing accretion income from the passage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20 Page</w:t>
      </w:r>
    </w:p>
    <w:p>
      <w:pPr>
        <w:sectPr>
          <w:pgSz w:w="11900" w:h="16838" w:orient="portrait"/>
          <w:cols w:equalWidth="0" w:num="1">
            <w:col w:w="11240"/>
          </w:cols>
          <w:pgMar w:left="320" w:top="90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financial income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YTD Q2 2023 v. YTD Q2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Bitfarms’ net financial income for YTD Q2 2023 was $12.4 million, compared to $15.9 million for YTD Q2 2022. The $3.5 million decrease was mainly due to:</w:t>
      </w:r>
    </w:p>
    <w:p>
      <w:pPr>
        <w:spacing w:after="0" w:line="170" w:lineRule="exact"/>
        <w:rPr>
          <w:sz w:val="20"/>
          <w:szCs w:val="20"/>
          <w:color w:val="auto"/>
        </w:rPr>
      </w:pPr>
    </w:p>
    <w:p>
      <w:pPr>
        <w:ind w:left="260" w:hanging="252"/>
        <w:spacing w:after="0" w:line="342" w:lineRule="auto"/>
        <w:tabs>
          <w:tab w:leader="none" w:pos="2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$23.5 million decrease in gain on disposition of marketable securities related to the mechanism used to fund the Argentina Expansion as explained in the Q2 2023 v. Q2 2022 section above. The decrease was due to less funds being sent to Argentina during YTD Q2 2023 compared to YTD Q2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partially offset by:</w:t>
      </w:r>
    </w:p>
    <w:p>
      <w:pPr>
        <w:spacing w:after="0" w:line="225" w:lineRule="exact"/>
        <w:rPr>
          <w:sz w:val="20"/>
          <w:szCs w:val="20"/>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$12.8 million gain on extinguishment of long-term debt and lease liabilities during YTD Q2 2023. In February 2023:</w:t>
      </w:r>
    </w:p>
    <w:p>
      <w:pPr>
        <w:spacing w:after="0" w:line="23" w:lineRule="exact"/>
        <w:rPr>
          <w:rFonts w:ascii="Arial" w:cs="Arial" w:eastAsia="Arial" w:hAnsi="Arial"/>
          <w:sz w:val="18"/>
          <w:szCs w:val="18"/>
          <w:color w:val="auto"/>
        </w:rPr>
      </w:pPr>
    </w:p>
    <w:p>
      <w:pPr>
        <w:ind w:left="900" w:hanging="244"/>
        <w:spacing w:after="0" w:line="250"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BlockFi and the Company negotiated a settlement of the loan in its entirety for cash consideration of $7.8 million, resulting in a gain on extinguishment of long-term debt of $12.6 million; and</w:t>
      </w:r>
    </w:p>
    <w:p>
      <w:pPr>
        <w:jc w:val="both"/>
        <w:ind w:left="900" w:hanging="244"/>
        <w:spacing w:after="0" w:line="250"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Company negotiated a modification to its lease agreement with Reliz Ltd. (where BlockFi was the lender to Reliz Ltd.) in order to settle its outstanding lease liability of $0.4 million for a payment of $0.1 million. As a result, a gain on extinguishment of lease liabilities was recognized in the amount of $0.3 million.</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$5.0 million decrease in interest expense due to the same reasons explained in the Q2 2023 v. Q2 2022 section above.</w:t>
      </w:r>
    </w:p>
    <w:p>
      <w:pPr>
        <w:spacing w:after="0" w:line="9" w:lineRule="exact"/>
        <w:rPr>
          <w:rFonts w:ascii="Arial" w:cs="Arial" w:eastAsia="Arial" w:hAnsi="Arial"/>
          <w:sz w:val="18"/>
          <w:szCs w:val="18"/>
          <w:color w:val="auto"/>
        </w:rPr>
      </w:pPr>
    </w:p>
    <w:p>
      <w:pPr>
        <w:ind w:left="260" w:hanging="252"/>
        <w:spacing w:after="0" w:line="260" w:lineRule="auto"/>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decrease in discounting expense on the Argentina VAT receivable during YTD Q2 2023 compared to YTD Q2 2022 due to the same reason explained in the Q2 2023 v. Q2 2022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21 Page</w:t>
      </w:r>
    </w:p>
    <w:p>
      <w:pPr>
        <w:sectPr>
          <w:pgSz w:w="11900" w:h="16838" w:orient="portrait"/>
          <w:cols w:equalWidth="0" w:num="1">
            <w:col w:w="11240"/>
          </w:cols>
          <w:pgMar w:left="320" w:top="90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FINANCIAL PERFORMANCE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impairment loss on short-term prepaid deposits and property, plant and equipment for the three and six months ended June 30, 2023 was $10.0 million (three and six months ended June 30, 2022: nil).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on short-term prepaid deposits during the second quarter of 2023</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2022, the Company entered into agreements with external brokers to be able to proceed with the importation of its miners into Argentina. Under the agreements, the Company was required to make advance deposits to the external brokers, which were classified as short-term prepaid deposits on the consolidated statements of financial position.</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2022, the Argentinian government had changed the importations system previously in place and imposed additional controls on importations into Argentina as a way of limiting the outflow of U.S. dollars from the country. In the first quarter of 2023, the Company was able to apply for a self-importation license based on its extended operating history in Argentina and successfully became a self-importer in Argentina to reduce the importation expenses and facilitate the importation of Miners. Accordingly, the Company terminated all pending importation agreements with the external brokers as of June 30, 2023.</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assumed the cost of terminating the importation agreements with the brokers in order to execute its new importation strategy, resulting in the Company forgoing a balance of $7.0 million of deposits. Accordingly, as of June 30, 2023, the Company impaired $7.0 million of short-term prepaid deposits. This impairment is presented in the consolidated statements of profit or loss and comprehensive profit or loss under Impairment on short-term prepaid deposits and property, plant and equipment.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on mineral assets during the second quarter of 2023</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Suni mineral asset was acquired in connection with the reverse acquisition of Bitfarms Ltd (Israel) on April 12, 2018 and its value, at the time, was estimated at $9.0 million based on an independent appraiser’s valuation report. Suni is an iron ore deposit located in Canada that was held by the acquiree. Since its acquisition, following the presence of impairment indicators, the Suni mineral asset was written down to a net book value of $3.0 million as of December 31, 2022.</w:t>
      </w:r>
    </w:p>
    <w:p>
      <w:pPr>
        <w:spacing w:after="0" w:line="19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three months ended June 30, 2023, management planned to dispose of the Suni mineral asset, and as a result, tested the cash-generating unit for impairment, resulting in a further impairment charge of $3.0 million, bringing the carrying amount to nil. This impairment is presented in the consolidated statements of profit or loss and comprehensive profit or loss under Impairment on short-term prepaid deposits and property, plant and equipment.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Subsequent to June 30, 2023, the Company entered into a sale agreement with a third party to dispose of the Suni mineral asset for a nominal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22 Page</w:t>
      </w:r>
    </w:p>
    <w:p>
      <w:pPr>
        <w:sectPr>
          <w:pgSz w:w="11900" w:h="16838" w:orient="portrait"/>
          <w:cols w:equalWidth="0" w:num="1">
            <w:col w:w="11240"/>
          </w:cols>
          <w:pgMar w:left="320" w:top="90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SELECTED QUARTERLY INFORMATION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Q2 2023</w:t>
            </w: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Q1</w:t>
            </w:r>
          </w:p>
        </w:tc>
        <w:tc>
          <w:tcPr>
            <w:tcW w:w="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Q4</w:t>
            </w: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Q3</w:t>
            </w: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Q2</w:t>
            </w: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Q1</w:t>
            </w: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Q4</w:t>
            </w: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Q3</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(U.S. $ in thousands except earnings per share)</w:t>
            </w:r>
          </w:p>
        </w:tc>
        <w:tc>
          <w:tcPr>
            <w:tcW w:w="10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2022</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2022</w:t>
            </w: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35,479</w:t>
            </w: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30,050</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27,037</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33,247</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41,815</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40,329</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59,598</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44,774</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(loss) income</w:t>
            </w: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(24,894)</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(2,479)</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(16,843)</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(84,808)</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w w:val="95"/>
              </w:rPr>
              <w:t>(141,918)</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4,519</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9,677</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23,733</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net (loss) earnings per share</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(0.10)</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(0.01)</w:t>
            </w: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(0.08)</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(0.40)</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(0.70)</w:t>
            </w:r>
          </w:p>
        </w:tc>
        <w:tc>
          <w:tcPr>
            <w:tcW w:w="9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0.02</w:t>
            </w:r>
          </w:p>
        </w:tc>
        <w:tc>
          <w:tcPr>
            <w:tcW w:w="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0.05</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 before income taxes</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(24,988)</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(2,809)</w:t>
            </w: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(16,652)</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(89,533)</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5"/>
              </w:rPr>
              <w:t>(161,234)</w:t>
            </w:r>
          </w:p>
        </w:tc>
        <w:tc>
          <w:tcPr>
            <w:tcW w:w="9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10,957</w:t>
            </w:r>
          </w:p>
        </w:tc>
        <w:tc>
          <w:tcPr>
            <w:tcW w:w="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17,937</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34,706</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Arial" w:cs="Arial" w:eastAsia="Arial" w:hAnsi="Arial"/>
                <w:sz w:val="18"/>
                <w:szCs w:val="18"/>
                <w:color w:val="auto"/>
              </w:rPr>
              <w:t>Interest expense</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1,023</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1,620</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3,271</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3,394</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4,546</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3,010</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837</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20,528</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20,700</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20,777</w:t>
            </w: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20,720</w:t>
            </w:r>
          </w:p>
        </w:tc>
        <w:tc>
          <w:tcPr>
            <w:tcW w:w="10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17,857</w:t>
            </w:r>
          </w:p>
        </w:tc>
        <w:tc>
          <w:tcPr>
            <w:tcW w:w="9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13,066</w:t>
            </w:r>
          </w:p>
        </w:tc>
        <w:tc>
          <w:tcPr>
            <w:tcW w:w="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10,287</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6,261</w:t>
            </w:r>
          </w:p>
        </w:tc>
        <w:tc>
          <w:tcPr>
            <w:tcW w:w="0" w:type="dxa"/>
            <w:vAlign w:val="bottom"/>
          </w:tcPr>
          <w:p>
            <w:pPr>
              <w:spacing w:after="0"/>
              <w:rPr>
                <w:sz w:val="1"/>
                <w:szCs w:val="1"/>
                <w:color w:val="auto"/>
              </w:rPr>
            </w:pPr>
          </w:p>
        </w:tc>
      </w:tr>
      <w:tr>
        <w:trPr>
          <w:trHeight w:val="209"/>
        </w:trPr>
        <w:tc>
          <w:tcPr>
            <w:tcW w:w="38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(3,437)</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19,511</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7,396</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(65,419)</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w w:val="95"/>
              </w:rPr>
              <w:t>(138,831)</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27,033</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29,061</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41,755</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EBITDA margin</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Arial" w:cs="Arial" w:eastAsia="Arial" w:hAnsi="Arial"/>
                <w:sz w:val="18"/>
                <w:szCs w:val="18"/>
                <w:color w:val="auto"/>
              </w:rPr>
              <w:t>Share-based payment</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2,462</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2,536</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3,795</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3,961</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7,927</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6,105</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10,036</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4"/>
              </w:rPr>
              <w:t>Realized (gain) loss on disposition of digital assets</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(587)</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28,567</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44,329</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77,880</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34</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137</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(Reversal of) revaluation loss on digital assets</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(2,695)</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(23,284)</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(45,655)</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70,475</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(3,702)</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3,869</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(13,893)</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Gain on extinguishment of long-term debt and lease</w:t>
            </w:r>
          </w:p>
        </w:tc>
        <w:tc>
          <w:tcPr>
            <w:tcW w:w="10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060" w:type="dxa"/>
            <w:vAlign w:val="bottom"/>
            <w:vMerge w:val="continue"/>
            <w:shd w:val="clear" w:color="auto" w:fill="CCEEFF"/>
          </w:tcPr>
          <w:p>
            <w:pPr>
              <w:spacing w:after="0"/>
              <w:rPr>
                <w:sz w:val="20"/>
                <w:szCs w:val="20"/>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(12,835)</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rPr>
              <w:t>Impairment (reversal) on short-term prepaid</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deposits, equipment and construction</w:t>
            </w: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w w:val="93"/>
              </w:rPr>
              <w:t>prepayments, property, plant and equipment and</w:t>
            </w:r>
          </w:p>
        </w:tc>
        <w:tc>
          <w:tcPr>
            <w:tcW w:w="10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9,982</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1060" w:type="dxa"/>
            <w:vAlign w:val="bottom"/>
            <w:vMerge w:val="continue"/>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(8,903)</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84,116</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1,800</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Impairment on goodwill</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17,900</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Gain on disposition of marketable securities</w:t>
            </w: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(4,955)</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(2,171)</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(7,317)</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(13,690)</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(19,705)</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(10,937)</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(3,875)</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financial expenses (income) and other</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3,620</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2,810</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1,933</w:t>
            </w: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2,683</w:t>
            </w:r>
          </w:p>
        </w:tc>
        <w:tc>
          <w:tcPr>
            <w:tcW w:w="10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4,057</w:t>
            </w:r>
          </w:p>
        </w:tc>
        <w:tc>
          <w:tcPr>
            <w:tcW w:w="9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3,765</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(552)</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7,672</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6,569</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2,187</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10,325</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19,703</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22,298</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40,476</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30,314</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the BTC Mining industry experiences volatility, it is not generally subject to seasonality or seasonal effects. Seasonal fluctuations in energy supply, however, may impact the Company’s operations. The majority of the Company’s operations during the above periods were in Quebec, where power was sourced directly from Hydro-Quebec, Hydro-Magog and Hydro-Sherbrooke. The Company also had operations in Washington State that were powered by the Grant County Power Utility District as well as operations in Paraguay that were powered by CLYFSA. In Q3 2022, the Company began operations in Argentina. The production facility in Argentina was temporarily connected to the power grid until the private power producer obtained the requisite permits to provide power to the Company in April 2023. Among other phenomena, changing weather in Quebec, Washington State, Paraguay or Argentina may impact seasonal electricity needs, and periods of extreme cold or extreme hot weather may contribute to service interruptions in cryptocurrency Mining operations. Changes to supply and/or demand of electricity may result in curtailment of electricity to the Company’s cryptocurrency Mining operations. The Company’s geographical diversification reduces the risk and extent of extreme weather and other external factors unduly affecting the Company’s overall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Q2 2023 details, refer to Section 7A - </w:t>
      </w:r>
      <w:r>
        <w:rPr>
          <w:rFonts w:ascii="Arial" w:cs="Arial" w:eastAsia="Arial" w:hAnsi="Arial"/>
          <w:sz w:val="16"/>
          <w:szCs w:val="16"/>
          <w:i w:val="1"/>
          <w:iCs w:val="1"/>
          <w:color w:val="auto"/>
        </w:rPr>
        <w:t>Financial Performance</w:t>
      </w:r>
      <w:r>
        <w:rPr>
          <w:rFonts w:ascii="Arial" w:cs="Arial" w:eastAsia="Arial" w:hAnsi="Arial"/>
          <w:sz w:val="16"/>
          <w:szCs w:val="16"/>
          <w:color w:val="auto"/>
        </w:rPr>
        <w:t xml:space="preserve"> (</w:t>
      </w:r>
      <w:r>
        <w:rPr>
          <w:rFonts w:ascii="Arial" w:cs="Arial" w:eastAsia="Arial" w:hAnsi="Arial"/>
          <w:sz w:val="16"/>
          <w:szCs w:val="16"/>
          <w:i w:val="1"/>
          <w:iCs w:val="1"/>
          <w:color w:val="auto"/>
        </w:rPr>
        <w:t>Revenues);</w:t>
      </w:r>
      <w:r>
        <w:rPr>
          <w:rFonts w:ascii="Arial" w:cs="Arial" w:eastAsia="Arial" w:hAnsi="Arial"/>
          <w:sz w:val="16"/>
          <w:szCs w:val="16"/>
          <w:color w:val="auto"/>
        </w:rPr>
        <w:t xml:space="preserve"> Section 10A - </w:t>
      </w:r>
      <w:r>
        <w:rPr>
          <w:rFonts w:ascii="Arial" w:cs="Arial" w:eastAsia="Arial" w:hAnsi="Arial"/>
          <w:sz w:val="16"/>
          <w:szCs w:val="16"/>
          <w:i w:val="1"/>
          <w:iCs w:val="1"/>
          <w:color w:val="auto"/>
        </w:rPr>
        <w:t>Liquidity and Capital Resources (Cash Flows);</w:t>
      </w:r>
      <w:r>
        <w:rPr>
          <w:rFonts w:ascii="Arial" w:cs="Arial" w:eastAsia="Arial" w:hAnsi="Arial"/>
          <w:sz w:val="16"/>
          <w:szCs w:val="16"/>
          <w:color w:val="auto"/>
        </w:rPr>
        <w:t xml:space="preserve"> and Section 6</w:t>
      </w:r>
    </w:p>
    <w:p>
      <w:pPr>
        <w:spacing w:after="0" w:line="46" w:lineRule="exact"/>
        <w:rPr>
          <w:sz w:val="20"/>
          <w:szCs w:val="20"/>
          <w:color w:val="auto"/>
        </w:rPr>
      </w:pPr>
    </w:p>
    <w:p>
      <w:pPr>
        <w:ind w:left="120" w:hanging="112"/>
        <w:spacing w:after="0"/>
        <w:tabs>
          <w:tab w:leader="none" w:pos="12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Expansion Projects </w:t>
      </w:r>
      <w:r>
        <w:rPr>
          <w:rFonts w:ascii="Arial" w:cs="Arial" w:eastAsia="Arial" w:hAnsi="Arial"/>
          <w:sz w:val="18"/>
          <w:szCs w:val="18"/>
          <w:color w:val="auto"/>
        </w:rPr>
        <w:t>(</w:t>
      </w:r>
      <w:r>
        <w:rPr>
          <w:rFonts w:ascii="Arial" w:cs="Arial" w:eastAsia="Arial" w:hAnsi="Arial"/>
          <w:sz w:val="18"/>
          <w:szCs w:val="18"/>
          <w:i w:val="1"/>
          <w:iCs w:val="1"/>
          <w:color w:val="auto"/>
        </w:rPr>
        <w:t>Washington Expansion, Paraguay Expansion, Argentina Expansion and Baie-Comeau Expansion</w:t>
      </w:r>
      <w:r>
        <w:rPr>
          <w:rFonts w:ascii="Arial" w:cs="Arial" w:eastAsia="Arial" w:hAnsi="Arial"/>
          <w:sz w:val="18"/>
          <w:szCs w:val="18"/>
          <w:color w:val="auto"/>
        </w:rPr>
        <w:t>) 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23 Page</w:t>
      </w:r>
    </w:p>
    <w:p>
      <w:pPr>
        <w:sectPr>
          <w:pgSz w:w="11900" w:h="16838" w:orient="portrait"/>
          <w:cols w:equalWidth="0" w:num="1">
            <w:col w:w="11240"/>
          </w:cols>
          <w:pgMar w:left="320" w:top="90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right="5820" w:firstLine="8"/>
        <w:spacing w:after="0" w:line="503" w:lineRule="auto"/>
        <w:tabs>
          <w:tab w:leader="none" w:pos="1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NON-IFRS AND OTHER FINANCIAL MEASURES AND RATIOS Non-IFRS financial measures</w:t>
      </w:r>
    </w:p>
    <w:p>
      <w:pPr>
        <w:jc w:val="both"/>
        <w:spacing w:after="0" w:line="263" w:lineRule="auto"/>
        <w:rPr>
          <w:sz w:val="20"/>
          <w:szCs w:val="20"/>
          <w:color w:val="auto"/>
        </w:rPr>
      </w:pPr>
      <w:r>
        <w:rPr>
          <w:rFonts w:ascii="Arial" w:cs="Arial" w:eastAsia="Arial" w:hAnsi="Arial"/>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21 - </w:t>
      </w:r>
      <w:r>
        <w:rPr>
          <w:rFonts w:ascii="Arial" w:cs="Arial" w:eastAsia="Arial" w:hAnsi="Arial"/>
          <w:sz w:val="18"/>
          <w:szCs w:val="18"/>
          <w:i w:val="1"/>
          <w:iCs w:val="1"/>
          <w:color w:val="auto"/>
        </w:rPr>
        <w:t>Cautionary Note Regarding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Non-IFRS and Other Financial Measures and Ratios </w:t>
      </w:r>
      <w:r>
        <w:rPr>
          <w:rFonts w:ascii="Arial" w:cs="Arial" w:eastAsia="Arial" w:hAnsi="Arial"/>
          <w:sz w:val="18"/>
          <w:szCs w:val="18"/>
          <w:color w:val="auto"/>
        </w:rPr>
        <w:t>of this MD&amp;A.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Measures</w:t>
            </w:r>
          </w:p>
        </w:tc>
        <w:tc>
          <w:tcPr>
            <w:tcW w:w="36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Definition</w:t>
            </w:r>
          </w:p>
        </w:tc>
        <w:tc>
          <w:tcPr>
            <w:tcW w:w="56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Purpose</w:t>
            </w:r>
          </w:p>
        </w:tc>
      </w:tr>
      <w:tr>
        <w:trPr>
          <w:trHeight w:val="195"/>
        </w:trPr>
        <w:tc>
          <w:tcPr>
            <w:tcW w:w="1900" w:type="dxa"/>
            <w:vAlign w:val="bottom"/>
          </w:tcPr>
          <w:p>
            <w:pPr>
              <w:spacing w:after="0" w:line="195" w:lineRule="exact"/>
              <w:rPr>
                <w:sz w:val="20"/>
                <w:szCs w:val="20"/>
                <w:color w:val="auto"/>
              </w:rPr>
            </w:pPr>
            <w:r>
              <w:rPr>
                <w:rFonts w:ascii="Arial" w:cs="Arial" w:eastAsia="Arial" w:hAnsi="Arial"/>
                <w:sz w:val="18"/>
                <w:szCs w:val="18"/>
                <w:b w:val="1"/>
                <w:bCs w:val="1"/>
                <w:color w:val="auto"/>
              </w:rPr>
              <w:t>Gross Mining profit</w:t>
            </w:r>
          </w:p>
        </w:tc>
        <w:tc>
          <w:tcPr>
            <w:tcW w:w="3660" w:type="dxa"/>
            <w:vAlign w:val="bottom"/>
          </w:tcPr>
          <w:p>
            <w:pPr>
              <w:ind w:left="360"/>
              <w:spacing w:after="0" w:line="195" w:lineRule="exact"/>
              <w:rPr>
                <w:sz w:val="20"/>
                <w:szCs w:val="20"/>
                <w:color w:val="auto"/>
              </w:rPr>
            </w:pPr>
            <w:r>
              <w:rPr>
                <w:rFonts w:ascii="Arial" w:cs="Arial" w:eastAsia="Arial" w:hAnsi="Arial"/>
                <w:sz w:val="18"/>
                <w:szCs w:val="18"/>
                <w:color w:val="auto"/>
              </w:rPr>
              <w:t>Gross   Profit   before:   (i)   non-Mining</w:t>
            </w:r>
          </w:p>
        </w:tc>
        <w:tc>
          <w:tcPr>
            <w:tcW w:w="34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340" w:type="dxa"/>
            <w:vAlign w:val="bottom"/>
          </w:tcPr>
          <w:p>
            <w:pPr>
              <w:jc w:val="right"/>
              <w:spacing w:after="0" w:line="195" w:lineRule="exact"/>
              <w:rPr>
                <w:sz w:val="20"/>
                <w:szCs w:val="20"/>
                <w:color w:val="auto"/>
              </w:rPr>
            </w:pPr>
            <w:r>
              <w:rPr>
                <w:rFonts w:ascii="Arial" w:cs="Arial" w:eastAsia="Arial" w:hAnsi="Arial"/>
                <w:sz w:val="18"/>
                <w:szCs w:val="18"/>
                <w:color w:val="auto"/>
                <w:w w:val="97"/>
              </w:rPr>
              <w:t>To assess profitability after power costs in cryptocurrency production</w:t>
            </w:r>
          </w:p>
        </w:tc>
      </w:tr>
      <w:tr>
        <w:trPr>
          <w:trHeight w:val="216"/>
        </w:trPr>
        <w:tc>
          <w:tcPr>
            <w:tcW w:w="190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3"/>
              </w:rPr>
              <w:t>revenues; (ii) depreciation and amortization;</w:t>
            </w:r>
          </w:p>
        </w:tc>
        <w:tc>
          <w:tcPr>
            <w:tcW w:w="340" w:type="dxa"/>
            <w:vAlign w:val="bottom"/>
          </w:tcPr>
          <w:p>
            <w:pPr>
              <w:spacing w:after="0"/>
              <w:rPr>
                <w:sz w:val="18"/>
                <w:szCs w:val="18"/>
                <w:color w:val="auto"/>
              </w:rPr>
            </w:pPr>
          </w:p>
        </w:tc>
        <w:tc>
          <w:tcPr>
            <w:tcW w:w="5340" w:type="dxa"/>
            <w:vAlign w:val="bottom"/>
          </w:tcPr>
          <w:p>
            <w:pPr>
              <w:jc w:val="right"/>
              <w:spacing w:after="0"/>
              <w:rPr>
                <w:sz w:val="20"/>
                <w:szCs w:val="20"/>
                <w:color w:val="auto"/>
              </w:rPr>
            </w:pPr>
            <w:r>
              <w:rPr>
                <w:rFonts w:ascii="Arial" w:cs="Arial" w:eastAsia="Arial" w:hAnsi="Arial"/>
                <w:sz w:val="18"/>
                <w:szCs w:val="18"/>
                <w:color w:val="auto"/>
              </w:rPr>
              <w:t>and other infrastructure costs. Power costs are the largest variable</w:t>
            </w:r>
          </w:p>
        </w:tc>
      </w:tr>
      <w:tr>
        <w:trPr>
          <w:trHeight w:val="216"/>
        </w:trPr>
        <w:tc>
          <w:tcPr>
            <w:tcW w:w="190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7"/>
              </w:rPr>
              <w:t>(iii) purchase of electrical components and</w:t>
            </w: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expense in Mining.</w:t>
            </w:r>
          </w:p>
        </w:tc>
      </w:tr>
      <w:tr>
        <w:trPr>
          <w:trHeight w:val="216"/>
        </w:trPr>
        <w:tc>
          <w:tcPr>
            <w:tcW w:w="190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4"/>
              </w:rPr>
              <w:t>other expenses; and (iv) electrician salaries</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40" w:type="dxa"/>
            <w:vAlign w:val="bottom"/>
          </w:tcPr>
          <w:p>
            <w:pPr>
              <w:jc w:val="right"/>
              <w:spacing w:after="0"/>
              <w:rPr>
                <w:sz w:val="20"/>
                <w:szCs w:val="20"/>
                <w:color w:val="auto"/>
              </w:rPr>
            </w:pPr>
            <w:r>
              <w:rPr>
                <w:rFonts w:ascii="Arial" w:cs="Arial" w:eastAsia="Arial" w:hAnsi="Arial"/>
                <w:sz w:val="18"/>
                <w:szCs w:val="18"/>
                <w:color w:val="auto"/>
              </w:rPr>
              <w:t>To provide the users of the MD&amp;A the ability to assess the gross</w:t>
            </w:r>
          </w:p>
        </w:tc>
      </w:tr>
      <w:tr>
        <w:trPr>
          <w:trHeight w:val="230"/>
        </w:trPr>
        <w:tc>
          <w:tcPr>
            <w:tcW w:w="19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and payroll taxes.</w:t>
            </w:r>
          </w:p>
        </w:tc>
        <w:tc>
          <w:tcPr>
            <w:tcW w:w="3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8"/>
              </w:rPr>
              <w:t>profitability of the Company’s core digital asset Mining operations.</w:t>
            </w:r>
          </w:p>
        </w:tc>
      </w:tr>
      <w:tr>
        <w:trPr>
          <w:trHeight w:val="195"/>
        </w:trPr>
        <w:tc>
          <w:tcPr>
            <w:tcW w:w="1900" w:type="dxa"/>
            <w:vAlign w:val="bottom"/>
          </w:tcPr>
          <w:p>
            <w:pPr>
              <w:spacing w:after="0" w:line="195" w:lineRule="exact"/>
              <w:rPr>
                <w:sz w:val="20"/>
                <w:szCs w:val="20"/>
                <w:color w:val="auto"/>
              </w:rPr>
            </w:pPr>
            <w:r>
              <w:rPr>
                <w:rFonts w:ascii="Arial" w:cs="Arial" w:eastAsia="Arial" w:hAnsi="Arial"/>
                <w:sz w:val="18"/>
                <w:szCs w:val="18"/>
                <w:b w:val="1"/>
                <w:bCs w:val="1"/>
                <w:color w:val="auto"/>
              </w:rPr>
              <w:t>EBITDA</w:t>
            </w:r>
          </w:p>
        </w:tc>
        <w:tc>
          <w:tcPr>
            <w:tcW w:w="3660" w:type="dxa"/>
            <w:vAlign w:val="bottom"/>
          </w:tcPr>
          <w:p>
            <w:pPr>
              <w:ind w:left="360"/>
              <w:spacing w:after="0" w:line="195" w:lineRule="exact"/>
              <w:rPr>
                <w:sz w:val="20"/>
                <w:szCs w:val="20"/>
                <w:color w:val="auto"/>
              </w:rPr>
            </w:pPr>
            <w:r>
              <w:rPr>
                <w:rFonts w:ascii="Arial" w:cs="Arial" w:eastAsia="Arial" w:hAnsi="Arial"/>
                <w:sz w:val="18"/>
                <w:szCs w:val="18"/>
                <w:color w:val="auto"/>
              </w:rPr>
              <w:t>Net  income  (loss)  before:  (i)  interest</w:t>
            </w:r>
          </w:p>
        </w:tc>
        <w:tc>
          <w:tcPr>
            <w:tcW w:w="34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340" w:type="dxa"/>
            <w:vAlign w:val="bottom"/>
          </w:tcPr>
          <w:p>
            <w:pPr>
              <w:jc w:val="right"/>
              <w:spacing w:after="0" w:line="195" w:lineRule="exact"/>
              <w:rPr>
                <w:sz w:val="20"/>
                <w:szCs w:val="20"/>
                <w:color w:val="auto"/>
              </w:rPr>
            </w:pPr>
            <w:r>
              <w:rPr>
                <w:rFonts w:ascii="Arial" w:cs="Arial" w:eastAsia="Arial" w:hAnsi="Arial"/>
                <w:sz w:val="18"/>
                <w:szCs w:val="18"/>
                <w:color w:val="auto"/>
              </w:rPr>
              <w:t>To assess profitability before the impact of different financing</w:t>
            </w:r>
          </w:p>
        </w:tc>
      </w:tr>
      <w:tr>
        <w:trPr>
          <w:trHeight w:val="216"/>
        </w:trPr>
        <w:tc>
          <w:tcPr>
            <w:tcW w:w="190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8"/>
              </w:rPr>
              <w:t>expense; (ii) income tax expense; and (iii)</w:t>
            </w:r>
          </w:p>
        </w:tc>
        <w:tc>
          <w:tcPr>
            <w:tcW w:w="340" w:type="dxa"/>
            <w:vAlign w:val="bottom"/>
          </w:tcPr>
          <w:p>
            <w:pPr>
              <w:spacing w:after="0"/>
              <w:rPr>
                <w:sz w:val="18"/>
                <w:szCs w:val="18"/>
                <w:color w:val="auto"/>
              </w:rPr>
            </w:pPr>
          </w:p>
        </w:tc>
        <w:tc>
          <w:tcPr>
            <w:tcW w:w="5340" w:type="dxa"/>
            <w:vAlign w:val="bottom"/>
          </w:tcPr>
          <w:p>
            <w:pPr>
              <w:jc w:val="right"/>
              <w:spacing w:after="0"/>
              <w:rPr>
                <w:sz w:val="20"/>
                <w:szCs w:val="20"/>
                <w:color w:val="auto"/>
              </w:rPr>
            </w:pPr>
            <w:r>
              <w:rPr>
                <w:rFonts w:ascii="Arial" w:cs="Arial" w:eastAsia="Arial" w:hAnsi="Arial"/>
                <w:sz w:val="18"/>
                <w:szCs w:val="18"/>
                <w:color w:val="auto"/>
                <w:w w:val="94"/>
              </w:rPr>
              <w:t>methods, income taxes, depreciation of capital assets and amortization</w:t>
            </w:r>
          </w:p>
        </w:tc>
      </w:tr>
      <w:tr>
        <w:trPr>
          <w:trHeight w:val="216"/>
        </w:trPr>
        <w:tc>
          <w:tcPr>
            <w:tcW w:w="190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of intangible assets.</w:t>
            </w:r>
          </w:p>
        </w:tc>
      </w:tr>
      <w:tr>
        <w:trPr>
          <w:trHeight w:val="216"/>
        </w:trPr>
        <w:tc>
          <w:tcPr>
            <w:tcW w:w="19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40" w:type="dxa"/>
            <w:vAlign w:val="bottom"/>
          </w:tcPr>
          <w:p>
            <w:pPr>
              <w:jc w:val="right"/>
              <w:spacing w:after="0"/>
              <w:rPr>
                <w:sz w:val="20"/>
                <w:szCs w:val="20"/>
                <w:color w:val="auto"/>
              </w:rPr>
            </w:pPr>
            <w:r>
              <w:rPr>
                <w:rFonts w:ascii="Arial" w:cs="Arial" w:eastAsia="Arial" w:hAnsi="Arial"/>
                <w:sz w:val="18"/>
                <w:szCs w:val="18"/>
                <w:color w:val="auto"/>
              </w:rPr>
              <w:t>Used by management to facilitate comparisons of operating</w:t>
            </w:r>
          </w:p>
        </w:tc>
      </w:tr>
      <w:tr>
        <w:trPr>
          <w:trHeight w:val="216"/>
        </w:trPr>
        <w:tc>
          <w:tcPr>
            <w:tcW w:w="19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40" w:type="dxa"/>
            <w:vAlign w:val="bottom"/>
          </w:tcPr>
          <w:p>
            <w:pPr>
              <w:jc w:val="right"/>
              <w:spacing w:after="0"/>
              <w:rPr>
                <w:sz w:val="20"/>
                <w:szCs w:val="20"/>
                <w:color w:val="auto"/>
              </w:rPr>
            </w:pPr>
            <w:r>
              <w:rPr>
                <w:rFonts w:ascii="Arial" w:cs="Arial" w:eastAsia="Arial" w:hAnsi="Arial"/>
                <w:sz w:val="18"/>
                <w:szCs w:val="18"/>
                <w:color w:val="auto"/>
                <w:w w:val="99"/>
              </w:rPr>
              <w:t>performance from period to period and to prepare annual operating</w:t>
            </w:r>
          </w:p>
        </w:tc>
      </w:tr>
      <w:tr>
        <w:trPr>
          <w:trHeight w:val="216"/>
        </w:trPr>
        <w:tc>
          <w:tcPr>
            <w:tcW w:w="19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budgets and forecasts.</w:t>
            </w:r>
          </w:p>
        </w:tc>
      </w:tr>
      <w:tr>
        <w:trPr>
          <w:trHeight w:val="216"/>
        </w:trPr>
        <w:tc>
          <w:tcPr>
            <w:tcW w:w="19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40" w:type="dxa"/>
            <w:vAlign w:val="bottom"/>
          </w:tcPr>
          <w:p>
            <w:pPr>
              <w:jc w:val="right"/>
              <w:spacing w:after="0"/>
              <w:rPr>
                <w:sz w:val="20"/>
                <w:szCs w:val="20"/>
                <w:color w:val="auto"/>
              </w:rPr>
            </w:pPr>
            <w:r>
              <w:rPr>
                <w:rFonts w:ascii="Arial" w:cs="Arial" w:eastAsia="Arial" w:hAnsi="Arial"/>
                <w:sz w:val="18"/>
                <w:szCs w:val="18"/>
                <w:color w:val="auto"/>
              </w:rPr>
              <w:t>Useful for providing users of the MD&amp;A with additional information</w:t>
            </w:r>
          </w:p>
        </w:tc>
      </w:tr>
      <w:tr>
        <w:trPr>
          <w:trHeight w:val="216"/>
        </w:trPr>
        <w:tc>
          <w:tcPr>
            <w:tcW w:w="19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40" w:type="dxa"/>
            <w:vAlign w:val="bottom"/>
          </w:tcPr>
          <w:p>
            <w:pPr>
              <w:jc w:val="right"/>
              <w:spacing w:after="0"/>
              <w:rPr>
                <w:sz w:val="20"/>
                <w:szCs w:val="20"/>
                <w:color w:val="auto"/>
              </w:rPr>
            </w:pPr>
            <w:r>
              <w:rPr>
                <w:rFonts w:ascii="Arial" w:cs="Arial" w:eastAsia="Arial" w:hAnsi="Arial"/>
                <w:sz w:val="18"/>
                <w:szCs w:val="18"/>
                <w:color w:val="auto"/>
              </w:rPr>
              <w:t>to assist them in understanding components of its financial results,</w:t>
            </w:r>
          </w:p>
        </w:tc>
      </w:tr>
      <w:tr>
        <w:trPr>
          <w:trHeight w:val="216"/>
        </w:trPr>
        <w:tc>
          <w:tcPr>
            <w:tcW w:w="19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40" w:type="dxa"/>
            <w:vAlign w:val="bottom"/>
          </w:tcPr>
          <w:p>
            <w:pPr>
              <w:jc w:val="right"/>
              <w:spacing w:after="0"/>
              <w:rPr>
                <w:sz w:val="20"/>
                <w:szCs w:val="20"/>
                <w:color w:val="auto"/>
              </w:rPr>
            </w:pPr>
            <w:r>
              <w:rPr>
                <w:rFonts w:ascii="Arial" w:cs="Arial" w:eastAsia="Arial" w:hAnsi="Arial"/>
                <w:sz w:val="18"/>
                <w:szCs w:val="18"/>
                <w:color w:val="auto"/>
                <w:w w:val="98"/>
              </w:rPr>
              <w:t>including  a  more  complete  understanding  of  factors  and  trends</w:t>
            </w:r>
          </w:p>
        </w:tc>
      </w:tr>
      <w:tr>
        <w:trPr>
          <w:trHeight w:val="230"/>
        </w:trPr>
        <w:tc>
          <w:tcPr>
            <w:tcW w:w="19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affecting the Company’s performance.</w:t>
            </w:r>
          </w:p>
        </w:tc>
      </w:tr>
      <w:tr>
        <w:trPr>
          <w:trHeight w:val="195"/>
        </w:trPr>
        <w:tc>
          <w:tcPr>
            <w:tcW w:w="1900" w:type="dxa"/>
            <w:vAlign w:val="bottom"/>
          </w:tcPr>
          <w:p>
            <w:pPr>
              <w:spacing w:after="0" w:line="195" w:lineRule="exact"/>
              <w:rPr>
                <w:sz w:val="20"/>
                <w:szCs w:val="20"/>
                <w:color w:val="auto"/>
              </w:rPr>
            </w:pPr>
            <w:r>
              <w:rPr>
                <w:rFonts w:ascii="Arial" w:cs="Arial" w:eastAsia="Arial" w:hAnsi="Arial"/>
                <w:sz w:val="18"/>
                <w:szCs w:val="18"/>
                <w:b w:val="1"/>
                <w:bCs w:val="1"/>
                <w:color w:val="auto"/>
              </w:rPr>
              <w:t>Adjusted EBITDA</w:t>
            </w:r>
          </w:p>
        </w:tc>
        <w:tc>
          <w:tcPr>
            <w:tcW w:w="3660" w:type="dxa"/>
            <w:vAlign w:val="bottom"/>
          </w:tcPr>
          <w:p>
            <w:pPr>
              <w:ind w:left="360"/>
              <w:spacing w:after="0" w:line="195" w:lineRule="exact"/>
              <w:rPr>
                <w:sz w:val="20"/>
                <w:szCs w:val="20"/>
                <w:color w:val="auto"/>
              </w:rPr>
            </w:pPr>
            <w:r>
              <w:rPr>
                <w:rFonts w:ascii="Arial" w:cs="Arial" w:eastAsia="Arial" w:hAnsi="Arial"/>
                <w:sz w:val="18"/>
                <w:szCs w:val="18"/>
                <w:color w:val="auto"/>
                <w:w w:val="92"/>
              </w:rPr>
              <w:t>EBITDA adjusted to exclude: (i) share-based</w:t>
            </w:r>
          </w:p>
        </w:tc>
        <w:tc>
          <w:tcPr>
            <w:tcW w:w="34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340" w:type="dxa"/>
            <w:vAlign w:val="bottom"/>
          </w:tcPr>
          <w:p>
            <w:pPr>
              <w:jc w:val="right"/>
              <w:spacing w:after="0" w:line="195" w:lineRule="exact"/>
              <w:rPr>
                <w:sz w:val="20"/>
                <w:szCs w:val="20"/>
                <w:color w:val="auto"/>
              </w:rPr>
            </w:pPr>
            <w:r>
              <w:rPr>
                <w:rFonts w:ascii="Arial" w:cs="Arial" w:eastAsia="Arial" w:hAnsi="Arial"/>
                <w:sz w:val="18"/>
                <w:szCs w:val="18"/>
                <w:color w:val="auto"/>
              </w:rPr>
              <w:t>To assess profitability before the impact of all of the items in</w:t>
            </w:r>
          </w:p>
        </w:tc>
      </w:tr>
      <w:tr>
        <w:trPr>
          <w:trHeight w:val="216"/>
        </w:trPr>
        <w:tc>
          <w:tcPr>
            <w:tcW w:w="190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4"/>
              </w:rPr>
              <w:t>payment;  (ii)  non-cash  finance  expenses;</w:t>
            </w: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6"/>
              </w:rPr>
              <w:t>calculating EBITDA in addition to certain other non-cash expenses.</w:t>
            </w:r>
          </w:p>
        </w:tc>
      </w:tr>
      <w:tr>
        <w:trPr>
          <w:trHeight w:val="216"/>
        </w:trPr>
        <w:tc>
          <w:tcPr>
            <w:tcW w:w="190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7"/>
              </w:rPr>
              <w:t>(iii) asset impairment charges; (iv) realized</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40" w:type="dxa"/>
            <w:vAlign w:val="bottom"/>
          </w:tcPr>
          <w:p>
            <w:pPr>
              <w:jc w:val="right"/>
              <w:spacing w:after="0"/>
              <w:rPr>
                <w:sz w:val="20"/>
                <w:szCs w:val="20"/>
                <w:color w:val="auto"/>
              </w:rPr>
            </w:pPr>
            <w:r>
              <w:rPr>
                <w:rFonts w:ascii="Arial" w:cs="Arial" w:eastAsia="Arial" w:hAnsi="Arial"/>
                <w:sz w:val="18"/>
                <w:szCs w:val="18"/>
                <w:color w:val="auto"/>
              </w:rPr>
              <w:t>To provide a consistent comparable metric for profitability of the</w:t>
            </w:r>
          </w:p>
        </w:tc>
      </w:tr>
      <w:tr>
        <w:trPr>
          <w:trHeight w:val="216"/>
        </w:trPr>
        <w:tc>
          <w:tcPr>
            <w:tcW w:w="190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7"/>
              </w:rPr>
              <w:t>gains  or  losses  on  disposition  of  digital</w:t>
            </w: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Company’s core performance across time periods.</w:t>
            </w:r>
          </w:p>
        </w:tc>
      </w:tr>
      <w:tr>
        <w:trPr>
          <w:trHeight w:val="216"/>
        </w:trPr>
        <w:tc>
          <w:tcPr>
            <w:tcW w:w="190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5"/>
              </w:rPr>
              <w:t>assets and (reversal of) revaluation loss on</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40" w:type="dxa"/>
            <w:vAlign w:val="bottom"/>
          </w:tcPr>
          <w:p>
            <w:pPr>
              <w:jc w:val="right"/>
              <w:spacing w:after="0"/>
              <w:rPr>
                <w:sz w:val="20"/>
                <w:szCs w:val="20"/>
                <w:color w:val="auto"/>
              </w:rPr>
            </w:pPr>
            <w:r>
              <w:rPr>
                <w:rFonts w:ascii="Arial" w:cs="Arial" w:eastAsia="Arial" w:hAnsi="Arial"/>
                <w:sz w:val="18"/>
                <w:szCs w:val="18"/>
                <w:color w:val="auto"/>
              </w:rPr>
              <w:t>Used by management to facilitate comparisons of operating</w:t>
            </w:r>
          </w:p>
        </w:tc>
      </w:tr>
      <w:tr>
        <w:trPr>
          <w:trHeight w:val="216"/>
        </w:trPr>
        <w:tc>
          <w:tcPr>
            <w:tcW w:w="190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digital assets; (v) gain on disposition of</w:t>
            </w:r>
          </w:p>
        </w:tc>
        <w:tc>
          <w:tcPr>
            <w:tcW w:w="340" w:type="dxa"/>
            <w:vAlign w:val="bottom"/>
          </w:tcPr>
          <w:p>
            <w:pPr>
              <w:spacing w:after="0"/>
              <w:rPr>
                <w:sz w:val="18"/>
                <w:szCs w:val="18"/>
                <w:color w:val="auto"/>
              </w:rPr>
            </w:pPr>
          </w:p>
        </w:tc>
        <w:tc>
          <w:tcPr>
            <w:tcW w:w="5340" w:type="dxa"/>
            <w:vAlign w:val="bottom"/>
          </w:tcPr>
          <w:p>
            <w:pPr>
              <w:jc w:val="right"/>
              <w:spacing w:after="0"/>
              <w:rPr>
                <w:sz w:val="20"/>
                <w:szCs w:val="20"/>
                <w:color w:val="auto"/>
              </w:rPr>
            </w:pPr>
            <w:r>
              <w:rPr>
                <w:rFonts w:ascii="Arial" w:cs="Arial" w:eastAsia="Arial" w:hAnsi="Arial"/>
                <w:sz w:val="18"/>
                <w:szCs w:val="18"/>
                <w:color w:val="auto"/>
                <w:w w:val="99"/>
              </w:rPr>
              <w:t>performance from period to period and to prepare annual operating</w:t>
            </w:r>
          </w:p>
        </w:tc>
      </w:tr>
      <w:tr>
        <w:trPr>
          <w:trHeight w:val="216"/>
        </w:trPr>
        <w:tc>
          <w:tcPr>
            <w:tcW w:w="190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3"/>
              </w:rPr>
              <w:t>marketable  securities,  gains  or  losses  on</w:t>
            </w: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budgets and forecasts.</w:t>
            </w:r>
          </w:p>
        </w:tc>
      </w:tr>
      <w:tr>
        <w:trPr>
          <w:trHeight w:val="216"/>
        </w:trPr>
        <w:tc>
          <w:tcPr>
            <w:tcW w:w="190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w w:val="93"/>
              </w:rPr>
              <w:t>derivative assets and liabilities and discount</w:t>
            </w:r>
          </w:p>
        </w:tc>
        <w:tc>
          <w:tcPr>
            <w:tcW w:w="340" w:type="dxa"/>
            <w:vAlign w:val="bottom"/>
          </w:tcPr>
          <w:p>
            <w:pPr>
              <w:spacing w:after="0"/>
              <w:rPr>
                <w:sz w:val="18"/>
                <w:szCs w:val="18"/>
                <w:color w:val="auto"/>
              </w:rPr>
            </w:pPr>
          </w:p>
        </w:tc>
        <w:tc>
          <w:tcPr>
            <w:tcW w:w="5340" w:type="dxa"/>
            <w:vAlign w:val="bottom"/>
          </w:tcPr>
          <w:p>
            <w:pPr>
              <w:spacing w:after="0"/>
              <w:rPr>
                <w:sz w:val="18"/>
                <w:szCs w:val="18"/>
                <w:color w:val="auto"/>
              </w:rPr>
            </w:pPr>
          </w:p>
        </w:tc>
      </w:tr>
      <w:tr>
        <w:trPr>
          <w:trHeight w:val="230"/>
        </w:trPr>
        <w:tc>
          <w:tcPr>
            <w:tcW w:w="190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expense on VAT receivable; (vi) loss on</w:t>
            </w:r>
          </w:p>
        </w:tc>
        <w:tc>
          <w:tcPr>
            <w:tcW w:w="340" w:type="dxa"/>
            <w:vAlign w:val="bottom"/>
          </w:tcPr>
          <w:p>
            <w:pPr>
              <w:spacing w:after="0"/>
              <w:rPr>
                <w:sz w:val="20"/>
                <w:szCs w:val="20"/>
                <w:color w:val="auto"/>
              </w:rPr>
            </w:pPr>
          </w:p>
        </w:tc>
        <w:tc>
          <w:tcPr>
            <w:tcW w:w="5340" w:type="dxa"/>
            <w:vAlign w:val="bottom"/>
          </w:tcPr>
          <w:p>
            <w:pPr>
              <w:spacing w:after="0"/>
              <w:rPr>
                <w:sz w:val="20"/>
                <w:szCs w:val="20"/>
                <w:color w:val="auto"/>
              </w:rPr>
            </w:pPr>
          </w:p>
        </w:tc>
      </w:tr>
    </w:tbl>
    <w:p>
      <w:pPr>
        <w:ind w:left="2260"/>
        <w:spacing w:after="0"/>
        <w:rPr>
          <w:sz w:val="20"/>
          <w:szCs w:val="20"/>
          <w:color w:val="auto"/>
        </w:rPr>
      </w:pPr>
      <w:r>
        <w:rPr>
          <w:rFonts w:ascii="Arial" w:cs="Arial" w:eastAsia="Arial" w:hAnsi="Arial"/>
          <w:sz w:val="18"/>
          <w:szCs w:val="18"/>
          <w:color w:val="auto"/>
        </w:rPr>
        <w:t>currency  exchange;  and  (vii)  other  non-</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recurring items that do not reflect the core</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24 Page</w:t>
      </w:r>
    </w:p>
    <w:p>
      <w:pPr>
        <w:sectPr>
          <w:pgSz w:w="11900" w:h="16838" w:orient="portrait"/>
          <w:cols w:equalWidth="0" w:num="1">
            <w:col w:w="11240"/>
          </w:cols>
          <w:pgMar w:left="320" w:top="90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NON-IFRS AND OTHER FINANCIAL MEASURES AND RATIOS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ratios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Ratios</w:t>
            </w:r>
          </w:p>
        </w:tc>
        <w:tc>
          <w:tcPr>
            <w:tcW w:w="36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Definition</w:t>
            </w:r>
          </w:p>
        </w:tc>
        <w:tc>
          <w:tcPr>
            <w:tcW w:w="56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Purpose</w:t>
            </w:r>
          </w:p>
        </w:tc>
        <w:tc>
          <w:tcPr>
            <w:tcW w:w="0" w:type="dxa"/>
            <w:vAlign w:val="bottom"/>
          </w:tcPr>
          <w:p>
            <w:pPr>
              <w:spacing w:after="0"/>
              <w:rPr>
                <w:sz w:val="1"/>
                <w:szCs w:val="1"/>
                <w:color w:val="auto"/>
              </w:rPr>
            </w:pPr>
          </w:p>
        </w:tc>
      </w:tr>
      <w:tr>
        <w:trPr>
          <w:trHeight w:val="195"/>
        </w:trPr>
        <w:tc>
          <w:tcPr>
            <w:tcW w:w="1960" w:type="dxa"/>
            <w:vAlign w:val="bottom"/>
          </w:tcPr>
          <w:p>
            <w:pPr>
              <w:spacing w:after="0" w:line="195" w:lineRule="exact"/>
              <w:rPr>
                <w:sz w:val="20"/>
                <w:szCs w:val="20"/>
                <w:color w:val="auto"/>
              </w:rPr>
            </w:pPr>
            <w:r>
              <w:rPr>
                <w:rFonts w:ascii="Arial" w:cs="Arial" w:eastAsia="Arial" w:hAnsi="Arial"/>
                <w:sz w:val="18"/>
                <w:szCs w:val="18"/>
                <w:b w:val="1"/>
                <w:bCs w:val="1"/>
                <w:color w:val="auto"/>
              </w:rPr>
              <w:t>Gross Mining margin</w:t>
            </w:r>
          </w:p>
        </w:tc>
        <w:tc>
          <w:tcPr>
            <w:tcW w:w="3600" w:type="dxa"/>
            <w:vAlign w:val="bottom"/>
          </w:tcPr>
          <w:p>
            <w:pPr>
              <w:ind w:left="300"/>
              <w:spacing w:after="0" w:line="195" w:lineRule="exact"/>
              <w:rPr>
                <w:sz w:val="20"/>
                <w:szCs w:val="20"/>
                <w:color w:val="auto"/>
              </w:rPr>
            </w:pPr>
            <w:r>
              <w:rPr>
                <w:rFonts w:ascii="Arial" w:cs="Arial" w:eastAsia="Arial" w:hAnsi="Arial"/>
                <w:sz w:val="18"/>
                <w:szCs w:val="18"/>
                <w:color w:val="auto"/>
                <w:w w:val="98"/>
              </w:rPr>
              <w:t>The  percentage  obtained  when  dividing</w:t>
            </w:r>
          </w:p>
        </w:tc>
        <w:tc>
          <w:tcPr>
            <w:tcW w:w="34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340" w:type="dxa"/>
            <w:vAlign w:val="bottom"/>
          </w:tcPr>
          <w:p>
            <w:pPr>
              <w:ind w:left="180"/>
              <w:spacing w:after="0" w:line="195" w:lineRule="exact"/>
              <w:rPr>
                <w:sz w:val="20"/>
                <w:szCs w:val="20"/>
                <w:color w:val="auto"/>
              </w:rPr>
            </w:pPr>
            <w:r>
              <w:rPr>
                <w:rFonts w:ascii="Arial" w:cs="Arial" w:eastAsia="Arial" w:hAnsi="Arial"/>
                <w:sz w:val="18"/>
                <w:szCs w:val="18"/>
                <w:color w:val="auto"/>
                <w:w w:val="93"/>
              </w:rPr>
              <w:t>To assess profitability after power costs in cryptocurrency production,</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600" w:type="dxa"/>
            <w:vAlign w:val="bottom"/>
          </w:tcPr>
          <w:p>
            <w:pPr>
              <w:ind w:left="300"/>
              <w:spacing w:after="0"/>
              <w:rPr>
                <w:sz w:val="20"/>
                <w:szCs w:val="20"/>
                <w:color w:val="auto"/>
              </w:rPr>
            </w:pPr>
            <w:r>
              <w:rPr>
                <w:rFonts w:ascii="Arial" w:cs="Arial" w:eastAsia="Arial" w:hAnsi="Arial"/>
                <w:sz w:val="18"/>
                <w:szCs w:val="18"/>
                <w:color w:val="auto"/>
              </w:rPr>
              <w:t>Gross  Mining  profit  by  Mining  related</w:t>
            </w: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the largest variable expense in Mining.</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3600" w:type="dxa"/>
            <w:vAlign w:val="bottom"/>
          </w:tcPr>
          <w:p>
            <w:pPr>
              <w:ind w:left="300"/>
              <w:spacing w:after="0"/>
              <w:rPr>
                <w:sz w:val="20"/>
                <w:szCs w:val="20"/>
                <w:color w:val="auto"/>
              </w:rPr>
            </w:pPr>
            <w:r>
              <w:rPr>
                <w:rFonts w:ascii="Arial" w:cs="Arial" w:eastAsia="Arial" w:hAnsi="Arial"/>
                <w:sz w:val="18"/>
                <w:szCs w:val="18"/>
                <w:color w:val="auto"/>
              </w:rPr>
              <w:t>revenues.</w:t>
            </w:r>
          </w:p>
        </w:tc>
        <w:tc>
          <w:tcPr>
            <w:tcW w:w="3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5340" w:type="dxa"/>
            <w:vAlign w:val="bottom"/>
            <w:vMerge w:val="restart"/>
          </w:tcPr>
          <w:p>
            <w:pPr>
              <w:ind w:left="180"/>
              <w:spacing w:after="0"/>
              <w:rPr>
                <w:sz w:val="20"/>
                <w:szCs w:val="20"/>
                <w:color w:val="auto"/>
              </w:rPr>
            </w:pPr>
            <w:r>
              <w:rPr>
                <w:rFonts w:ascii="Arial" w:cs="Arial" w:eastAsia="Arial" w:hAnsi="Arial"/>
                <w:sz w:val="18"/>
                <w:szCs w:val="18"/>
                <w:color w:val="auto"/>
                <w:w w:val="92"/>
              </w:rPr>
              <w:t>To provide the users of the MD&amp;A the ability to assess the profitability</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5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6"/>
              </w:rPr>
              <w:t>of the Company’s core digital asset Mining operations, exclusive of</w:t>
            </w:r>
          </w:p>
        </w:tc>
        <w:tc>
          <w:tcPr>
            <w:tcW w:w="0" w:type="dxa"/>
            <w:vAlign w:val="bottom"/>
          </w:tcPr>
          <w:p>
            <w:pPr>
              <w:spacing w:after="0"/>
              <w:rPr>
                <w:sz w:val="1"/>
                <w:szCs w:val="1"/>
                <w:color w:val="auto"/>
              </w:rPr>
            </w:pPr>
          </w:p>
        </w:tc>
      </w:tr>
      <w:tr>
        <w:trPr>
          <w:trHeight w:val="230"/>
        </w:trPr>
        <w:tc>
          <w:tcPr>
            <w:tcW w:w="19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certain general and administrative expenses.</w:t>
            </w:r>
          </w:p>
        </w:tc>
        <w:tc>
          <w:tcPr>
            <w:tcW w:w="0" w:type="dxa"/>
            <w:vAlign w:val="bottom"/>
          </w:tcPr>
          <w:p>
            <w:pPr>
              <w:spacing w:after="0"/>
              <w:rPr>
                <w:sz w:val="1"/>
                <w:szCs w:val="1"/>
                <w:color w:val="auto"/>
              </w:rPr>
            </w:pPr>
          </w:p>
        </w:tc>
      </w:tr>
      <w:tr>
        <w:trPr>
          <w:trHeight w:val="195"/>
        </w:trPr>
        <w:tc>
          <w:tcPr>
            <w:tcW w:w="1960" w:type="dxa"/>
            <w:vAlign w:val="bottom"/>
          </w:tcPr>
          <w:p>
            <w:pPr>
              <w:spacing w:after="0" w:line="195" w:lineRule="exact"/>
              <w:rPr>
                <w:sz w:val="20"/>
                <w:szCs w:val="20"/>
                <w:color w:val="auto"/>
              </w:rPr>
            </w:pPr>
            <w:r>
              <w:rPr>
                <w:rFonts w:ascii="Arial" w:cs="Arial" w:eastAsia="Arial" w:hAnsi="Arial"/>
                <w:sz w:val="18"/>
                <w:szCs w:val="18"/>
                <w:b w:val="1"/>
                <w:bCs w:val="1"/>
                <w:color w:val="auto"/>
              </w:rPr>
              <w:t>EBITDA margin</w:t>
            </w:r>
          </w:p>
        </w:tc>
        <w:tc>
          <w:tcPr>
            <w:tcW w:w="3600" w:type="dxa"/>
            <w:vAlign w:val="bottom"/>
          </w:tcPr>
          <w:p>
            <w:pPr>
              <w:ind w:left="300"/>
              <w:spacing w:after="0" w:line="195" w:lineRule="exact"/>
              <w:rPr>
                <w:sz w:val="20"/>
                <w:szCs w:val="20"/>
                <w:color w:val="auto"/>
              </w:rPr>
            </w:pPr>
            <w:r>
              <w:rPr>
                <w:rFonts w:ascii="Arial" w:cs="Arial" w:eastAsia="Arial" w:hAnsi="Arial"/>
                <w:sz w:val="18"/>
                <w:szCs w:val="18"/>
                <w:color w:val="auto"/>
                <w:w w:val="98"/>
              </w:rPr>
              <w:t>The  percentage  obtained  when  dividing</w:t>
            </w:r>
          </w:p>
        </w:tc>
        <w:tc>
          <w:tcPr>
            <w:tcW w:w="34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340" w:type="dxa"/>
            <w:vAlign w:val="bottom"/>
          </w:tcPr>
          <w:p>
            <w:pPr>
              <w:ind w:left="180"/>
              <w:spacing w:after="0" w:line="195" w:lineRule="exact"/>
              <w:rPr>
                <w:sz w:val="20"/>
                <w:szCs w:val="20"/>
                <w:color w:val="auto"/>
              </w:rPr>
            </w:pPr>
            <w:r>
              <w:rPr>
                <w:rFonts w:ascii="Arial" w:cs="Arial" w:eastAsia="Arial" w:hAnsi="Arial"/>
                <w:sz w:val="18"/>
                <w:szCs w:val="18"/>
                <w:color w:val="auto"/>
                <w:w w:val="91"/>
              </w:rPr>
              <w:t>To assess profitability before the impact of different financing methods,</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600" w:type="dxa"/>
            <w:vAlign w:val="bottom"/>
          </w:tcPr>
          <w:p>
            <w:pPr>
              <w:ind w:left="300"/>
              <w:spacing w:after="0"/>
              <w:rPr>
                <w:sz w:val="20"/>
                <w:szCs w:val="20"/>
                <w:color w:val="auto"/>
              </w:rPr>
            </w:pPr>
            <w:r>
              <w:rPr>
                <w:rFonts w:ascii="Arial" w:cs="Arial" w:eastAsia="Arial" w:hAnsi="Arial"/>
                <w:sz w:val="18"/>
                <w:szCs w:val="18"/>
                <w:color w:val="auto"/>
              </w:rPr>
              <w:t>EBITDA by Revenues.</w:t>
            </w: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4"/>
              </w:rPr>
              <w:t>income  taxes,  depreciation  of  capital  assets  and  amortization  of</w:t>
            </w: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40" w:type="dxa"/>
            <w:vAlign w:val="bottom"/>
          </w:tcPr>
          <w:p>
            <w:pPr>
              <w:ind w:left="180"/>
              <w:spacing w:after="0"/>
              <w:rPr>
                <w:sz w:val="20"/>
                <w:szCs w:val="20"/>
                <w:color w:val="auto"/>
              </w:rPr>
            </w:pPr>
            <w:r>
              <w:rPr>
                <w:rFonts w:ascii="Arial" w:cs="Arial" w:eastAsia="Arial" w:hAnsi="Arial"/>
                <w:sz w:val="18"/>
                <w:szCs w:val="18"/>
                <w:color w:val="auto"/>
              </w:rPr>
              <w:t>Used  by  management  to  facilitate  comparisons  of  operating</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6"/>
              </w:rPr>
              <w:t>performance from period to period and to prepare annual operating</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budgets and forecasts.</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40" w:type="dxa"/>
            <w:vAlign w:val="bottom"/>
          </w:tcPr>
          <w:p>
            <w:pPr>
              <w:ind w:left="180"/>
              <w:spacing w:after="0"/>
              <w:rPr>
                <w:sz w:val="20"/>
                <w:szCs w:val="20"/>
                <w:color w:val="auto"/>
              </w:rPr>
            </w:pPr>
            <w:r>
              <w:rPr>
                <w:rFonts w:ascii="Arial" w:cs="Arial" w:eastAsia="Arial" w:hAnsi="Arial"/>
                <w:sz w:val="18"/>
                <w:szCs w:val="18"/>
                <w:color w:val="auto"/>
                <w:w w:val="94"/>
              </w:rPr>
              <w:t>Useful for providing users of the MD&amp;A with additional information to</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assist them in understanding components of its financial results,</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5"/>
              </w:rPr>
              <w:t>including  a  more  complete  understanding  of  factors  and  trends</w:t>
            </w:r>
          </w:p>
        </w:tc>
        <w:tc>
          <w:tcPr>
            <w:tcW w:w="0" w:type="dxa"/>
            <w:vAlign w:val="bottom"/>
          </w:tcPr>
          <w:p>
            <w:pPr>
              <w:spacing w:after="0"/>
              <w:rPr>
                <w:sz w:val="1"/>
                <w:szCs w:val="1"/>
                <w:color w:val="auto"/>
              </w:rPr>
            </w:pPr>
          </w:p>
        </w:tc>
      </w:tr>
      <w:tr>
        <w:trPr>
          <w:trHeight w:val="230"/>
        </w:trPr>
        <w:tc>
          <w:tcPr>
            <w:tcW w:w="19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affecting the Company’s performance.</w:t>
            </w:r>
          </w:p>
        </w:tc>
        <w:tc>
          <w:tcPr>
            <w:tcW w:w="0" w:type="dxa"/>
            <w:vAlign w:val="bottom"/>
          </w:tcPr>
          <w:p>
            <w:pPr>
              <w:spacing w:after="0"/>
              <w:rPr>
                <w:sz w:val="1"/>
                <w:szCs w:val="1"/>
                <w:color w:val="auto"/>
              </w:rPr>
            </w:pPr>
          </w:p>
        </w:tc>
      </w:tr>
      <w:tr>
        <w:trPr>
          <w:trHeight w:val="191"/>
        </w:trPr>
        <w:tc>
          <w:tcPr>
            <w:tcW w:w="1960" w:type="dxa"/>
            <w:vAlign w:val="bottom"/>
          </w:tcPr>
          <w:p>
            <w:pPr>
              <w:spacing w:after="0" w:line="191" w:lineRule="exact"/>
              <w:rPr>
                <w:sz w:val="20"/>
                <w:szCs w:val="20"/>
                <w:color w:val="auto"/>
              </w:rPr>
            </w:pPr>
            <w:r>
              <w:rPr>
                <w:rFonts w:ascii="Arial" w:cs="Arial" w:eastAsia="Arial" w:hAnsi="Arial"/>
                <w:sz w:val="18"/>
                <w:szCs w:val="18"/>
                <w:b w:val="1"/>
                <w:bCs w:val="1"/>
                <w:color w:val="auto"/>
              </w:rPr>
              <w:t>Adjusted EBITDA</w:t>
            </w:r>
          </w:p>
        </w:tc>
        <w:tc>
          <w:tcPr>
            <w:tcW w:w="3600" w:type="dxa"/>
            <w:vAlign w:val="bottom"/>
          </w:tcPr>
          <w:p>
            <w:pPr>
              <w:ind w:left="300"/>
              <w:spacing w:after="0" w:line="191" w:lineRule="exact"/>
              <w:rPr>
                <w:sz w:val="20"/>
                <w:szCs w:val="20"/>
                <w:color w:val="auto"/>
              </w:rPr>
            </w:pPr>
            <w:r>
              <w:rPr>
                <w:rFonts w:ascii="Arial" w:cs="Arial" w:eastAsia="Arial" w:hAnsi="Arial"/>
                <w:sz w:val="18"/>
                <w:szCs w:val="18"/>
                <w:color w:val="auto"/>
                <w:w w:val="98"/>
              </w:rPr>
              <w:t>The  percentage  obtained  when  dividing</w:t>
            </w:r>
          </w:p>
        </w:tc>
        <w:tc>
          <w:tcPr>
            <w:tcW w:w="340" w:type="dxa"/>
            <w:vAlign w:val="bottom"/>
          </w:tcPr>
          <w:p>
            <w:pPr>
              <w:ind w:left="60"/>
              <w:spacing w:after="0" w:line="191" w:lineRule="exact"/>
              <w:rPr>
                <w:sz w:val="20"/>
                <w:szCs w:val="20"/>
                <w:color w:val="auto"/>
              </w:rPr>
            </w:pPr>
            <w:r>
              <w:rPr>
                <w:rFonts w:ascii="Arial" w:cs="Arial" w:eastAsia="Arial" w:hAnsi="Arial"/>
                <w:sz w:val="18"/>
                <w:szCs w:val="18"/>
                <w:color w:val="auto"/>
              </w:rPr>
              <w:t>●</w:t>
            </w:r>
          </w:p>
        </w:tc>
        <w:tc>
          <w:tcPr>
            <w:tcW w:w="5340" w:type="dxa"/>
            <w:vAlign w:val="bottom"/>
          </w:tcPr>
          <w:p>
            <w:pPr>
              <w:ind w:left="180"/>
              <w:spacing w:after="0" w:line="191" w:lineRule="exact"/>
              <w:rPr>
                <w:sz w:val="20"/>
                <w:szCs w:val="20"/>
                <w:color w:val="auto"/>
              </w:rPr>
            </w:pPr>
            <w:r>
              <w:rPr>
                <w:rFonts w:ascii="Arial" w:cs="Arial" w:eastAsia="Arial" w:hAnsi="Arial"/>
                <w:sz w:val="18"/>
                <w:szCs w:val="18"/>
                <w:color w:val="auto"/>
              </w:rPr>
              <w:t>To assess profitability before the impact of all of the items in</w:t>
            </w: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r>
              <w:rPr>
                <w:rFonts w:ascii="Arial" w:cs="Arial" w:eastAsia="Arial" w:hAnsi="Arial"/>
                <w:sz w:val="18"/>
                <w:szCs w:val="18"/>
                <w:b w:val="1"/>
                <w:bCs w:val="1"/>
                <w:color w:val="auto"/>
              </w:rPr>
              <w:t>margin</w:t>
            </w:r>
          </w:p>
        </w:tc>
        <w:tc>
          <w:tcPr>
            <w:tcW w:w="3600" w:type="dxa"/>
            <w:vAlign w:val="bottom"/>
          </w:tcPr>
          <w:p>
            <w:pPr>
              <w:ind w:left="300"/>
              <w:spacing w:after="0"/>
              <w:rPr>
                <w:sz w:val="20"/>
                <w:szCs w:val="20"/>
                <w:color w:val="auto"/>
              </w:rPr>
            </w:pPr>
            <w:r>
              <w:rPr>
                <w:rFonts w:ascii="Arial" w:cs="Arial" w:eastAsia="Arial" w:hAnsi="Arial"/>
                <w:sz w:val="18"/>
                <w:szCs w:val="18"/>
                <w:color w:val="auto"/>
              </w:rPr>
              <w:t>Adjusted EBITDA by Revenues.</w:t>
            </w:r>
          </w:p>
        </w:tc>
        <w:tc>
          <w:tcPr>
            <w:tcW w:w="340" w:type="dxa"/>
            <w:vAlign w:val="bottom"/>
          </w:tcPr>
          <w:p>
            <w:pPr>
              <w:spacing w:after="0"/>
              <w:rPr>
                <w:sz w:val="20"/>
                <w:szCs w:val="20"/>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6"/>
              </w:rPr>
              <w:t>calculating EBITDA in addition to certain other non-cash expenses.</w:t>
            </w: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40" w:type="dxa"/>
            <w:vAlign w:val="bottom"/>
          </w:tcPr>
          <w:p>
            <w:pPr>
              <w:ind w:left="180"/>
              <w:spacing w:after="0"/>
              <w:rPr>
                <w:sz w:val="20"/>
                <w:szCs w:val="20"/>
                <w:color w:val="auto"/>
              </w:rPr>
            </w:pPr>
            <w:r>
              <w:rPr>
                <w:rFonts w:ascii="Arial" w:cs="Arial" w:eastAsia="Arial" w:hAnsi="Arial"/>
                <w:sz w:val="18"/>
                <w:szCs w:val="18"/>
                <w:color w:val="auto"/>
              </w:rPr>
              <w:t>To provide a consistent comparable metric for profitability of the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Company’s core performance across time periods.</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340" w:type="dxa"/>
            <w:vAlign w:val="bottom"/>
          </w:tcPr>
          <w:p>
            <w:pPr>
              <w:ind w:left="180"/>
              <w:spacing w:after="0"/>
              <w:rPr>
                <w:sz w:val="20"/>
                <w:szCs w:val="20"/>
                <w:color w:val="auto"/>
              </w:rPr>
            </w:pPr>
            <w:r>
              <w:rPr>
                <w:rFonts w:ascii="Arial" w:cs="Arial" w:eastAsia="Arial" w:hAnsi="Arial"/>
                <w:sz w:val="18"/>
                <w:szCs w:val="18"/>
                <w:color w:val="auto"/>
              </w:rPr>
              <w:t>Used  by  management  to  facilitate  comparisons  of  operating</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w w:val="96"/>
              </w:rPr>
              <w:t>performance from period to period and to prepare annual operating</w:t>
            </w:r>
          </w:p>
        </w:tc>
        <w:tc>
          <w:tcPr>
            <w:tcW w:w="0" w:type="dxa"/>
            <w:vAlign w:val="bottom"/>
          </w:tcPr>
          <w:p>
            <w:pPr>
              <w:spacing w:after="0"/>
              <w:rPr>
                <w:sz w:val="1"/>
                <w:szCs w:val="1"/>
                <w:color w:val="auto"/>
              </w:rPr>
            </w:pPr>
          </w:p>
        </w:tc>
      </w:tr>
      <w:tr>
        <w:trPr>
          <w:trHeight w:val="230"/>
        </w:trPr>
        <w:tc>
          <w:tcPr>
            <w:tcW w:w="19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budgets and forecasts.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financial ratios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the following supplemental financial ratios in assessing operating performance.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Ratios</w:t>
            </w:r>
          </w:p>
        </w:tc>
        <w:tc>
          <w:tcPr>
            <w:tcW w:w="172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Definition</w:t>
            </w:r>
          </w:p>
        </w:tc>
        <w:tc>
          <w:tcPr>
            <w:tcW w:w="7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56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Purpose</w:t>
            </w:r>
          </w:p>
        </w:tc>
      </w:tr>
      <w:tr>
        <w:trPr>
          <w:trHeight w:val="195"/>
        </w:trPr>
        <w:tc>
          <w:tcPr>
            <w:tcW w:w="1820" w:type="dxa"/>
            <w:vAlign w:val="bottom"/>
          </w:tcPr>
          <w:p>
            <w:pPr>
              <w:spacing w:after="0" w:line="195" w:lineRule="exact"/>
              <w:rPr>
                <w:sz w:val="20"/>
                <w:szCs w:val="20"/>
                <w:color w:val="auto"/>
              </w:rPr>
            </w:pPr>
            <w:r>
              <w:rPr>
                <w:rFonts w:ascii="Arial" w:cs="Arial" w:eastAsia="Arial" w:hAnsi="Arial"/>
                <w:sz w:val="18"/>
                <w:szCs w:val="18"/>
                <w:b w:val="1"/>
                <w:bCs w:val="1"/>
                <w:color w:val="auto"/>
              </w:rPr>
              <w:t>Gross margin</w:t>
            </w:r>
          </w:p>
        </w:tc>
        <w:tc>
          <w:tcPr>
            <w:tcW w:w="780" w:type="dxa"/>
            <w:vAlign w:val="bottom"/>
          </w:tcPr>
          <w:p>
            <w:pPr>
              <w:ind w:left="440"/>
              <w:spacing w:after="0" w:line="195" w:lineRule="exact"/>
              <w:rPr>
                <w:sz w:val="20"/>
                <w:szCs w:val="20"/>
                <w:color w:val="auto"/>
              </w:rPr>
            </w:pPr>
            <w:r>
              <w:rPr>
                <w:rFonts w:ascii="Arial" w:cs="Arial" w:eastAsia="Arial" w:hAnsi="Arial"/>
                <w:sz w:val="18"/>
                <w:szCs w:val="18"/>
                <w:color w:val="auto"/>
              </w:rPr>
              <w:t>The</w:t>
            </w:r>
          </w:p>
        </w:tc>
        <w:tc>
          <w:tcPr>
            <w:tcW w:w="940" w:type="dxa"/>
            <w:vAlign w:val="bottom"/>
          </w:tcPr>
          <w:p>
            <w:pPr>
              <w:ind w:left="80"/>
              <w:spacing w:after="0" w:line="195" w:lineRule="exact"/>
              <w:rPr>
                <w:sz w:val="20"/>
                <w:szCs w:val="20"/>
                <w:color w:val="auto"/>
              </w:rPr>
            </w:pPr>
            <w:r>
              <w:rPr>
                <w:rFonts w:ascii="Arial" w:cs="Arial" w:eastAsia="Arial" w:hAnsi="Arial"/>
                <w:sz w:val="18"/>
                <w:szCs w:val="18"/>
                <w:color w:val="auto"/>
                <w:w w:val="93"/>
              </w:rPr>
              <w:t>percentage</w:t>
            </w:r>
          </w:p>
        </w:tc>
        <w:tc>
          <w:tcPr>
            <w:tcW w:w="760" w:type="dxa"/>
            <w:vAlign w:val="bottom"/>
          </w:tcPr>
          <w:p>
            <w:pPr>
              <w:ind w:left="80"/>
              <w:spacing w:after="0" w:line="195" w:lineRule="exact"/>
              <w:rPr>
                <w:sz w:val="20"/>
                <w:szCs w:val="20"/>
                <w:color w:val="auto"/>
              </w:rPr>
            </w:pPr>
            <w:r>
              <w:rPr>
                <w:rFonts w:ascii="Arial" w:cs="Arial" w:eastAsia="Arial" w:hAnsi="Arial"/>
                <w:sz w:val="18"/>
                <w:szCs w:val="18"/>
                <w:color w:val="auto"/>
                <w:w w:val="95"/>
              </w:rPr>
              <w:t>obtained</w:t>
            </w:r>
          </w:p>
        </w:tc>
        <w:tc>
          <w:tcPr>
            <w:tcW w:w="540" w:type="dxa"/>
            <w:vAlign w:val="bottom"/>
          </w:tcPr>
          <w:p>
            <w:pPr>
              <w:ind w:left="80"/>
              <w:spacing w:after="0" w:line="195" w:lineRule="exact"/>
              <w:rPr>
                <w:sz w:val="20"/>
                <w:szCs w:val="20"/>
                <w:color w:val="auto"/>
              </w:rPr>
            </w:pPr>
            <w:r>
              <w:rPr>
                <w:rFonts w:ascii="Arial" w:cs="Arial" w:eastAsia="Arial" w:hAnsi="Arial"/>
                <w:sz w:val="18"/>
                <w:szCs w:val="18"/>
                <w:color w:val="auto"/>
              </w:rPr>
              <w:t>when</w:t>
            </w:r>
          </w:p>
        </w:tc>
        <w:tc>
          <w:tcPr>
            <w:tcW w:w="720" w:type="dxa"/>
            <w:vAlign w:val="bottom"/>
          </w:tcPr>
          <w:p>
            <w:pPr>
              <w:ind w:left="80"/>
              <w:spacing w:after="0" w:line="195" w:lineRule="exact"/>
              <w:rPr>
                <w:sz w:val="20"/>
                <w:szCs w:val="20"/>
                <w:color w:val="auto"/>
              </w:rPr>
            </w:pPr>
            <w:r>
              <w:rPr>
                <w:rFonts w:ascii="Arial" w:cs="Arial" w:eastAsia="Arial" w:hAnsi="Arial"/>
                <w:sz w:val="18"/>
                <w:szCs w:val="18"/>
                <w:color w:val="auto"/>
              </w:rPr>
              <w:t>dividing</w:t>
            </w:r>
          </w:p>
        </w:tc>
        <w:tc>
          <w:tcPr>
            <w:tcW w:w="34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340" w:type="dxa"/>
            <w:vAlign w:val="bottom"/>
          </w:tcPr>
          <w:p>
            <w:pPr>
              <w:ind w:left="180"/>
              <w:spacing w:after="0" w:line="195" w:lineRule="exact"/>
              <w:rPr>
                <w:sz w:val="20"/>
                <w:szCs w:val="20"/>
                <w:color w:val="auto"/>
              </w:rPr>
            </w:pPr>
            <w:r>
              <w:rPr>
                <w:rFonts w:ascii="Arial" w:cs="Arial" w:eastAsia="Arial" w:hAnsi="Arial"/>
                <w:sz w:val="18"/>
                <w:szCs w:val="18"/>
                <w:color w:val="auto"/>
              </w:rPr>
              <w:t>To assess profitability of the Company across time periods.</w:t>
            </w:r>
          </w:p>
        </w:tc>
      </w:tr>
      <w:tr>
        <w:trPr>
          <w:trHeight w:val="230"/>
        </w:trPr>
        <w:tc>
          <w:tcPr>
            <w:tcW w:w="18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color w:val="auto"/>
                <w:w w:val="97"/>
              </w:rPr>
              <w:t>Gross profit by Revenues.</w:t>
            </w:r>
          </w:p>
        </w:tc>
        <w:tc>
          <w:tcPr>
            <w:tcW w:w="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spacing w:after="0"/>
              <w:rPr>
                <w:sz w:val="20"/>
                <w:szCs w:val="20"/>
                <w:color w:val="auto"/>
              </w:rPr>
            </w:pPr>
          </w:p>
        </w:tc>
      </w:tr>
      <w:tr>
        <w:trPr>
          <w:trHeight w:val="195"/>
        </w:trPr>
        <w:tc>
          <w:tcPr>
            <w:tcW w:w="1820" w:type="dxa"/>
            <w:vAlign w:val="bottom"/>
          </w:tcPr>
          <w:p>
            <w:pPr>
              <w:spacing w:after="0" w:line="195" w:lineRule="exact"/>
              <w:rPr>
                <w:sz w:val="20"/>
                <w:szCs w:val="20"/>
                <w:color w:val="auto"/>
              </w:rPr>
            </w:pPr>
            <w:r>
              <w:rPr>
                <w:rFonts w:ascii="Arial" w:cs="Arial" w:eastAsia="Arial" w:hAnsi="Arial"/>
                <w:sz w:val="18"/>
                <w:szCs w:val="18"/>
                <w:b w:val="1"/>
                <w:bCs w:val="1"/>
                <w:color w:val="auto"/>
              </w:rPr>
              <w:t>Operating margin</w:t>
            </w:r>
          </w:p>
        </w:tc>
        <w:tc>
          <w:tcPr>
            <w:tcW w:w="780" w:type="dxa"/>
            <w:vAlign w:val="bottom"/>
          </w:tcPr>
          <w:p>
            <w:pPr>
              <w:ind w:left="440"/>
              <w:spacing w:after="0" w:line="195" w:lineRule="exact"/>
              <w:rPr>
                <w:sz w:val="20"/>
                <w:szCs w:val="20"/>
                <w:color w:val="auto"/>
              </w:rPr>
            </w:pPr>
            <w:r>
              <w:rPr>
                <w:rFonts w:ascii="Arial" w:cs="Arial" w:eastAsia="Arial" w:hAnsi="Arial"/>
                <w:sz w:val="18"/>
                <w:szCs w:val="18"/>
                <w:color w:val="auto"/>
              </w:rPr>
              <w:t>The</w:t>
            </w:r>
          </w:p>
        </w:tc>
        <w:tc>
          <w:tcPr>
            <w:tcW w:w="940" w:type="dxa"/>
            <w:vAlign w:val="bottom"/>
          </w:tcPr>
          <w:p>
            <w:pPr>
              <w:ind w:left="80"/>
              <w:spacing w:after="0" w:line="195" w:lineRule="exact"/>
              <w:rPr>
                <w:sz w:val="20"/>
                <w:szCs w:val="20"/>
                <w:color w:val="auto"/>
              </w:rPr>
            </w:pPr>
            <w:r>
              <w:rPr>
                <w:rFonts w:ascii="Arial" w:cs="Arial" w:eastAsia="Arial" w:hAnsi="Arial"/>
                <w:sz w:val="18"/>
                <w:szCs w:val="18"/>
                <w:color w:val="auto"/>
                <w:w w:val="93"/>
              </w:rPr>
              <w:t>percentage</w:t>
            </w:r>
          </w:p>
        </w:tc>
        <w:tc>
          <w:tcPr>
            <w:tcW w:w="760" w:type="dxa"/>
            <w:vAlign w:val="bottom"/>
          </w:tcPr>
          <w:p>
            <w:pPr>
              <w:ind w:left="80"/>
              <w:spacing w:after="0" w:line="195" w:lineRule="exact"/>
              <w:rPr>
                <w:sz w:val="20"/>
                <w:szCs w:val="20"/>
                <w:color w:val="auto"/>
              </w:rPr>
            </w:pPr>
            <w:r>
              <w:rPr>
                <w:rFonts w:ascii="Arial" w:cs="Arial" w:eastAsia="Arial" w:hAnsi="Arial"/>
                <w:sz w:val="18"/>
                <w:szCs w:val="18"/>
                <w:color w:val="auto"/>
                <w:w w:val="95"/>
              </w:rPr>
              <w:t>obtained</w:t>
            </w:r>
          </w:p>
        </w:tc>
        <w:tc>
          <w:tcPr>
            <w:tcW w:w="540" w:type="dxa"/>
            <w:vAlign w:val="bottom"/>
          </w:tcPr>
          <w:p>
            <w:pPr>
              <w:ind w:left="80"/>
              <w:spacing w:after="0" w:line="195" w:lineRule="exact"/>
              <w:rPr>
                <w:sz w:val="20"/>
                <w:szCs w:val="20"/>
                <w:color w:val="auto"/>
              </w:rPr>
            </w:pPr>
            <w:r>
              <w:rPr>
                <w:rFonts w:ascii="Arial" w:cs="Arial" w:eastAsia="Arial" w:hAnsi="Arial"/>
                <w:sz w:val="18"/>
                <w:szCs w:val="18"/>
                <w:color w:val="auto"/>
              </w:rPr>
              <w:t>when</w:t>
            </w:r>
          </w:p>
        </w:tc>
        <w:tc>
          <w:tcPr>
            <w:tcW w:w="720" w:type="dxa"/>
            <w:vAlign w:val="bottom"/>
          </w:tcPr>
          <w:p>
            <w:pPr>
              <w:ind w:left="80"/>
              <w:spacing w:after="0" w:line="195" w:lineRule="exact"/>
              <w:rPr>
                <w:sz w:val="20"/>
                <w:szCs w:val="20"/>
                <w:color w:val="auto"/>
              </w:rPr>
            </w:pPr>
            <w:r>
              <w:rPr>
                <w:rFonts w:ascii="Arial" w:cs="Arial" w:eastAsia="Arial" w:hAnsi="Arial"/>
                <w:sz w:val="18"/>
                <w:szCs w:val="18"/>
                <w:color w:val="auto"/>
              </w:rPr>
              <w:t>dividing</w:t>
            </w:r>
          </w:p>
        </w:tc>
        <w:tc>
          <w:tcPr>
            <w:tcW w:w="340" w:type="dxa"/>
            <w:vAlign w:val="bottom"/>
          </w:tcPr>
          <w:p>
            <w:pPr>
              <w:ind w:left="60"/>
              <w:spacing w:after="0" w:line="195" w:lineRule="exact"/>
              <w:rPr>
                <w:sz w:val="20"/>
                <w:szCs w:val="20"/>
                <w:color w:val="auto"/>
              </w:rPr>
            </w:pPr>
            <w:r>
              <w:rPr>
                <w:rFonts w:ascii="Arial" w:cs="Arial" w:eastAsia="Arial" w:hAnsi="Arial"/>
                <w:sz w:val="18"/>
                <w:szCs w:val="18"/>
                <w:color w:val="auto"/>
              </w:rPr>
              <w:t>●</w:t>
            </w:r>
          </w:p>
        </w:tc>
        <w:tc>
          <w:tcPr>
            <w:tcW w:w="5340" w:type="dxa"/>
            <w:vAlign w:val="bottom"/>
          </w:tcPr>
          <w:p>
            <w:pPr>
              <w:ind w:left="180"/>
              <w:spacing w:after="0" w:line="195" w:lineRule="exact"/>
              <w:rPr>
                <w:sz w:val="20"/>
                <w:szCs w:val="20"/>
                <w:color w:val="auto"/>
              </w:rPr>
            </w:pPr>
            <w:r>
              <w:rPr>
                <w:rFonts w:ascii="Arial" w:cs="Arial" w:eastAsia="Arial" w:hAnsi="Arial"/>
                <w:sz w:val="18"/>
                <w:szCs w:val="18"/>
                <w:color w:val="auto"/>
                <w:w w:val="90"/>
              </w:rPr>
              <w:t>To assess operational profitability of the Company across time periods.</w:t>
            </w:r>
          </w:p>
        </w:tc>
      </w:tr>
      <w:tr>
        <w:trPr>
          <w:trHeight w:val="230"/>
        </w:trPr>
        <w:tc>
          <w:tcPr>
            <w:tcW w:w="18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color w:val="auto"/>
              </w:rPr>
              <w:t>Operating income (loss) by Revenues.</w:t>
            </w:r>
          </w:p>
        </w:tc>
        <w:tc>
          <w:tcPr>
            <w:tcW w:w="3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25 Page</w:t>
      </w:r>
    </w:p>
    <w:p>
      <w:pPr>
        <w:sectPr>
          <w:pgSz w:w="11900" w:h="16838" w:orient="portrait"/>
          <w:cols w:equalWidth="0" w:num="1">
            <w:col w:w="11240"/>
          </w:cols>
          <w:pgMar w:left="320" w:top="90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NON-IFRS AND OTHER FINANCIAL MEASURES AND RATIOS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Consolidated Net Income (loss) to EBITDA and Adjusted EBITDA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11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40" w:type="dxa"/>
            <w:vAlign w:val="bottom"/>
          </w:tcPr>
          <w:p>
            <w:pPr>
              <w:spacing w:after="0" w:line="195" w:lineRule="exact"/>
              <w:rPr>
                <w:sz w:val="20"/>
                <w:szCs w:val="20"/>
                <w:color w:val="auto"/>
              </w:rPr>
            </w:pPr>
            <w:r>
              <w:rPr>
                <w:rFonts w:ascii="Arial" w:cs="Arial" w:eastAsia="Arial" w:hAnsi="Arial"/>
                <w:sz w:val="18"/>
                <w:szCs w:val="18"/>
                <w:color w:val="auto"/>
              </w:rPr>
              <w:t>(U.S.$ in thousands except where</w:t>
            </w: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indicated)</w:t>
            </w:r>
          </w:p>
        </w:tc>
        <w:tc>
          <w:tcPr>
            <w:tcW w:w="11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 Change</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0"/>
              </w:rPr>
              <w:t>% Change</w:t>
            </w:r>
          </w:p>
        </w:tc>
        <w:tc>
          <w:tcPr>
            <w:tcW w:w="10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 Change</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 Change</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35,479</w:t>
            </w: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41,815</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(6,336)</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0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65,529</w:t>
            </w: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82,144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loss before income taxes</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(24,988)</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(161,234)</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136,246</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(28,384)</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(150,277)</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121,893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8"/>
                <w:szCs w:val="18"/>
                <w:color w:val="auto"/>
              </w:rPr>
              <w:t>Interest expense</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1,023</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4,546</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(3,523)</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2,643</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7,556</w:t>
            </w:r>
          </w:p>
        </w:tc>
        <w:tc>
          <w:tcPr>
            <w:tcW w:w="900" w:type="dxa"/>
            <w:vAlign w:val="bottom"/>
          </w:tcPr>
          <w:p>
            <w:pPr>
              <w:jc w:val="right"/>
              <w:spacing w:after="0"/>
              <w:rPr>
                <w:sz w:val="20"/>
                <w:szCs w:val="20"/>
                <w:color w:val="auto"/>
              </w:rPr>
            </w:pPr>
            <w:r>
              <w:rPr>
                <w:rFonts w:ascii="Arial" w:cs="Arial" w:eastAsia="Arial" w:hAnsi="Arial"/>
                <w:sz w:val="18"/>
                <w:szCs w:val="18"/>
                <w:color w:val="auto"/>
              </w:rPr>
              <w:t>(4,913)</w:t>
            </w: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20,528</w:t>
            </w: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17,857</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2,671</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0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41,228</w:t>
            </w: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30,923</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10,305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(3,437)</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(138,831)</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135,394</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(98)%</w:t>
            </w: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15,487</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(111,798)</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127,285</w:t>
            </w: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EBITDA margin</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Arial" w:cs="Arial" w:eastAsia="Arial" w:hAnsi="Arial"/>
                <w:sz w:val="18"/>
                <w:szCs w:val="18"/>
                <w:color w:val="auto"/>
              </w:rPr>
              <w:t>Share-based payment</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2,462</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7,927</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(5,465)</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(69)%</w:t>
            </w: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4,998</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14,032</w:t>
            </w:r>
          </w:p>
        </w:tc>
        <w:tc>
          <w:tcPr>
            <w:tcW w:w="900" w:type="dxa"/>
            <w:vAlign w:val="bottom"/>
          </w:tcPr>
          <w:p>
            <w:pPr>
              <w:jc w:val="right"/>
              <w:spacing w:after="0"/>
              <w:rPr>
                <w:sz w:val="20"/>
                <w:szCs w:val="20"/>
                <w:color w:val="auto"/>
              </w:rPr>
            </w:pPr>
            <w:r>
              <w:rPr>
                <w:rFonts w:ascii="Arial" w:cs="Arial" w:eastAsia="Arial" w:hAnsi="Arial"/>
                <w:sz w:val="18"/>
                <w:szCs w:val="18"/>
                <w:color w:val="auto"/>
              </w:rPr>
              <w:t>(9,034)</w:t>
            </w: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Realized loss on disposition of digital</w:t>
            </w:r>
          </w:p>
        </w:tc>
        <w:tc>
          <w:tcPr>
            <w:tcW w:w="114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14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77,880</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(77,880)</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100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77,914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940" w:type="dxa"/>
            <w:vAlign w:val="bottom"/>
          </w:tcPr>
          <w:p>
            <w:pPr>
              <w:spacing w:after="0" w:line="201" w:lineRule="exact"/>
              <w:rPr>
                <w:sz w:val="20"/>
                <w:szCs w:val="20"/>
                <w:color w:val="auto"/>
              </w:rPr>
            </w:pPr>
            <w:r>
              <w:rPr>
                <w:rFonts w:ascii="Arial" w:cs="Arial" w:eastAsia="Arial" w:hAnsi="Arial"/>
                <w:sz w:val="18"/>
                <w:szCs w:val="18"/>
                <w:color w:val="auto"/>
              </w:rPr>
              <w:t>Impairment on short-term prepaid</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deposits and property, plant and</w:t>
            </w: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9,982</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9,982</w:t>
            </w: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1140" w:type="dxa"/>
            <w:vAlign w:val="bottom"/>
            <w:vMerge w:val="continue"/>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9,982</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1000" w:type="dxa"/>
            <w:vAlign w:val="bottom"/>
            <w:vMerge w:val="continue"/>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9,982</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(Reversal of) revaluation loss on</w:t>
            </w:r>
          </w:p>
        </w:tc>
        <w:tc>
          <w:tcPr>
            <w:tcW w:w="114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(2,695)</w:t>
            </w:r>
          </w:p>
        </w:tc>
        <w:tc>
          <w:tcPr>
            <w:tcW w:w="10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digital assets</w:t>
            </w:r>
          </w:p>
        </w:tc>
        <w:tc>
          <w:tcPr>
            <w:tcW w:w="114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70,475</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(70,475)</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100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66,773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Impairment on goodwill</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17,900</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(17,900)</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17,900</w:t>
            </w:r>
          </w:p>
        </w:tc>
        <w:tc>
          <w:tcPr>
            <w:tcW w:w="900" w:type="dxa"/>
            <w:vAlign w:val="bottom"/>
          </w:tcPr>
          <w:p>
            <w:pPr>
              <w:jc w:val="right"/>
              <w:spacing w:after="0"/>
              <w:rPr>
                <w:sz w:val="20"/>
                <w:szCs w:val="20"/>
                <w:color w:val="auto"/>
              </w:rPr>
            </w:pPr>
            <w:r>
              <w:rPr>
                <w:rFonts w:ascii="Arial" w:cs="Arial" w:eastAsia="Arial" w:hAnsi="Arial"/>
                <w:sz w:val="18"/>
                <w:szCs w:val="18"/>
                <w:color w:val="auto"/>
              </w:rPr>
              <w:t>(17,900)</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on extinguishment of long-term</w:t>
            </w:r>
          </w:p>
        </w:tc>
        <w:tc>
          <w:tcPr>
            <w:tcW w:w="114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(12,835)</w:t>
            </w:r>
          </w:p>
        </w:tc>
        <w:tc>
          <w:tcPr>
            <w:tcW w:w="10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and lease liabilities</w:t>
            </w:r>
          </w:p>
        </w:tc>
        <w:tc>
          <w:tcPr>
            <w:tcW w:w="114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w:t>
            </w:r>
          </w:p>
        </w:tc>
        <w:tc>
          <w:tcPr>
            <w:tcW w:w="100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940" w:type="dxa"/>
            <w:vAlign w:val="bottom"/>
          </w:tcPr>
          <w:p>
            <w:pPr>
              <w:spacing w:after="0" w:line="201" w:lineRule="exact"/>
              <w:rPr>
                <w:sz w:val="20"/>
                <w:szCs w:val="20"/>
                <w:color w:val="auto"/>
              </w:rPr>
            </w:pPr>
            <w:r>
              <w:rPr>
                <w:rFonts w:ascii="Arial" w:cs="Arial" w:eastAsia="Arial" w:hAnsi="Arial"/>
                <w:sz w:val="18"/>
                <w:szCs w:val="18"/>
                <w:color w:val="auto"/>
              </w:rPr>
              <w:t>Gain on disposition of marketable</w:t>
            </w:r>
          </w:p>
        </w:tc>
        <w:tc>
          <w:tcPr>
            <w:tcW w:w="11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(4,955)</w:t>
            </w: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(7,126)</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140" w:type="dxa"/>
            <w:vAlign w:val="bottom"/>
            <w:vMerge w:val="continue"/>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(19,705)</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14,750</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(75)%</w:t>
            </w:r>
          </w:p>
        </w:tc>
        <w:tc>
          <w:tcPr>
            <w:tcW w:w="1000" w:type="dxa"/>
            <w:vAlign w:val="bottom"/>
            <w:vMerge w:val="continue"/>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(30,642)</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23,516</w:t>
            </w: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financial expenses and other</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3,620</w:t>
            </w: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4,057</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(437)</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0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6,430</w:t>
            </w: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7,822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7,672</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19,703</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(12,031)</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14,241</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42,001</w:t>
            </w:r>
          </w:p>
        </w:tc>
        <w:tc>
          <w:tcPr>
            <w:tcW w:w="900" w:type="dxa"/>
            <w:vAlign w:val="bottom"/>
          </w:tcPr>
          <w:p>
            <w:pPr>
              <w:jc w:val="right"/>
              <w:spacing w:after="0"/>
              <w:rPr>
                <w:sz w:val="20"/>
                <w:szCs w:val="20"/>
                <w:color w:val="auto"/>
              </w:rPr>
            </w:pPr>
            <w:r>
              <w:rPr>
                <w:rFonts w:ascii="Arial" w:cs="Arial" w:eastAsia="Arial" w:hAnsi="Arial"/>
                <w:sz w:val="18"/>
                <w:szCs w:val="18"/>
                <w:color w:val="auto"/>
              </w:rPr>
              <w:t>(27,760)</w:t>
            </w: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22%</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26 Page</w:t>
      </w:r>
    </w:p>
    <w:p>
      <w:pPr>
        <w:sectPr>
          <w:pgSz w:w="11900" w:h="16838" w:orient="portrait"/>
          <w:cols w:equalWidth="0" w:num="1">
            <w:col w:w="11240"/>
          </w:cols>
          <w:pgMar w:left="320" w:top="90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NON-IFRS AND OTHER FINANCIAL MEASURES AND RATIOS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Gross Mining Profit and Gross Mining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1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160" w:type="dxa"/>
            <w:vAlign w:val="bottom"/>
          </w:tcPr>
          <w:p>
            <w:pPr>
              <w:spacing w:after="0" w:line="195" w:lineRule="exact"/>
              <w:rPr>
                <w:sz w:val="20"/>
                <w:szCs w:val="20"/>
                <w:color w:val="auto"/>
              </w:rPr>
            </w:pPr>
            <w:r>
              <w:rPr>
                <w:rFonts w:ascii="Arial" w:cs="Arial" w:eastAsia="Arial" w:hAnsi="Arial"/>
                <w:sz w:val="18"/>
                <w:szCs w:val="18"/>
                <w:color w:val="auto"/>
              </w:rPr>
              <w:t>(U.S.$ in thousands except where</w:t>
            </w:r>
          </w:p>
        </w:tc>
        <w:tc>
          <w:tcPr>
            <w:tcW w:w="10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indicated)</w:t>
            </w:r>
          </w:p>
        </w:tc>
        <w:tc>
          <w:tcPr>
            <w:tcW w:w="10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 Change</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7"/>
              </w:rPr>
              <w:t>% Change</w:t>
            </w:r>
          </w:p>
        </w:tc>
        <w:tc>
          <w:tcPr>
            <w:tcW w:w="104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 Change</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 Change</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Gross (loss) profit</w:t>
            </w: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(6,040)</w:t>
            </w: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9,504</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(15,544)</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(164)%</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(14,393)</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26,541</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(40,934)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8"/>
                <w:szCs w:val="18"/>
                <w:color w:val="auto"/>
              </w:rPr>
              <w:t>Non-Mining revenues (1)</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(1,236)</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(767)</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(469)</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61%</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(2,078)</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(1,371)</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(707)</w:t>
            </w: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0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20,528</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17,857</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2,671</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41,228</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30,923</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10,305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w w:val="98"/>
              </w:rPr>
              <w:t>Purchases of electrical components and</w:t>
            </w:r>
          </w:p>
        </w:tc>
        <w:tc>
          <w:tcPr>
            <w:tcW w:w="10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622</w:t>
            </w: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946</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other</w:t>
            </w:r>
          </w:p>
        </w:tc>
        <w:tc>
          <w:tcPr>
            <w:tcW w:w="1040" w:type="dxa"/>
            <w:vAlign w:val="bottom"/>
            <w:vMerge w:val="continue"/>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260</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362</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139%</w:t>
            </w:r>
          </w:p>
        </w:tc>
        <w:tc>
          <w:tcPr>
            <w:tcW w:w="1040" w:type="dxa"/>
            <w:vAlign w:val="bottom"/>
            <w:vMerge w:val="continue"/>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572</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374</w:t>
            </w: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Electrician salaries and payroll taxes</w:t>
            </w:r>
          </w:p>
        </w:tc>
        <w:tc>
          <w:tcPr>
            <w:tcW w:w="10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455</w:t>
            </w: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306</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149</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w:t>
            </w: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811</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635</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8"/>
                <w:szCs w:val="18"/>
                <w:b w:val="1"/>
                <w:bCs w:val="1"/>
                <w:color w:val="auto"/>
              </w:rPr>
              <w:t>Gross Mining profit</w:t>
            </w: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14,329</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27,160</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(12,831)</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26,514</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57,300</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(30,786)</w:t>
            </w: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Gross Mining margin</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(1) Non-Mining revenues reconciliation:</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8"/>
                <w:szCs w:val="18"/>
                <w:b w:val="1"/>
                <w:bCs w:val="1"/>
                <w:color w:val="auto"/>
              </w:rPr>
              <w:t>Three months ended June 30,</w:t>
            </w:r>
          </w:p>
        </w:tc>
        <w:tc>
          <w:tcPr>
            <w:tcW w:w="2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160" w:type="dxa"/>
            <w:vAlign w:val="bottom"/>
          </w:tcPr>
          <w:p>
            <w:pPr>
              <w:spacing w:after="0" w:line="195" w:lineRule="exact"/>
              <w:rPr>
                <w:sz w:val="20"/>
                <w:szCs w:val="20"/>
                <w:color w:val="auto"/>
              </w:rPr>
            </w:pPr>
            <w:r>
              <w:rPr>
                <w:rFonts w:ascii="Arial" w:cs="Arial" w:eastAsia="Arial" w:hAnsi="Arial"/>
                <w:sz w:val="18"/>
                <w:szCs w:val="18"/>
                <w:color w:val="auto"/>
              </w:rPr>
              <w:t>(U.S.$ in thousands except where</w:t>
            </w:r>
          </w:p>
        </w:tc>
        <w:tc>
          <w:tcPr>
            <w:tcW w:w="10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indicated)</w:t>
            </w:r>
          </w:p>
        </w:tc>
        <w:tc>
          <w:tcPr>
            <w:tcW w:w="10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Change</w:t>
            </w: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5"/>
              </w:rPr>
              <w:t>% Change</w:t>
            </w:r>
          </w:p>
        </w:tc>
        <w:tc>
          <w:tcPr>
            <w:tcW w:w="104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7"/>
              </w:rPr>
              <w:t>$ Change</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 Change</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35,479</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41,815</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(6,336)</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65,529</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82,144</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(16,615)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5"/>
        </w:trPr>
        <w:tc>
          <w:tcPr>
            <w:tcW w:w="3160" w:type="dxa"/>
            <w:vAlign w:val="bottom"/>
          </w:tcPr>
          <w:p>
            <w:pPr>
              <w:spacing w:after="0" w:line="195" w:lineRule="exact"/>
              <w:rPr>
                <w:sz w:val="20"/>
                <w:szCs w:val="20"/>
                <w:color w:val="auto"/>
              </w:rPr>
            </w:pPr>
            <w:r>
              <w:rPr>
                <w:rFonts w:ascii="Arial" w:cs="Arial" w:eastAsia="Arial" w:hAnsi="Arial"/>
                <w:sz w:val="18"/>
                <w:szCs w:val="18"/>
                <w:color w:val="auto"/>
              </w:rPr>
              <w:t>Less Mining related revenues for the</w:t>
            </w: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purpose of calculating gross Mining</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margin:</w:t>
            </w: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Mining revenues</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(34,243)</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(41,048)</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6,805</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(63,451)</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(80,773)</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17,322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Non-Mining revenues</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1,236</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767</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469</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61%</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2,078</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1,371</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27 Page</w:t>
      </w:r>
    </w:p>
    <w:p>
      <w:pPr>
        <w:sectPr>
          <w:pgSz w:w="11900" w:h="16838" w:orient="portrait"/>
          <w:cols w:equalWidth="0" w:num="1">
            <w:col w:w="11240"/>
          </w:cols>
          <w:pgMar w:left="320" w:top="90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discussed below, the Company’s current financing strategy involves selling BTC mined and in treasury and utilizing short-term debt, long-term debt and equity instruments to fund its expansion activities, operating expenses and debt service requirements. The Company anticipates requiring additional funds to complete its growth plans discussed in Section 6 - </w:t>
      </w:r>
      <w:r>
        <w:rPr>
          <w:rFonts w:ascii="Arial" w:cs="Arial" w:eastAsia="Arial" w:hAnsi="Arial"/>
          <w:sz w:val="18"/>
          <w:szCs w:val="18"/>
          <w:i w:val="1"/>
          <w:iCs w:val="1"/>
          <w:color w:val="auto"/>
        </w:rPr>
        <w:t>Expansion Projects</w:t>
      </w:r>
      <w:r>
        <w:rPr>
          <w:rFonts w:ascii="Arial" w:cs="Arial" w:eastAsia="Arial" w:hAnsi="Arial"/>
          <w:sz w:val="18"/>
          <w:szCs w:val="18"/>
          <w:color w:val="auto"/>
        </w:rPr>
        <w:t xml:space="preserve"> of this MD&amp;A.</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the Company operates through its subsidiaries, there are no material legal restrictions and generally no practical restrictions on the ability of the subsidiaries to transfer funds to the Company, except that the Company may be subject to practical limitations on transferring funds from its Argentinian subsidiary. Beginning in the second half of 2019, the Argentine government instituted certain foreign currency exchange controls that could restrict the Company’s Argentinian subsidiary’s access to foreign currency, including the US dollar, for making payments abroad or transferring funds to its parent without prior authorization from the Argentine Central Bank. These regulations have continued to evolve and may become more stringent depending on the Argentine government´s perception of the availability of sufficient national foreign currency reserves. The next general election in Argentina is scheduled for October 22, 2023. The Company sends funds periodically to Argentina to fund its expansion based on supplier invoices that are paid by the Argentinian subsidiary. The Argentinian subsidiary provides Mining services to its Canadian parent which owns and records revenue from the BTC mined in Argentina and, accordingly, the Argentinian subsidiary is not structured or contemplated to generate substantial cash flows above its internal requirements. The Argentinian subsidiary earns a market-based return on the services it provides to its Canadian parent.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A.</w:t>
            </w:r>
          </w:p>
        </w:tc>
        <w:tc>
          <w:tcPr>
            <w:tcW w:w="4680" w:type="dxa"/>
            <w:vAlign w:val="bottom"/>
          </w:tcPr>
          <w:p>
            <w:pPr>
              <w:ind w:left="240"/>
              <w:spacing w:after="0"/>
              <w:rPr>
                <w:sz w:val="20"/>
                <w:szCs w:val="20"/>
                <w:color w:val="auto"/>
              </w:rPr>
            </w:pPr>
            <w:r>
              <w:rPr>
                <w:rFonts w:ascii="Arial" w:cs="Arial" w:eastAsia="Arial" w:hAnsi="Arial"/>
                <w:sz w:val="18"/>
                <w:szCs w:val="18"/>
                <w:b w:val="1"/>
                <w:bCs w:val="1"/>
                <w:color w:val="auto"/>
              </w:rPr>
              <w:t>Cash Flows</w:t>
            </w:r>
          </w:p>
        </w:tc>
        <w:tc>
          <w:tcPr>
            <w:tcW w:w="2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4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w w:val="94"/>
              </w:rPr>
              <w:t>Six months ended June 30,</w:t>
            </w:r>
          </w:p>
        </w:tc>
        <w:tc>
          <w:tcPr>
            <w:tcW w:w="1220" w:type="dxa"/>
            <w:vAlign w:val="bottom"/>
            <w:tcBorders>
              <w:bottom w:val="single" w:sz="8" w:color="auto"/>
            </w:tcBorders>
          </w:tcPr>
          <w:p>
            <w:pPr>
              <w:spacing w:after="0"/>
              <w:rPr>
                <w:sz w:val="24"/>
                <w:szCs w:val="24"/>
                <w:color w:val="auto"/>
              </w:rPr>
            </w:pPr>
          </w:p>
        </w:tc>
      </w:tr>
      <w:tr>
        <w:trPr>
          <w:trHeight w:val="209"/>
        </w:trPr>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(U.S. $ in thousands except where indicated)</w:t>
            </w:r>
          </w:p>
        </w:tc>
        <w:tc>
          <w:tcPr>
            <w:tcW w:w="2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r>
      <w:tr>
        <w:trPr>
          <w:trHeight w:val="210"/>
        </w:trPr>
        <w:tc>
          <w:tcPr>
            <w:tcW w:w="5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beginning of the period</w:t>
            </w:r>
          </w:p>
        </w:tc>
        <w:tc>
          <w:tcPr>
            <w:tcW w:w="2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30,887</w:t>
            </w:r>
          </w:p>
        </w:tc>
        <w:tc>
          <w:tcPr>
            <w:tcW w:w="1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125,595</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(94,708)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9"/>
        </w:trPr>
        <w:tc>
          <w:tcPr>
            <w:tcW w:w="5100" w:type="dxa"/>
            <w:vAlign w:val="bottom"/>
            <w:gridSpan w:val="2"/>
          </w:tcPr>
          <w:p>
            <w:pPr>
              <w:spacing w:after="0"/>
              <w:rPr>
                <w:sz w:val="20"/>
                <w:szCs w:val="20"/>
                <w:color w:val="auto"/>
              </w:rPr>
            </w:pPr>
            <w:r>
              <w:rPr>
                <w:rFonts w:ascii="Arial" w:cs="Arial" w:eastAsia="Arial" w:hAnsi="Arial"/>
                <w:sz w:val="18"/>
                <w:szCs w:val="18"/>
                <w:color w:val="auto"/>
              </w:rPr>
              <w:t>Cash flows from (used in):</w:t>
            </w:r>
          </w:p>
        </w:tc>
        <w:tc>
          <w:tcPr>
            <w:tcW w:w="2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21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2,472</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(11,745)</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14,217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5100" w:type="dxa"/>
            <w:vAlign w:val="bottom"/>
            <w:gridSpan w:val="2"/>
          </w:tcPr>
          <w:p>
            <w:pPr>
              <w:ind w:left="180"/>
              <w:spacing w:after="0"/>
              <w:rPr>
                <w:sz w:val="20"/>
                <w:szCs w:val="20"/>
                <w:color w:val="auto"/>
              </w:rPr>
            </w:pPr>
            <w:r>
              <w:rPr>
                <w:rFonts w:ascii="Arial" w:cs="Arial" w:eastAsia="Arial" w:hAnsi="Arial"/>
                <w:sz w:val="18"/>
                <w:szCs w:val="18"/>
                <w:color w:val="auto"/>
              </w:rPr>
              <w:t>Investing activities</w:t>
            </w:r>
          </w:p>
        </w:tc>
        <w:tc>
          <w:tcPr>
            <w:tcW w:w="2160" w:type="dxa"/>
            <w:vAlign w:val="bottom"/>
          </w:tcPr>
          <w:p>
            <w:pPr>
              <w:jc w:val="right"/>
              <w:ind w:right="90"/>
              <w:spacing w:after="0"/>
              <w:rPr>
                <w:sz w:val="20"/>
                <w:szCs w:val="20"/>
                <w:color w:val="auto"/>
              </w:rPr>
            </w:pPr>
            <w:r>
              <w:rPr>
                <w:rFonts w:ascii="Arial" w:cs="Arial" w:eastAsia="Arial" w:hAnsi="Arial"/>
                <w:sz w:val="18"/>
                <w:szCs w:val="18"/>
                <w:b w:val="1"/>
                <w:bCs w:val="1"/>
                <w:color w:val="auto"/>
              </w:rPr>
              <w:t>(19,229)</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(135,750)</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116,521</w:t>
            </w:r>
          </w:p>
        </w:tc>
        <w:tc>
          <w:tcPr>
            <w:tcW w:w="12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5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21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16,693</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67,910</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(51,217)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1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Exchange rate differences on currency translation</w:t>
            </w:r>
          </w:p>
        </w:tc>
        <w:tc>
          <w:tcPr>
            <w:tcW w:w="2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68</w:t>
            </w: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17"/>
        </w:trPr>
        <w:tc>
          <w:tcPr>
            <w:tcW w:w="5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end of the period</w:t>
            </w:r>
          </w:p>
        </w:tc>
        <w:tc>
          <w:tcPr>
            <w:tcW w:w="2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30,891</w:t>
            </w:r>
          </w:p>
        </w:tc>
        <w:tc>
          <w:tcPr>
            <w:tcW w:w="1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45,982</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(15,091)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tc>
        <w:tc>
          <w:tcPr>
            <w:tcW w:w="2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 increased by $14.2 million during YTD Q2 2023 compared to YTD Q2 2022, primarily driven by:</w:t>
      </w:r>
    </w:p>
    <w:p>
      <w:pPr>
        <w:spacing w:after="0" w:line="9"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decline in income taxes paid with $13.2 million paid during YTD Q2 2022, compared to $0.2 million paid during YTD Q2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Other favorable working capital variances totaling $7.0 million that are explained in Section 11 - </w:t>
      </w:r>
      <w:r>
        <w:rPr>
          <w:rFonts w:ascii="Arial" w:cs="Arial" w:eastAsia="Arial" w:hAnsi="Arial"/>
          <w:sz w:val="18"/>
          <w:szCs w:val="18"/>
          <w:i w:val="1"/>
          <w:iCs w:val="1"/>
          <w:color w:val="auto"/>
        </w:rPr>
        <w:t>Financial Position</w:t>
      </w:r>
      <w:r>
        <w:rPr>
          <w:rFonts w:ascii="Arial" w:cs="Arial" w:eastAsia="Arial" w:hAnsi="Arial"/>
          <w:sz w:val="18"/>
          <w:szCs w:val="18"/>
          <w:color w:val="auto"/>
        </w:rPr>
        <w:t xml:space="preserve"> of this MD&amp;A;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Lower interest and financial expenses paid of $4.0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Lower cash G&amp;A expenses of $2.7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partially offset by:</w:t>
      </w:r>
    </w:p>
    <w:p>
      <w:pPr>
        <w:spacing w:after="0" w:line="23"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Higher energy and infrastructure costs of $13.5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28 Page</w:t>
      </w:r>
    </w:p>
    <w:p>
      <w:pPr>
        <w:sectPr>
          <w:pgSz w:w="11900" w:h="16838" w:orient="portrait"/>
          <w:cols w:equalWidth="0" w:num="1">
            <w:col w:w="11240"/>
          </w:cols>
          <w:pgMar w:left="320" w:top="90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investing activities decreased by $116.5 million during YTD Q2 2023 compared to YTD Q2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cash flow used in investing activities is explained by:</w:t>
      </w:r>
    </w:p>
    <w:p>
      <w:pPr>
        <w:spacing w:after="0" w:line="23" w:lineRule="exact"/>
        <w:rPr>
          <w:sz w:val="20"/>
          <w:szCs w:val="20"/>
          <w:color w:val="auto"/>
        </w:rPr>
      </w:pPr>
    </w:p>
    <w:p>
      <w:pPr>
        <w:ind w:left="660" w:hanging="328"/>
        <w:spacing w:after="0" w:line="250"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$16.4 million of net additions of property, plant and equipment (“PPE”) during YTD Q2 2023, compared to $70.5 million for the same period in 2022 primarily due to the acquisition of Miners and infrastructure build-out;</w:t>
      </w:r>
    </w:p>
    <w:p>
      <w:pPr>
        <w:jc w:val="both"/>
        <w:ind w:left="660" w:hanging="328"/>
        <w:spacing w:after="0" w:line="250"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Company’s postponement of development of the second warehouse in Argentina, which resulted in only $10.0 million advance payment made for Miners relating to the Argentina and Baie-Comeau expansion during YTD Q2 2023, compared to $64.2 million in advanced payments made on new PPE during YTD Q2 2022; and</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Company not purchasing BTC during YTD Q2 2023, compared to acquiring 1,000 BTC for $43.2 million during YTD Q2 2022. Refer to Section 10B - </w:t>
      </w:r>
      <w:r>
        <w:rPr>
          <w:rFonts w:ascii="Arial" w:cs="Arial" w:eastAsia="Arial" w:hAnsi="Arial"/>
          <w:sz w:val="18"/>
          <w:szCs w:val="18"/>
          <w:i w:val="1"/>
          <w:iCs w:val="1"/>
          <w:color w:val="auto"/>
        </w:rPr>
        <w:t>Liquidity and Capital Resources (capital resources - digital asset management program)</w:t>
      </w:r>
      <w:r>
        <w:rPr>
          <w:rFonts w:ascii="Arial" w:cs="Arial" w:eastAsia="Arial" w:hAnsi="Arial"/>
          <w:sz w:val="18"/>
          <w:szCs w:val="18"/>
          <w:color w:val="auto"/>
        </w:rPr>
        <w:t xml:space="preserve"> of this MD&amp;A.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partially offset by:</w:t>
      </w:r>
    </w:p>
    <w:p>
      <w:pPr>
        <w:spacing w:after="0" w:line="23" w:lineRule="exact"/>
        <w:rPr>
          <w:sz w:val="20"/>
          <w:szCs w:val="20"/>
          <w:color w:val="auto"/>
        </w:rPr>
      </w:pPr>
    </w:p>
    <w:p>
      <w:pPr>
        <w:jc w:val="both"/>
        <w:ind w:left="660" w:hanging="328"/>
        <w:spacing w:after="0" w:line="250"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$7.1 million of net proceeds received from the purchase and disposition of marketable securities to fund the Argentina expansion activities, compared to $30.6 million of net proceeds for the same period in 2022, as described in Note 20 - </w:t>
      </w:r>
      <w:r>
        <w:rPr>
          <w:rFonts w:ascii="Arial" w:cs="Arial" w:eastAsia="Arial" w:hAnsi="Arial"/>
          <w:sz w:val="18"/>
          <w:szCs w:val="18"/>
          <w:i w:val="1"/>
          <w:iCs w:val="1"/>
          <w:color w:val="auto"/>
        </w:rPr>
        <w:t>Additional Details to the Statement of Profit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 and Comprehensive Profit or Loss </w:t>
      </w:r>
      <w:r>
        <w:rPr>
          <w:rFonts w:ascii="Arial" w:cs="Arial" w:eastAsia="Arial" w:hAnsi="Arial"/>
          <w:sz w:val="18"/>
          <w:szCs w:val="18"/>
          <w:color w:val="auto"/>
        </w:rPr>
        <w:t>to the Financial Statements;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Proceeds of $11.5 million from the sale of digital assets purchased in YTD Q2 2022, compared to nil in YTD Q2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Cash flows from financing activities decreased by $51.2 million from $67.9 million for </w:t>
      </w:r>
      <w:r>
        <w:rPr>
          <w:rFonts w:ascii="Arial" w:cs="Arial" w:eastAsia="Arial" w:hAnsi="Arial"/>
          <w:sz w:val="18"/>
          <w:szCs w:val="18"/>
          <w:i w:val="1"/>
          <w:iCs w:val="1"/>
          <w:color w:val="auto"/>
        </w:rPr>
        <w:t>YTD</w:t>
      </w:r>
      <w:r>
        <w:rPr>
          <w:rFonts w:ascii="Arial" w:cs="Arial" w:eastAsia="Arial" w:hAnsi="Arial"/>
          <w:sz w:val="18"/>
          <w:szCs w:val="18"/>
          <w:color w:val="auto"/>
        </w:rPr>
        <w:t xml:space="preserve"> Q2 2022 to $16.7 million for </w:t>
      </w:r>
      <w:r>
        <w:rPr>
          <w:rFonts w:ascii="Arial" w:cs="Arial" w:eastAsia="Arial" w:hAnsi="Arial"/>
          <w:sz w:val="18"/>
          <w:szCs w:val="18"/>
          <w:i w:val="1"/>
          <w:iCs w:val="1"/>
          <w:color w:val="auto"/>
        </w:rPr>
        <w:t>YTD</w:t>
      </w:r>
      <w:r>
        <w:rPr>
          <w:rFonts w:ascii="Arial" w:cs="Arial" w:eastAsia="Arial" w:hAnsi="Arial"/>
          <w:sz w:val="18"/>
          <w:szCs w:val="18"/>
          <w:color w:val="auto"/>
        </w:rPr>
        <w:t xml:space="preserve"> Q2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YTD Q2 2023</w:t>
      </w:r>
    </w:p>
    <w:p>
      <w:pPr>
        <w:spacing w:after="0" w:line="23" w:lineRule="exact"/>
        <w:rPr>
          <w:sz w:val="20"/>
          <w:szCs w:val="20"/>
          <w:color w:val="auto"/>
        </w:rPr>
      </w:pPr>
    </w:p>
    <w:p>
      <w:pPr>
        <w:ind w:left="660" w:hanging="328"/>
        <w:spacing w:after="0" w:line="265"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Company raised $37.6 million of net proceeds from its at-the-market equity offering program which were partially offset by scheduled and one-time payments relating to long-term debt and lease liabilities of approximately $18.9 million and $2.1 million, respectively.</w:t>
      </w: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long-term debt repayments included: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settlement of the BlockFi Loan on February 8, 2023 for cash consideration of $7.8 million, as discussed below;</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Capital repayments of $10.7 million towards the NYDIG loan that reduced the outstanding balance to $15.5 million as of June 30, 2023; and</w:t>
      </w:r>
    </w:p>
    <w:p>
      <w:pPr>
        <w:ind w:left="1300" w:hanging="320"/>
        <w:spacing w:after="0" w:line="250"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full repayment of the principal amount of the remaining Foundry Loans #2, #3 and #4, as defined in the Financial Statements, before maturity and without prepayment penalty, for $0.8 million.</w:t>
      </w: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lease repayments included:</w:t>
      </w:r>
    </w:p>
    <w:p>
      <w:pPr>
        <w:spacing w:after="0" w:line="9" w:lineRule="exact"/>
        <w:rPr>
          <w:rFonts w:ascii="Arial" w:cs="Arial" w:eastAsia="Arial" w:hAnsi="Arial"/>
          <w:sz w:val="18"/>
          <w:szCs w:val="18"/>
          <w:color w:val="auto"/>
        </w:rPr>
      </w:pPr>
    </w:p>
    <w:p>
      <w:pPr>
        <w:ind w:left="1300" w:hanging="320"/>
        <w:spacing w:after="0" w:line="260"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Company’s modification in February 2023 of its lease agreement with Reliz Ltd. (where BlockFi was the lender to Reliz Ltd.) in order to settle its outstanding lease liability of $0.4 million for a payment of $0.1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29 Page</w:t>
      </w:r>
    </w:p>
    <w:p>
      <w:pPr>
        <w:sectPr>
          <w:pgSz w:w="11900" w:h="16838" w:orient="portrait"/>
          <w:cols w:equalWidth="0" w:num="1">
            <w:col w:w="11240"/>
          </w:cols>
          <w:pgMar w:left="320" w:top="904"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Cash Flows from Financing Activities </w:t>
      </w:r>
      <w:r>
        <w:rPr>
          <w:rFonts w:ascii="Arial" w:cs="Arial" w:eastAsia="Arial" w:hAnsi="Arial"/>
          <w:sz w:val="18"/>
          <w:szCs w:val="18"/>
          <w:color w:val="auto"/>
        </w:rPr>
        <w:t>(Continued)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YTD Q2 2022</w:t>
      </w:r>
    </w:p>
    <w:p>
      <w:pPr>
        <w:spacing w:after="0" w:line="9" w:lineRule="exact"/>
        <w:rPr>
          <w:sz w:val="20"/>
          <w:szCs w:val="20"/>
          <w:color w:val="auto"/>
        </w:rPr>
      </w:pPr>
    </w:p>
    <w:p>
      <w:pPr>
        <w:jc w:val="both"/>
        <w:ind w:left="660" w:hanging="328"/>
        <w:spacing w:after="0" w:line="250"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During YTD Q2 2022, the Company raised $67.2 million of net proceeds from long-term debt, $40.0 million of proceeds from the credit facility (which was fully repaid in the fourth quarter of 2022), and $35.9 million of net proceeds from the Company’s at-the-market equity offering program; and</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During YTD Q2 2022, these proceeds were partially offset by repayments towards the credit facility, long-term debt, and lease liabilities of $61.8 million, $11.1 million and $2.2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BlockFi Loan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18, 2022, Bitfarms’ subsidiary, Backbone Mining Solutions Inc. (“Backbone Mining”), entered into a $32.0 million equipment financing facility with BlockFi, which was classified as long-term debt in the statement of financial position. Backbone Mining owns or leases the assets of Bitfarms’ 20-megawatt active crypto mining facilities in the State of Washington. The BlockFi loan was recourse only against Backbone Mining, and the loan was secured by its Miners and, in the event of default, BTC produced by those Miners.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8, 2023, BlockFi and the Company negotiated a settlement of the loan in its entirety for cash consideration of $7.8 million, discharging Backbone Mining of all further obligations and resulting in a gain on extinguishment of long-term debt of $12.6 million. Upon settlement, all of Backbone Mining’s assets, including 6,100 Miners collateralizing the loan, became unencumbered.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Bitfarms commenced an at-the-market (“ATM”) equity offering program on August 16, 2021, by means of a prospectus supplement dated August 16, 2021, to the Company’s short form base shelf prospectus dated August 12, 2021, and U.S. registration statement on Form-F-10, which includes a prospectus supplement related to the ATM. The Company may, at its discretion and from time-to-time, sell common shares of the Company in the ATM as would result in the Company receiving aggregate proceeds of up to $500 million. Since the ATM equity offering program commenced, the Company had issued 86,798,000 common shares for net proceeds of $237.3 million as of June 30, 2023.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Q2 2023 v. Q2 2022</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months ended June 30, 2023, the Company issued 17,611,000 common shares in the ATM in exchange for gross proceeds of $22.5 million at an average share price of approximately $1.28. The Company received net proceeds of $21.8 million after paying commissions of $0.7 million to the Company’s agent for the ATM. During the three months ended June 30, 2022, the Company issued 4,657,000 common shares in exchange for gross proceeds of $10.0 million at an average share price of approximately $2.14. The Company received net proceeds of $9.6 million after paying commissions of $0.3 million to the Company’s agent, in addition to $0.1 million of other transaction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30 Page</w:t>
      </w:r>
    </w:p>
    <w:p>
      <w:pPr>
        <w:sectPr>
          <w:pgSz w:w="11900" w:h="16838" w:orient="portrait"/>
          <w:cols w:equalWidth="0" w:num="1">
            <w:col w:w="11240"/>
          </w:cols>
          <w:pgMar w:left="320" w:top="90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Cash Flows from Financing Activities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YTD Q2 2023 v. YTD Q2 2022</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YTD Q2 2023, the Company issued 33,551,000 common shares in exchange for gross proceeds of $38.9 million at an average share price of approximately $1.16. The Company received net proceeds of $37.6 million after paying commissions of $1.2 million to the Company’s agent, in addition to $0.1 million of other transaction fees. During YTD Q2 2022, the Company issued 11,478,000 common shares in exchange for gross proceeds of $37.2 million at an average share price of approximately $3.24. The Company received net proceeds of $35.9 million after paying commissions of $1.1 million to the Company’s agent, in addition to $0.1 million of other transaction fees.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has used and intends to continue to use the proceeds from the ATM equity offering program prudently to support the growth and development of the Company’s Mining operations, as described in Section 6 - </w:t>
      </w:r>
      <w:r>
        <w:rPr>
          <w:rFonts w:ascii="Arial" w:cs="Arial" w:eastAsia="Arial" w:hAnsi="Arial"/>
          <w:sz w:val="18"/>
          <w:szCs w:val="18"/>
          <w:i w:val="1"/>
          <w:iCs w:val="1"/>
          <w:color w:val="auto"/>
        </w:rPr>
        <w:t>Expansion Projects</w:t>
      </w:r>
      <w:r>
        <w:rPr>
          <w:rFonts w:ascii="Arial" w:cs="Arial" w:eastAsia="Arial" w:hAnsi="Arial"/>
          <w:sz w:val="18"/>
          <w:szCs w:val="18"/>
          <w:color w:val="auto"/>
        </w:rPr>
        <w:t xml:space="preserve"> of this MD&amp;A, as well as for working capital and general corporate purposes. Described below are the actual use of proceeds from the commencement of the ATM equity offering program through June 30,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(U.S. $ in thousands except where indicated)</w:t>
            </w:r>
          </w:p>
        </w:tc>
        <w:tc>
          <w:tcPr>
            <w:tcW w:w="38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Use of proceeds from</w:t>
            </w:r>
          </w:p>
        </w:tc>
        <w:tc>
          <w:tcPr>
            <w:tcW w:w="0" w:type="dxa"/>
            <w:vAlign w:val="bottom"/>
          </w:tcPr>
          <w:p>
            <w:pPr>
              <w:spacing w:after="0"/>
              <w:rPr>
                <w:sz w:val="1"/>
                <w:szCs w:val="1"/>
                <w:color w:val="auto"/>
              </w:rPr>
            </w:pPr>
          </w:p>
        </w:tc>
      </w:tr>
      <w:tr>
        <w:trPr>
          <w:trHeight w:val="198"/>
        </w:trPr>
        <w:tc>
          <w:tcPr>
            <w:tcW w:w="7360" w:type="dxa"/>
            <w:vAlign w:val="bottom"/>
          </w:tcPr>
          <w:p>
            <w:pPr>
              <w:spacing w:after="0"/>
              <w:rPr>
                <w:sz w:val="17"/>
                <w:szCs w:val="17"/>
                <w:color w:val="auto"/>
              </w:rPr>
            </w:pPr>
          </w:p>
        </w:tc>
        <w:tc>
          <w:tcPr>
            <w:tcW w:w="3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18"/>
                <w:szCs w:val="18"/>
                <w:color w:val="auto"/>
              </w:rPr>
            </w:pPr>
          </w:p>
        </w:tc>
        <w:tc>
          <w:tcPr>
            <w:tcW w:w="3880" w:type="dxa"/>
            <w:vAlign w:val="bottom"/>
          </w:tcPr>
          <w:p>
            <w:pPr>
              <w:jc w:val="right"/>
              <w:ind w:right="10"/>
              <w:spacing w:after="0"/>
              <w:rPr>
                <w:sz w:val="20"/>
                <w:szCs w:val="20"/>
                <w:color w:val="auto"/>
              </w:rPr>
            </w:pPr>
            <w:r>
              <w:rPr>
                <w:rFonts w:ascii="Arial" w:cs="Arial" w:eastAsia="Arial" w:hAnsi="Arial"/>
                <w:sz w:val="18"/>
                <w:szCs w:val="18"/>
                <w:b w:val="1"/>
                <w:bCs w:val="1"/>
                <w:color w:val="auto"/>
              </w:rPr>
              <w:t>August 16, 2021 to</w:t>
            </w:r>
          </w:p>
        </w:tc>
        <w:tc>
          <w:tcPr>
            <w:tcW w:w="0" w:type="dxa"/>
            <w:vAlign w:val="bottom"/>
          </w:tcPr>
          <w:p>
            <w:pPr>
              <w:spacing w:after="0"/>
              <w:rPr>
                <w:sz w:val="1"/>
                <w:szCs w:val="1"/>
                <w:color w:val="auto"/>
              </w:rPr>
            </w:pPr>
          </w:p>
        </w:tc>
      </w:tr>
      <w:tr>
        <w:trPr>
          <w:trHeight w:val="234"/>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Categories</w:t>
            </w:r>
          </w:p>
        </w:tc>
        <w:tc>
          <w:tcPr>
            <w:tcW w:w="3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June 30, 2023</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MicroBT Miners</w:t>
            </w:r>
          </w:p>
        </w:tc>
        <w:tc>
          <w:tcPr>
            <w:tcW w:w="3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105,607</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Bitmain Miners</w:t>
            </w:r>
          </w:p>
        </w:tc>
        <w:tc>
          <w:tcPr>
            <w:tcW w:w="3880" w:type="dxa"/>
            <w:vAlign w:val="bottom"/>
          </w:tcPr>
          <w:p>
            <w:pPr>
              <w:jc w:val="right"/>
              <w:ind w:right="10"/>
              <w:spacing w:after="0"/>
              <w:rPr>
                <w:sz w:val="20"/>
                <w:szCs w:val="20"/>
                <w:color w:val="auto"/>
              </w:rPr>
            </w:pPr>
            <w:r>
              <w:rPr>
                <w:rFonts w:ascii="Arial" w:cs="Arial" w:eastAsia="Arial" w:hAnsi="Arial"/>
                <w:sz w:val="18"/>
                <w:szCs w:val="18"/>
                <w:b w:val="1"/>
                <w:bCs w:val="1"/>
                <w:color w:val="auto"/>
              </w:rPr>
              <w:t>29,298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Washington Expansion</w:t>
            </w:r>
          </w:p>
        </w:tc>
        <w:tc>
          <w:tcPr>
            <w:tcW w:w="3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27,152</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Sherbrooke Expansion (completed in 2022)</w:t>
            </w:r>
          </w:p>
        </w:tc>
        <w:tc>
          <w:tcPr>
            <w:tcW w:w="3880" w:type="dxa"/>
            <w:vAlign w:val="bottom"/>
          </w:tcPr>
          <w:p>
            <w:pPr>
              <w:jc w:val="right"/>
              <w:ind w:right="10"/>
              <w:spacing w:after="0"/>
              <w:rPr>
                <w:sz w:val="20"/>
                <w:szCs w:val="20"/>
                <w:color w:val="auto"/>
              </w:rPr>
            </w:pPr>
            <w:r>
              <w:rPr>
                <w:rFonts w:ascii="Arial" w:cs="Arial" w:eastAsia="Arial" w:hAnsi="Arial"/>
                <w:sz w:val="18"/>
                <w:szCs w:val="18"/>
                <w:b w:val="1"/>
                <w:bCs w:val="1"/>
                <w:color w:val="auto"/>
              </w:rPr>
              <w:t>22,201</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Argentina Expansion, net of gain on disposition of marketable securities</w:t>
            </w:r>
          </w:p>
        </w:tc>
        <w:tc>
          <w:tcPr>
            <w:tcW w:w="3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47,162</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Cowansville Expansion (completed in 2022)</w:t>
            </w:r>
          </w:p>
        </w:tc>
        <w:tc>
          <w:tcPr>
            <w:tcW w:w="3880" w:type="dxa"/>
            <w:vAlign w:val="bottom"/>
          </w:tcPr>
          <w:p>
            <w:pPr>
              <w:jc w:val="right"/>
              <w:ind w:right="10"/>
              <w:spacing w:after="0"/>
              <w:rPr>
                <w:sz w:val="20"/>
                <w:szCs w:val="20"/>
                <w:color w:val="auto"/>
              </w:rPr>
            </w:pPr>
            <w:r>
              <w:rPr>
                <w:rFonts w:ascii="Arial" w:cs="Arial" w:eastAsia="Arial" w:hAnsi="Arial"/>
                <w:sz w:val="18"/>
                <w:szCs w:val="18"/>
                <w:b w:val="1"/>
                <w:bCs w:val="1"/>
                <w:color w:val="auto"/>
              </w:rPr>
              <w:t>573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Paraguay Expansion</w:t>
            </w:r>
          </w:p>
        </w:tc>
        <w:tc>
          <w:tcPr>
            <w:tcW w:w="3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3,230</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Baie-Comeau Expansion</w:t>
            </w:r>
          </w:p>
        </w:tc>
        <w:tc>
          <w:tcPr>
            <w:tcW w:w="3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2,076</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shd w:val="clear" w:color="auto" w:fill="CCEEFF"/>
          </w:tcPr>
          <w:p>
            <w:pPr>
              <w:spacing w:after="0"/>
              <w:rPr>
                <w:sz w:val="18"/>
                <w:szCs w:val="18"/>
                <w:color w:val="auto"/>
              </w:rPr>
            </w:pPr>
          </w:p>
        </w:tc>
        <w:tc>
          <w:tcPr>
            <w:tcW w:w="3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237,299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intends to continue to explore expansion opportunities in new and existing facilities, subject to market conditions and the ability to continue to obtain suitable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3"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31 Page</w:t>
      </w:r>
    </w:p>
    <w:p>
      <w:pPr>
        <w:sectPr>
          <w:pgSz w:w="11900" w:h="16838" w:orient="portrait"/>
          <w:cols w:equalWidth="0" w:num="1">
            <w:col w:w="11240"/>
          </w:cols>
          <w:pgMar w:left="320" w:top="90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Bitfarms’ capital management objective is to provide the financial resources that will enable the Company to maximize the return for its shareholders while optimizing its cost of capital. In order to achieve this objective, the Company monitors its capital structure and makes adjustments as required in light of changes in economic conditions, the cost of providing the financing, and the risks to which the Company is exposed. The Company’s strategy for achieving this objective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Based on the current capital budget and BTC prices, the Company currently anticipates that additional financing would be required to complete construction of the second warehouse in Argentina when and if conditions are satisfactory and to initiate and complete the construction of other warehouses in Argentina, if the Company elects to do so. The Company anticipates that additional financing will be required to purchase sufficient Miners to meet its objective of generating 6.3 EH/s of computer power by the end of the third quarter of 2023, and 7.0 EH/s of computer power by the end of the first quarter of 2024. In order to achieve its business objectives, the Company may sell or borrow against the BTC that have been accumulated as of the date hereof as well as BTC generated from ongoing operations, which may or may not be possible on commercially attractive terms. Bitfarms intends to continue to manage its capital structure by striving to reduce operating expenses and unnecessary capital spending, disposing of inefficient or underutilized assets, obtaining short-term and long-term debt financing and issuing equity.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Asset Management Program</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early January 2021, the Company implemented a digital asset management program pursuant to which the Company added 3,301 BTC to its balance sheet during the year ended December 31, 2021. The Company has internal controls over the management of its digital assets, which it evaluates and enhances on a quarterly basis. The Company holds BTC for its intrinsic value and as a source of liquidity.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2022, the Board of Directors (the “BOD”) authorized management to purchase 1,000 BTC. During the second quarter of 2022, following the BOD approval, the Company sold 3,000 BTC in collateral to repay part of the Credit Facility and 350 BTC in treasury to manage liquidity levels. During the third quarter of 2022, the Company sold 670 BTC in collateral to repay part of the Credit Facility and 1,925 BTC in treasury to maintain sufficient liquidity levels. On August 1, 2022, management received approval from the BOD to sell daily production, in addition to any sale of up to 1,000 BTC from treasury, should market conditions be justified in its discretion. During Q4 2022, the Company sold 1,359 BTC in collateral to repay the remaining balance of the Credit Facility in full and 1,734 BTC in treasury to manage liquidity levels.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Q1 2023 and Q2 2023, the Company sold 1,267 BTC and 1,109 BTC, respectively, for total proceeds of $28.5 million and $30.9 million, respectively, a portion of which was used to repay equipment-related indebtedness and fund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purchase and disposal of BTC as described above while the Company continued to mine BTC resulted in total holdings of 549 BTC as of June 30, 2023, valued at approximately $16.7 million based on a BTC price of approximately $30,500, 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3"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32 Page</w:t>
      </w:r>
    </w:p>
    <w:p>
      <w:pPr>
        <w:sectPr>
          <w:pgSz w:w="11900" w:h="16838" w:orient="portrait"/>
          <w:cols w:equalWidth="0" w:num="1">
            <w:col w:w="11240"/>
          </w:cols>
          <w:pgMar w:left="320" w:top="904"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Resources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Custody of digital assets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BTC received from its Mining Pool for its computational power is delivered to multi-signature wallets that the Company controls or directly to an external third-party custodian. On a regular basis, the Company transfers BTC from its multi-signature wallets to an external third-party custodian, Coinbase Custody, LLC (“Coinbase Custody”). Coinbase Custody is a US-based fiduciary and qualified custodian under New York Banking Law and is licensed by the State of New York to custody digital assets. Currently, Coinbase Custody provides only custodial services to the Company and does not use a sub-custodian. Coinbase Custody is not a related party to the Company. Coinbase Custody is a fiduciary under § 100 of the New York Banking Law and is licensed to custody its clients’ digital assets in trust on their behalf. Coinbase Custody is a qualified custodian for the purposes of § 206 (4) -2(d)(6) of the U.S. Investment Advisers Act of 1940, as amended.</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internal controls in place to evaluate its custodians on a quarterly basis. The Company has other custodians and its own multi-signature wallets as a contingency plan that would have a minimal impact on the Company’s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August 7, 2023, the Company has 623 BTC, valued at $17.9 million on its balance sheet. As of the date of this MD&amp;A, 99% of the Company’s BTC are held in custody with Coinbase Custody or held as collateral within Coinbase Custody by NYDIG, the counterparty to the Company’s equipment financing, which is classified as long-term debt in the statement of financial position.</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Coinbase Custody maintains an insurance policy of $320 million for its cold storage; however, the Company cannot ensure that the full limits of that policy would be available to the Company or, if available, sufficient to make the Company whole for any BTC that are lost or stolen. The Company is unaware of:</w:t>
      </w:r>
    </w:p>
    <w:p>
      <w:pPr>
        <w:jc w:val="both"/>
        <w:ind w:firstLine="8"/>
        <w:spacing w:after="0" w:line="268" w:lineRule="auto"/>
        <w:tabs>
          <w:tab w:leader="none" w:pos="239"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security breaches involving Coinbase Custody which have resulted in the Company’s crypto assets being lost or stolen, and (ii) anything with regards to Coinbase Custody’s operations that would adversely affect the Company’s ability to obtain an unqualified audit opinion on its audited financial statements. The Company’s crypto assets held in custody with Coinbase may not be recoverable in the event of bankruptcy by Coinbase or its affiliates. In its quarterly report, on Form 10-Q, filed with the U.S. Securities Exchange Commission on August 3, 2023,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33 Page</w:t>
      </w:r>
    </w:p>
    <w:p>
      <w:pPr>
        <w:sectPr>
          <w:pgSz w:w="11900" w:h="16838" w:orient="portrait"/>
          <w:cols w:equalWidth="0" w:num="1">
            <w:col w:w="11240"/>
          </w:cols>
          <w:pgMar w:left="320" w:top="904"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LIQUIDITY AND CAPITAL RESOURCES </w:t>
      </w:r>
      <w:r>
        <w:rPr>
          <w:rFonts w:ascii="Arial" w:cs="Arial" w:eastAsia="Arial" w:hAnsi="Arial"/>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Resources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program of digital assets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hedging strategy aims at reducing the risk of variability of future cash flows resulting from future disposals of digital assets and in consideration of the volatility and adverse price movements of the digital assets in the prior months. In March 2023, the BOD approved a hedging program and authorized Management, through a risk management committee specifically created to this purpose, to undertake hedges of BTC option contracts up to 20% of the Company’s BTC production per month and up to three months of unmined BTC production. In April 2023, the BOD authorized Management to increase the BTC option contracts up to 50% of the Company’s BTC production per month and up to six months of unmined BTC production. However, the risk management committee has not engaged in option contracts to the full extent permitted by the BOD. As of August 7, 2023, the Company did not have any open contracts. It remains within the risk management committee’s discretion to dynamically adjust Bitfarms’ hedge ratio within the risk limits approved by the BOD and in response to market factors that are beyond the Company’s operational control.</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six months ended June 30, 2023, the Company had secured BTC option contracts to sell digital assets which resulted in a loss of $0.2 million and $0.2 million, respectively, mainly related to premiums paid for the option contracts hedging the potential risk of the BTC price decreasing. Refer to Note 16 to the Financial Statements for more details.</w:t>
      </w:r>
    </w:p>
    <w:p>
      <w:pPr>
        <w:spacing w:after="0" w:line="180"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are the contractual maturities of financial liabilities and gross lease liabilities (non-financial liabilities) with estimated future interest payments as of June 30,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2027 and</w:t>
            </w:r>
          </w:p>
        </w:tc>
        <w:tc>
          <w:tcPr>
            <w:tcW w:w="920" w:type="dxa"/>
            <w:vAlign w:val="bottom"/>
          </w:tcPr>
          <w:p>
            <w:pPr>
              <w:spacing w:after="0"/>
              <w:rPr>
                <w:sz w:val="18"/>
                <w:szCs w:val="18"/>
                <w:color w:val="auto"/>
              </w:rPr>
            </w:pPr>
          </w:p>
        </w:tc>
      </w:tr>
      <w:tr>
        <w:trPr>
          <w:trHeight w:val="234"/>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(U.S. $ in thousands)</w:t>
            </w:r>
          </w:p>
        </w:tc>
        <w:tc>
          <w:tcPr>
            <w:tcW w:w="1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2026</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thereafter</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payable and accrued liabilities</w:t>
            </w:r>
          </w:p>
        </w:tc>
        <w:tc>
          <w:tcPr>
            <w:tcW w:w="17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10,302</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10,302</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700" w:type="dxa"/>
            <w:vAlign w:val="bottom"/>
          </w:tcPr>
          <w:p>
            <w:pPr>
              <w:jc w:val="right"/>
              <w:ind w:right="270"/>
              <w:spacing w:after="0"/>
              <w:rPr>
                <w:sz w:val="20"/>
                <w:szCs w:val="20"/>
                <w:color w:val="auto"/>
              </w:rPr>
            </w:pPr>
            <w:r>
              <w:rPr>
                <w:rFonts w:ascii="Arial" w:cs="Arial" w:eastAsia="Arial" w:hAnsi="Arial"/>
                <w:sz w:val="18"/>
                <w:szCs w:val="18"/>
                <w:b w:val="1"/>
                <w:bCs w:val="1"/>
                <w:color w:val="auto"/>
              </w:rPr>
              <w:t>12,256</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4,085</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16,341</w:t>
            </w:r>
          </w:p>
        </w:tc>
      </w:tr>
      <w:tr>
        <w:trPr>
          <w:trHeight w:val="216"/>
        </w:trPr>
        <w:tc>
          <w:tcPr>
            <w:tcW w:w="4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7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3,745</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2,649</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2,488</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9,069</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19,955</w:t>
            </w:r>
          </w:p>
        </w:tc>
      </w:tr>
      <w:tr>
        <w:trPr>
          <w:trHeight w:val="217"/>
        </w:trPr>
        <w:tc>
          <w:tcPr>
            <w:tcW w:w="4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24,562</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7,830</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2,649</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2,488</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9,069</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46,598</w:t>
            </w:r>
          </w:p>
        </w:tc>
      </w:tr>
      <w:tr>
        <w:trPr>
          <w:trHeight w:val="432"/>
        </w:trPr>
        <w:tc>
          <w:tcPr>
            <w:tcW w:w="420" w:type="dxa"/>
            <w:vAlign w:val="bottom"/>
          </w:tcPr>
          <w:p>
            <w:pPr>
              <w:spacing w:after="0"/>
              <w:rPr>
                <w:sz w:val="20"/>
                <w:szCs w:val="20"/>
                <w:color w:val="auto"/>
              </w:rPr>
            </w:pPr>
            <w:r>
              <w:rPr>
                <w:rFonts w:ascii="Arial" w:cs="Arial" w:eastAsia="Arial" w:hAnsi="Arial"/>
                <w:sz w:val="18"/>
                <w:szCs w:val="18"/>
                <w:b w:val="1"/>
                <w:bCs w:val="1"/>
                <w:color w:val="auto"/>
              </w:rPr>
              <w:t>D.</w:t>
            </w:r>
          </w:p>
        </w:tc>
        <w:tc>
          <w:tcPr>
            <w:tcW w:w="3760" w:type="dxa"/>
            <w:vAlign w:val="bottom"/>
          </w:tcPr>
          <w:p>
            <w:pPr>
              <w:ind w:left="240"/>
              <w:spacing w:after="0"/>
              <w:rPr>
                <w:sz w:val="20"/>
                <w:szCs w:val="20"/>
                <w:color w:val="auto"/>
              </w:rPr>
            </w:pPr>
            <w:r>
              <w:rPr>
                <w:rFonts w:ascii="Arial" w:cs="Arial" w:eastAsia="Arial" w:hAnsi="Arial"/>
                <w:sz w:val="18"/>
                <w:szCs w:val="18"/>
                <w:b w:val="1"/>
                <w:bCs w:val="1"/>
                <w:color w:val="auto"/>
              </w:rPr>
              <w:t>Commitments</w:t>
            </w: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Company had no commitments.</w:t>
      </w:r>
    </w:p>
    <w:p>
      <w:pPr>
        <w:spacing w:after="0" w:line="221"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August 7, 2023, the Company does not have any off-balance sheet arrangements that have, or are reasonably likely to have, a current or future effect on the financial performance or financial condition of the Company including, without limitation, such considerations as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7"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34 Page</w:t>
      </w:r>
    </w:p>
    <w:p>
      <w:pPr>
        <w:sectPr>
          <w:pgSz w:w="11900" w:h="16838" w:orient="portrait"/>
          <w:cols w:equalWidth="0" w:num="1">
            <w:col w:w="11240"/>
          </w:cols>
          <w:pgMar w:left="320" w:top="90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POSITION</w:t>
      </w:r>
    </w:p>
    <w:p>
      <w:pPr>
        <w:spacing w:after="0" w:line="225"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3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As of June 30,</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As of</w:t>
            </w: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vMerge w:val="continue"/>
          </w:tcPr>
          <w:p>
            <w:pPr>
              <w:spacing w:after="0"/>
              <w:rPr>
                <w:sz w:val="20"/>
                <w:szCs w:val="20"/>
                <w:color w:val="auto"/>
              </w:rPr>
            </w:pP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December 31,</w:t>
            </w:r>
          </w:p>
        </w:tc>
        <w:tc>
          <w:tcPr>
            <w:tcW w:w="1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 in thousands)</w:t>
            </w:r>
          </w:p>
        </w:tc>
        <w:tc>
          <w:tcPr>
            <w:tcW w:w="3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3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72,058</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69,088</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2,970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Current Liabilities</w:t>
            </w:r>
          </w:p>
        </w:tc>
        <w:tc>
          <w:tcPr>
            <w:tcW w:w="3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37,413</w:t>
            </w: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67,244</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(29,831)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7"/>
        </w:trPr>
        <w:tc>
          <w:tcPr>
            <w:tcW w:w="39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Working Capital</w:t>
            </w:r>
          </w:p>
        </w:tc>
        <w:tc>
          <w:tcPr>
            <w:tcW w:w="3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34,645</w:t>
            </w:r>
          </w:p>
        </w:tc>
        <w:tc>
          <w:tcPr>
            <w:tcW w:w="1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1,844</w:t>
            </w: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32,801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Bitfarms had working capital of $34.6 million, compared to $1.8 million as of December 31, 2022. The increase in working capital was mostly due to:</w:t>
      </w:r>
    </w:p>
    <w:p>
      <w:pPr>
        <w:spacing w:after="0" w:line="170" w:lineRule="exact"/>
        <w:rPr>
          <w:sz w:val="20"/>
          <w:szCs w:val="20"/>
          <w:color w:val="auto"/>
        </w:rPr>
      </w:pPr>
    </w:p>
    <w:p>
      <w:pPr>
        <w:jc w:val="both"/>
        <w:ind w:left="660" w:hanging="328"/>
        <w:spacing w:after="0" w:line="255" w:lineRule="auto"/>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The extinguishment of the BlockFi loan in Q1 2023 which had an outstanding balance of $20.0 million on December 31, 2022, for a payment of $7.8 million, resulting in an increase of $12.2 million in working capital. Refer to section 10A </w:t>
      </w:r>
      <w:r>
        <w:rPr>
          <w:rFonts w:ascii="Arial" w:cs="Arial" w:eastAsia="Arial" w:hAnsi="Arial"/>
          <w:sz w:val="18"/>
          <w:szCs w:val="18"/>
          <w:i w:val="1"/>
          <w:iCs w:val="1"/>
          <w:color w:val="auto"/>
        </w:rPr>
        <w:t>- Liquidity and Capital Resources</w:t>
      </w:r>
      <w:r>
        <w:rPr>
          <w:rFonts w:ascii="Arial" w:cs="Arial" w:eastAsia="Arial" w:hAnsi="Arial"/>
          <w:sz w:val="18"/>
          <w:szCs w:val="18"/>
          <w:color w:val="auto"/>
        </w:rPr>
        <w:t xml:space="preserve"> for details on the extinguishment of the BlockFi loan.</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Scheduled capital repayments of $10.7 million towards the NYDIG loan. The effect on working capital is nil as it decreased the cash balance by a corresponding amount.</w:t>
      </w:r>
    </w:p>
    <w:p>
      <w:pPr>
        <w:ind w:left="660" w:hanging="328"/>
        <w:spacing w:after="0" w:line="250" w:lineRule="auto"/>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$10.0 million increase in total digital assets, including the digital assets pledged as collateral, resulting from the increase of the Company’s treasury by 144 BTC and the appreciation of the BTC price during YTD Q2 2023.</w:t>
      </w:r>
    </w:p>
    <w:p>
      <w:pPr>
        <w:ind w:left="660" w:hanging="328"/>
        <w:spacing w:after="0" w:line="323" w:lineRule="auto"/>
        <w:tabs>
          <w:tab w:leader="none" w:pos="660"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These increases were offset by a decrease in short-term prepaid deposits of $10.1 million, mainly related to the impairment loss on short-term prepaid deposits of $7.0 million for the three and six months ended June 30, 2023. Refer to section 7E - </w:t>
      </w:r>
      <w:r>
        <w:rPr>
          <w:rFonts w:ascii="Arial" w:cs="Arial" w:eastAsia="Arial" w:hAnsi="Arial"/>
          <w:sz w:val="16"/>
          <w:szCs w:val="16"/>
          <w:i w:val="1"/>
          <w:iCs w:val="1"/>
          <w:color w:val="auto"/>
        </w:rPr>
        <w:t>Financial Performance (Impairment).</w:t>
      </w:r>
    </w:p>
    <w:p>
      <w:pPr>
        <w:spacing w:after="0" w:line="134" w:lineRule="exact"/>
        <w:rPr>
          <w:rFonts w:ascii="Arial" w:cs="Arial" w:eastAsia="Arial" w:hAnsi="Arial"/>
          <w:sz w:val="16"/>
          <w:szCs w:val="16"/>
          <w:color w:val="auto"/>
        </w:rPr>
      </w:pPr>
    </w:p>
    <w:p>
      <w:pPr>
        <w:ind w:left="660" w:hanging="652"/>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34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As of June 30,</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As of</w:t>
            </w: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vMerge w:val="continue"/>
          </w:tcPr>
          <w:p>
            <w:pPr>
              <w:spacing w:after="0"/>
              <w:rPr>
                <w:sz w:val="20"/>
                <w:szCs w:val="20"/>
                <w:color w:val="auto"/>
              </w:rPr>
            </w:pP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December 31,</w:t>
            </w:r>
          </w:p>
        </w:tc>
        <w:tc>
          <w:tcPr>
            <w:tcW w:w="1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 in thousands)</w:t>
            </w:r>
          </w:p>
        </w:tc>
        <w:tc>
          <w:tcPr>
            <w:tcW w:w="3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34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120,307</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142,654</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(22,347)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USA</w:t>
            </w:r>
          </w:p>
        </w:tc>
        <w:tc>
          <w:tcPr>
            <w:tcW w:w="3440" w:type="dxa"/>
            <w:vAlign w:val="bottom"/>
          </w:tcPr>
          <w:p>
            <w:pPr>
              <w:jc w:val="right"/>
              <w:ind w:right="70"/>
              <w:spacing w:after="0"/>
              <w:rPr>
                <w:sz w:val="20"/>
                <w:szCs w:val="20"/>
                <w:color w:val="auto"/>
              </w:rPr>
            </w:pPr>
            <w:r>
              <w:rPr>
                <w:rFonts w:ascii="Arial" w:cs="Arial" w:eastAsia="Arial" w:hAnsi="Arial"/>
                <w:sz w:val="18"/>
                <w:szCs w:val="18"/>
                <w:b w:val="1"/>
                <w:bCs w:val="1"/>
                <w:color w:val="auto"/>
              </w:rPr>
              <w:t>26,652</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32,664</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(6,012)</w:t>
            </w: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Argentina</w:t>
            </w:r>
          </w:p>
        </w:tc>
        <w:tc>
          <w:tcPr>
            <w:tcW w:w="34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42,106</w:t>
            </w: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31,927</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10,179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Paraguay</w:t>
            </w:r>
          </w:p>
        </w:tc>
        <w:tc>
          <w:tcPr>
            <w:tcW w:w="3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11,465</w:t>
            </w: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12,183</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(718)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3740" w:type="dxa"/>
            <w:vAlign w:val="bottom"/>
            <w:tcBorders>
              <w:bottom w:val="single" w:sz="8" w:color="auto"/>
            </w:tcBorders>
            <w:shd w:val="clear" w:color="auto" w:fill="CCEEFF"/>
          </w:tcPr>
          <w:p>
            <w:pPr>
              <w:spacing w:after="0"/>
              <w:rPr>
                <w:sz w:val="18"/>
                <w:szCs w:val="18"/>
                <w:color w:val="auto"/>
              </w:rPr>
            </w:pPr>
          </w:p>
        </w:tc>
        <w:tc>
          <w:tcPr>
            <w:tcW w:w="3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200,530</w:t>
            </w:r>
          </w:p>
        </w:tc>
        <w:tc>
          <w:tcPr>
            <w:tcW w:w="1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219,428</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(18,898)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2023, Bitfarms had PPE of $200.5 million, compared to $219.4 million as of December 31, 2022. The decrease of $18.9 million, or 9%, was primarily due to the $22.3 million decrease of PPE in Canada, mainly relating to depreciation expense. PPE in the US decreased by $6.0 million mostly due to depreciation expense incurred on Miners purchased for the Washington facilities in 2021. These decreases were partially offset by the $10.2 million increase in Argentina PPE mainly due to the delivery of approximately 5,100 Miners in YTD Q2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4"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35 Page</w:t>
      </w:r>
    </w:p>
    <w:p>
      <w:pPr>
        <w:sectPr>
          <w:pgSz w:w="11900" w:h="16838" w:orient="portrait"/>
          <w:cols w:equalWidth="0" w:num="1">
            <w:col w:w="11240"/>
          </w:cols>
          <w:pgMar w:left="320" w:top="904"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discloses information on the classification and fair value of its financial instruments, as well as on the nature and extent of risks arising from financial instruments, and related risk management in Note 16 to the Financial Statements and Note 22 to the 2022 Annual Financial Statements. Risks are related to foreign currency, credit, counterparty, liquidity, and concentration.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discloses information on its related party transactions, as defined in IAS 24, </w:t>
      </w:r>
      <w:r>
        <w:rPr>
          <w:rFonts w:ascii="Arial" w:cs="Arial" w:eastAsia="Arial" w:hAnsi="Arial"/>
          <w:sz w:val="18"/>
          <w:szCs w:val="18"/>
          <w:i w:val="1"/>
          <w:iCs w:val="1"/>
          <w:color w:val="auto"/>
        </w:rPr>
        <w:t>Related Party Disclosures</w:t>
      </w:r>
      <w:r>
        <w:rPr>
          <w:rFonts w:ascii="Arial" w:cs="Arial" w:eastAsia="Arial" w:hAnsi="Arial"/>
          <w:sz w:val="18"/>
          <w:szCs w:val="18"/>
          <w:color w:val="auto"/>
        </w:rPr>
        <w:t>, in Note 17 to the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INTERNAL CONTROLS OVER FINANCIAL REPORTING</w:t>
      </w:r>
    </w:p>
    <w:p>
      <w:pPr>
        <w:spacing w:after="0" w:line="225"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Management, under the supervision of the Chief Executive Officer (“CEO”) and Chief Financial Officer (“CFO”) of the Company, has designed or caused to be designed under their supervision, disclosure controls and procedures (“DC&amp;P”) to provide reasonable assurance that:</w:t>
      </w:r>
    </w:p>
    <w:p>
      <w:pPr>
        <w:spacing w:after="0" w:line="146" w:lineRule="exact"/>
        <w:rPr>
          <w:sz w:val="20"/>
          <w:szCs w:val="20"/>
          <w:color w:val="auto"/>
        </w:rPr>
      </w:pPr>
    </w:p>
    <w:p>
      <w:pPr>
        <w:ind w:firstLine="8"/>
        <w:spacing w:after="0" w:line="277" w:lineRule="auto"/>
        <w:tabs>
          <w:tab w:leader="none" w:pos="175"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material information relating to the Company is made known to them by others, particularly during the period in which the annual filings are being prepared; and</w:t>
      </w:r>
    </w:p>
    <w:p>
      <w:pPr>
        <w:spacing w:after="0" w:line="170" w:lineRule="exact"/>
        <w:rPr>
          <w:rFonts w:ascii="Arial" w:cs="Arial" w:eastAsia="Arial" w:hAnsi="Arial"/>
          <w:sz w:val="18"/>
          <w:szCs w:val="18"/>
          <w:color w:val="auto"/>
        </w:rPr>
      </w:pPr>
    </w:p>
    <w:p>
      <w:pPr>
        <w:ind w:firstLine="8"/>
        <w:spacing w:after="0" w:line="277" w:lineRule="auto"/>
        <w:tabs>
          <w:tab w:leader="none" w:pos="225"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information required to be disclosed by the Company in its annual filings, interim filings or other reports filed or submitted by the Company under securities legislation is recorded, processed, summarized and reported within the time periods specified in securities legislation.</w:t>
      </w:r>
    </w:p>
    <w:p>
      <w:pPr>
        <w:spacing w:after="0" w:line="166"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under the supervision of the CEO and CFO, is also responsible for establishing and maintaining adequate internal controls over financial reporting (“ICFR”). Management, under the supervision of the CEO and CFO, has designed ICFR, or caused them to be designed under their supervision, to provide reasonable assurance regarding the reliability of financial reporting and the preparation of financial statements for external purposes in accordance with IFRS.</w:t>
      </w:r>
    </w:p>
    <w:p>
      <w:pPr>
        <w:spacing w:after="0" w:line="183"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changes in the Company’s ICFR that have materially affected, or are reasonably likely to materially affect, the Company’s ICFR during the period beginning on April 1, 2023 and ended June 30, 2023.</w:t>
      </w:r>
    </w:p>
    <w:p>
      <w:pPr>
        <w:spacing w:after="0" w:line="166"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DC&amp;P and ICFR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control systems contain inherent limitations, no matter how well designed. As a result, the Company’s management acknowledges that its internal control over financial reporting will not prevent or detect all misstatements due to error or fraud. In addition, management’s evaluation of controls can provide only reasonable, not absolute, assurance that all control issues that may result in material misstatements, if any, have been detected.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8"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36 Page</w:t>
      </w:r>
    </w:p>
    <w:p>
      <w:pPr>
        <w:sectPr>
          <w:pgSz w:w="11900" w:h="16838" w:orient="portrait"/>
          <w:cols w:equalWidth="0" w:num="1">
            <w:col w:w="11240"/>
          </w:cols>
          <w:pgMar w:left="320" w:top="90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RECENT AND SUBSEQUENT EVENTS</w:t>
      </w:r>
    </w:p>
    <w:p>
      <w:pPr>
        <w:spacing w:after="0" w:line="225"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At-The-Market Equity Offering Program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period from July 1, 2023, to August 7, 2023, the Company issued 14,726,000 common shares through its at-the-market equity offering program in exchange for gross proceeds of $26.4 million at an average share price of approximately $1.79. The Company received net proceeds of $25.6 million after paying commissions of $0.8 million to the Company’s agent.</w:t>
      </w:r>
    </w:p>
    <w:p>
      <w:pPr>
        <w:spacing w:after="0" w:line="180"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Baie-Comeau (Quebec) Acquisition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10, 2023, the Company entered into agreements to acquire 100% of the shares of a corporation that owns the right to 22 MW of hydro power capacity in Baie-Comeau, Quebec, and lease a site to install the infrastructure to operate the acquired capacity.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5, 2023, the Company completed the acquisition. The consideration transferred at closing totaled $1.9 million (CAD$2.5 million), of which $0.8 million (CAD$1.0 million) was paid in cash and $1.1 million (CAD$1.5 million) was paid through the issuance of 821,000 common shares of the Company. The lease agreement is for an industrialized site in Baie-Comeau for an initial term of 10 years at $16,000 (CAD$21,000) a month. The lease agreement also provides the Company with the option to purchase the site for $2.2 million (CAD$3.0 million) with an annual adjustment of the lesser of (i) the Consumer Price Index and (ii) 3% throughout the lease term.</w:t>
      </w:r>
    </w:p>
    <w:p>
      <w:pPr>
        <w:spacing w:after="0" w:line="184"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Disposition of Suni Mineral Asset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July 27, 2023, the Company sold the Suni mineral asset for a nominal amount to a third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 CAPITAL</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the date of this MD&amp;A, the Company has 273,806,000 common shares outstanding, 9,974,000 vested and 9,026,000 unvested stock options, 19,153,000 warrants outstanding and 292,000 restricted stock units. There are no preferred shares or any other classes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69"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37 Page</w:t>
      </w:r>
    </w:p>
    <w:p>
      <w:pPr>
        <w:sectPr>
          <w:pgSz w:w="11900" w:h="16838" w:orient="portrait"/>
          <w:cols w:equalWidth="0" w:num="1">
            <w:col w:w="11240"/>
          </w:cols>
          <w:pgMar w:left="320" w:top="90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a number of risks and uncertainties and is affected by several factors which could have a material adverse effect on the Company’s business, financial condition, operating results, and/or future prospects. These risks should be considered when evaluating an investment in the Company and may, among other things, cause a decline in the price of the Corporation’s shares.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risks and uncertainties that Management considers as the most material to the Company’s business are described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the Company’s Management’s Discussion and Analysis for the year ended December 31, 2022, dated March 20, 2023. These risks and uncertainties have not materially changed in the six months ended June 30, 2023, other than the risk described below, and hereby incorporated by reference.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actively engages in hedging practices with respect to its cryptocurrency holdings to lessen the impact of BTC volatility on the Company’s results of operations and financial condition and to optimize cryptocurrency monetization. Although hedging activities are undertaken on a risk adjusted basis, there can be no certainty that such activities will be profitable and these activities could result in significant losses. Hedging operates as a compliment to BTC mining. The effectiveness of the hedging relationship should be evaluated alongside the Company’s mining performance. In addition, hedging practices involve transactions with third parties. Any settlement delay or failure, security breach, incurred cost or loss of digital assets associated with the use of a counterparty could materially and adversely affect the execution of hedging strategies and result in significant losses. Although the Company maintains rigorous controls on the implementation and monitoring of hedging strategies, including its involvement with counterparties, there can be no assurance that such controls will be effective or timely or sufficient in operation to avoid or even reduce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markets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in a company with operations in emerging markets entails certain inherit risks</w:t>
      </w: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conducts Mining operations in various jurisdictions, including in Argentina and Paraguay, which are emerging markets. Investing in a company with operations in emerging markets involves inherent risks, which may include: (i) expropriation or nationalization of property; (ii) changes in laws or policies or increasing legal and regulatory requirements of particular countries, including those relating to taxation, royalties, imports, exports, duties, currency, or other claims by government entities, including retroactive claims and/or changes in the administration of laws, policies and practices;</w:t>
      </w:r>
    </w:p>
    <w:p>
      <w:pPr>
        <w:spacing w:after="0" w:line="2" w:lineRule="exact"/>
        <w:rPr>
          <w:sz w:val="20"/>
          <w:szCs w:val="20"/>
          <w:color w:val="auto"/>
        </w:rPr>
      </w:pPr>
    </w:p>
    <w:p>
      <w:pPr>
        <w:jc w:val="both"/>
        <w:ind w:firstLine="8"/>
        <w:spacing w:after="0" w:line="268" w:lineRule="auto"/>
        <w:tabs>
          <w:tab w:leader="none" w:pos="33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uncertain political and economic environments, war, terrorism, sabotage and civil disturbances; (iv) lack of certainty with respect to legal systems, corruption and other factors that are inconsistent with the rule of law; (v) delays in obtaining or the inability to obtain or maintain necessary governmental permits or to operate in accordance with such permits or regulatory requirements; (vi) import and export regulations, including restrictions on the import of miners and other equipment relevant to the Company’s Mining operations; (vii) limitations on the repatriation of earnings and other forms of currency controls, monetary restrictions and limitations under economic policies; (viii) underdeveloped industrial or economic infrastructure; (ix) internal security issues; (x) increased financing costs; (xi) renegotiation, cancellation or forced modification of existing contracts; and (xii) risk of loss due to disease, and other potential medical endemic or pandemic issues, as a result of the potential related impact to employees, disruption to operations, supply chain delays, trade restrictions and impact on economic activity in affected countries or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0"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38 Page</w:t>
      </w:r>
    </w:p>
    <w:p>
      <w:pPr>
        <w:sectPr>
          <w:pgSz w:w="11900" w:h="16838" w:orient="portrait"/>
          <w:cols w:equalWidth="0" w:num="1">
            <w:col w:w="11240"/>
          </w:cols>
          <w:pgMar w:left="320" w:top="90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RISK FACTORS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Emerging markets </w:t>
      </w:r>
      <w:r>
        <w:rPr>
          <w:rFonts w:ascii="Arial" w:cs="Arial" w:eastAsia="Arial" w:hAnsi="Arial"/>
          <w:sz w:val="18"/>
          <w:szCs w:val="18"/>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Investing in a company with operations in emerging market entails certain inherit risks </w:t>
      </w:r>
      <w:r>
        <w:rPr>
          <w:rFonts w:ascii="Arial" w:cs="Arial" w:eastAsia="Arial" w:hAnsi="Arial"/>
          <w:sz w:val="18"/>
          <w:szCs w:val="18"/>
          <w:color w:val="auto"/>
        </w:rPr>
        <w:t>(Continued)</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can be no guarantee that one or more of the events described above will not occur in the future and the impact of such event or events on the Company’s operations cannot be accurately predicted at this time. The occurrence of one or more such events may have a material adverse effect on the Company’s operations in the affected jurisdiction or jurisdictions, including, but not limited to, disruptions to its operations, the loss of property, unprofitability of its operations, protracted legal and regulatory proceedings, and other penalties or sanctions.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Argentina and/or Paraguay may experience economic volatility and other challenges that could affect the Company’s business, financial condition and result of operations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profitability of the Company’s Mining operations in Argentina and Paraguay and the Company’s ability to continue such operations depend in part upon local economic, social and/or political conditions, which, in turn, may affect the Company’s business, financial position and results of operations. Adverse external economic factors; inconsistent fiscal and monetary policies; dependence of governments on external financing; changes in governmental economic policies; high levels of inflation; abrupt changes in currency values; high interest rates; volatility of exchange rates; political and social tensions; exchange controls; wage and price controls; the imposition of trade barriers; and trade shock are examples of economic and social conditions over which the Company has no control and which may have an adverse effect on the Company’s operations in those geographies and, given the materiality to the Company of such operations, may adversely affect the Company’s business, financial condition, results of operations, cash flows and prospects.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economies of Argentina and Paraguay are vulnerable to external shocks caused by significant economic difficulties of their respective trading partners or by more general “contagion” effects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Weak, flat or negative economic growth or changes in international trade policy of the major trading partners of Argentina and Paraguay could adversely affect its balance of payments and, consequently, its economic growth.</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Argentina in particular has experienced significant political and social economic instability in the past and may experience further instability in the future. For instance, in 2001 and 2002, Argentina suffered a major political, economic and social crisis, which resulted in institutional instability and a severe contraction of the economy with significant increases in unemployment and poverty rates. Among other consequences, the crisis caused a large currency devaluation and led to the government of Argentina defaulting on its external debt. In response, the government of Argentina implemented a series of emergency measures, including strict foreign exchange restrictions and monthly limits on bank withdrawals, which affected public companies and other sectors of Argentina’s economy. Despite a brief recovery from that crisis, since 2008, Argentina has struggled to curb strong inflationary pressures and growth stagnated starting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39 Page</w:t>
      </w:r>
    </w:p>
    <w:p>
      <w:pPr>
        <w:sectPr>
          <w:pgSz w:w="11900" w:h="16838" w:orient="portrait"/>
          <w:cols w:equalWidth="0" w:num="1">
            <w:col w:w="11240"/>
          </w:cols>
          <w:pgMar w:left="320" w:top="904"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RISK FACTORS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Emerging markets </w:t>
      </w:r>
      <w:r>
        <w:rPr>
          <w:rFonts w:ascii="Arial" w:cs="Arial" w:eastAsia="Arial" w:hAnsi="Arial"/>
          <w:sz w:val="18"/>
          <w:szCs w:val="18"/>
          <w:color w:val="auto"/>
        </w:rPr>
        <w:t>(Continued)</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The economies in Argentina and Paraguay are vulnerable to external shocks caused by significant economic difficulties of their respective trading partners or by more general “contagion” effects </w:t>
      </w:r>
      <w:r>
        <w:rPr>
          <w:rFonts w:ascii="Arial" w:cs="Arial" w:eastAsia="Arial" w:hAnsi="Arial"/>
          <w:sz w:val="18"/>
          <w:szCs w:val="18"/>
          <w:color w:val="auto"/>
        </w:rPr>
        <w:t>(Continued)</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economic conditions of Argentina and Paraguay are dependent on a variety of factors, including, but not limited to, the following: (i) international demand for Argentina’s and Paraguay’s principal exports; (ii) international prices for Argentina’s and Paraguay’s principal commodity exports; (iii) stability and competitiveness of the currencies of Argentina and Paraguay with respect to foreign currencies; competitiveness and efficiency of domestic industries and services; (iv) levels of domestic consumption and foreign and domestic investment and financing; and (v) the rate of inflation. Any difficulties faced by the economies or financial condition of Argentina and Paraguay could have a material adverse effect on companies operating in Argentina and Paraguay, including the Company.</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Company conducts operations in countries known to experience high levels of corruption, and any violation of anti-corruption laws could subject us to penalties and other adverse consequences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subject to anti-corruption, anti-bribery, anti-money laundering and other international laws and regulations and is required to comply with the applicable laws and regulations of each jurisdiction in which the Company operates. In general, these laws prohibit improper payments or offers of payments to governments and their officials, political parties, state-owned or controlled enterprises, and/or private entities and individuals for the purpose of obtaining or retaining business. In addition, the Company is subject to economic sanctions regulations that restrict its dealings with certain sanctioned countries, individuals and entities.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the Company’s operations are located in Argentina and Paraguay, which are jurisdictions perceived as having relatively high levels of corruption. The Company’s activities in these countries increase the risk of, or potential for, unauthorized payments or offers of payments by one of the Company’s employees, contractors, or agents that could be in violation of various laws, including anti-bribery laws applicable to the Company. In addition, the Company’s ability to secure permits, renewals or other government approvals required to maintain its operations could be negatively impacted by corruption in one or more governmental institutions in Argentina and Paraguay.</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adopted various measures that mandate compliance with applicable anti-corruption, anti-bribery, and anti-money laundering laws, and has implemented training programs, compliance controls and procedures, and reviews and audits to ensure compliance with such laws; however, there can be no assurance that the Company’s internal controls and procedures will be sufficient to prevent or detect all inappropriate practices, fraud or violations of such laws, regulations and requirements by the Company’s affiliates, employees, directors, officers, partners, agents and service providers, or that any such persons will not take actions in violation of the Company’s policies and procedures, for which the Company may be ultimately responsible.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violations of anti-bribery and anti-corruption laws or sanctions regulations by the Company or on its behalf could have a material adverse effect on its business, reputation, results of operations and financial condition. The Company cannot predict the nature, scope or effect of future anti-corruption regulatory requirements to which its operations might be subject, the manner in which existing laws might be administered or interpreted or the impact on the Company of any violation of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40 Page</w:t>
      </w:r>
    </w:p>
    <w:p>
      <w:pPr>
        <w:sectPr>
          <w:pgSz w:w="11900" w:h="16838" w:orient="portrait"/>
          <w:cols w:equalWidth="0" w:num="1">
            <w:col w:w="11240"/>
          </w:cols>
          <w:pgMar w:left="320" w:top="904"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RISK FACTORS </w:t>
      </w:r>
      <w:r>
        <w:rPr>
          <w:rFonts w:ascii="Arial" w:cs="Arial" w:eastAsia="Arial" w:hAnsi="Arial"/>
          <w:sz w:val="18"/>
          <w:szCs w:val="18"/>
          <w:color w:val="auto"/>
        </w:rPr>
        <w:t>(Continued)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Emerging markets </w:t>
      </w:r>
      <w:r>
        <w:rPr>
          <w:rFonts w:ascii="Arial" w:cs="Arial" w:eastAsia="Arial" w:hAnsi="Arial"/>
          <w:sz w:val="18"/>
          <w:szCs w:val="18"/>
          <w:color w:val="auto"/>
        </w:rPr>
        <w:t>(Continued)</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Company’s operations in Argentina are subject to frequent and unpredictable changes in tax rates, capital controls, and foreign exchange restrictions, which may restrict or affect the profitability of the Company’s operations</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imposition and application of federal, provincial and other local taxation to which businesses located in Argentina are subject may change frequently and without notice. If any taxation authority takes a position or adopts an interpretation that differs from those adopted by the Company, the Company could become subject to unanticipated tax liabilities and cost increases, which could negatively affect its financial condition and results of operations.</w:t>
      </w:r>
    </w:p>
    <w:p>
      <w:pPr>
        <w:spacing w:after="0" w:line="15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instance, in 2018, the government of Argentina introduced a decree imposing a temporary tax on all exports from Argentina. The tax was introduced as an emergency measure due to the significant devaluation of the Argentinean peso during 2018. In December 2019, the government of Argentina approved a law delaying a scheduled corporate tax rate decrease from 30% to 25% to the end of 2020, after that the government submitted a bill in order to maintain the 30% rate until the end of 2021, and extending the temporary export tax introduced in September 2018 to the end of 2021. Furthermore, the decree suspended the increase in the dividend withholding tax from 7% to 13% until January 2021. In June 2021, the National Government passed an amendment to the corporate income tax rate, increasing it from a flat rate of 25% to a progressive scale, with a maximum rate of 35% for certain types of companies.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taxes, capital controls, and foreign exchange regulations in Argentina and the other jurisdictions in which the Company operates are beyond the Company’s control. Increased tax rates, or the imposition of stricter capital controls or foreign exchange regulations, could increase the operating costs at the Company’s Mining facilities, prevent or restrict development and production at new or contemplated facilities, and constrain the Company’s ability to receive distributions from its subsidiaries in those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41 Page</w:t>
      </w:r>
    </w:p>
    <w:p>
      <w:pPr>
        <w:sectPr>
          <w:pgSz w:w="11900" w:h="16838" w:orient="portrait"/>
          <w:cols w:equalWidth="0" w:num="1">
            <w:col w:w="11240"/>
          </w:cols>
          <w:pgMar w:left="320" w:top="904"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SIGNIFICANT ACCOUNTING ESTIMATES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significant accounting judgments, estimates and assumptions are summarized in Note 4 to the Company’s 2022 Annual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SIGNIFICANT ACCOUNTING POLICIES AND NEW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to the 2022 Annual Financial Statements for more information regarding the Company’s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under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7"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42 Page</w:t>
      </w:r>
    </w:p>
    <w:p>
      <w:pPr>
        <w:sectPr>
          <w:pgSz w:w="11900" w:h="16838" w:orient="portrait"/>
          <w:cols w:equalWidth="0" w:num="1">
            <w:col w:w="11240"/>
          </w:cols>
          <w:pgMar w:left="320" w:top="90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 CAUTIONARY NOTE REGARDING FORWARD-LOOKING STATEMENTS </w:t>
      </w:r>
      <w:r>
        <w:rPr>
          <w:rFonts w:ascii="Arial" w:cs="Arial" w:eastAsia="Arial" w:hAnsi="Arial"/>
          <w:sz w:val="18"/>
          <w:szCs w:val="18"/>
          <w:color w:val="auto"/>
        </w:rPr>
        <w:t>(Continued)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70"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BTC Halving event;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Counterparty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availability of financing opportunities and risks associated with economic conditions, including BTC price and BTC network difficulty;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speculative and competitive nature of the technology sector;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dependency on continued growth in blockchain and cryptocurrency usage;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limited operating history and share price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cybersecurity threats and hacking;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controlling shareholder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risk related to technological obsolescence and difficulty in obtaining hardware;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increases in commodity prices or reductions in the availability of such commodities could adversely impact the Company’s results of operations;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permits and licenses;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server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global financial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environmental regulations and liability;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erroneous transactions and human error;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facility developments;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non-availability of insurance;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lawsuits and other legal proceedings and challenges;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conflict of interests with directors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political and regulatory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adoption of environmental, social, and governance practices and the impacts of climate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third-party supplier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COVID-19 pandemic;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other factors beyond the Company’s control.</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above is not an exhaustive list of the factors that may affect the Company’s forward-looking statements. For a more comprehensive discussion of factors that could affect the Company, refer to the risk factors discussed above and those contained in the section “Risk Factors” of the Annual Information Form of the Company dated March 20, 2023. Other risks and uncertainties not presently known to the Company or that the Company presently believes are not material could also cause actual results or events to differ materially from those expressed, implied or projected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43 Page</w:t>
      </w:r>
    </w:p>
    <w:p>
      <w:pPr>
        <w:sectPr>
          <w:pgSz w:w="11900" w:h="16838" w:orient="portrait"/>
          <w:cols w:equalWidth="0" w:num="1">
            <w:col w:w="11240"/>
          </w:cols>
          <w:pgMar w:left="320" w:top="90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CAUTIONARY NOTE REGARDING NON-IFRS AND OTHER FINANCIAL MEASURES AND RATIOS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This MD&amp;A makes reference to certain measures that are not recognized under IFRS and do not have a standardized meaning prescribed by IFRS. They are therefore unlikely to be comparable to similar measures presented by other companies. The Company uses non-IFRS and other financial measures and ratios including “EBITDA,” “EBITDA margin,” “Adjusted EBITDA,” “Adjusted EBITDA margin,” “Gross Mining profit,” “Gross Mining margin,” “Gross margin” and “Operating margin” as additional information to complement IFRS measures by providing further understanding of the Company’s results of operations from management’s perspective. Refer to Section 9 - </w:t>
      </w:r>
      <w:r>
        <w:rPr>
          <w:rFonts w:ascii="Arial" w:cs="Arial" w:eastAsia="Arial" w:hAnsi="Arial"/>
          <w:sz w:val="18"/>
          <w:szCs w:val="18"/>
          <w:i w:val="1"/>
          <w:iCs w:val="1"/>
          <w:color w:val="auto"/>
        </w:rPr>
        <w:t>Non-IFRS and Other Financial Measures and Ratios</w:t>
      </w:r>
      <w:r>
        <w:rPr>
          <w:rFonts w:ascii="Arial" w:cs="Arial" w:eastAsia="Arial" w:hAnsi="Arial"/>
          <w:sz w:val="18"/>
          <w:szCs w:val="18"/>
          <w:color w:val="auto"/>
        </w:rPr>
        <w:t xml:space="preserve"> of the MD&amp;A for more details.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ADDITIONAL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information and other publicly filed documents relating to the Company, including the Company’s Annual Information Form, are available through the internet on SEDAR at www.sedarplus.ca and on EDGAR at www.sec.gov/edgar.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3"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44 Page</w:t>
      </w:r>
    </w:p>
    <w:p>
      <w:pPr>
        <w:sectPr>
          <w:pgSz w:w="11900" w:h="16838" w:orient="portrait"/>
          <w:cols w:equalWidth="0" w:num="1">
            <w:col w:w="11240"/>
          </w:cols>
          <w:pgMar w:left="320" w:top="904"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Terms</w:t>
            </w:r>
          </w:p>
        </w:tc>
        <w:tc>
          <w:tcPr>
            <w:tcW w:w="9620" w:type="dxa"/>
            <w:vAlign w:val="bottom"/>
            <w:gridSpan w:val="2"/>
          </w:tcPr>
          <w:p>
            <w:pPr>
              <w:ind w:left="520"/>
              <w:spacing w:after="0"/>
              <w:rPr>
                <w:sz w:val="20"/>
                <w:szCs w:val="20"/>
                <w:color w:val="auto"/>
              </w:rPr>
            </w:pPr>
            <w:r>
              <w:rPr>
                <w:rFonts w:ascii="Arial" w:cs="Arial" w:eastAsia="Arial" w:hAnsi="Arial"/>
                <w:sz w:val="18"/>
                <w:szCs w:val="18"/>
                <w:b w:val="1"/>
                <w:bCs w:val="1"/>
                <w:color w:val="auto"/>
              </w:rPr>
              <w:t>Definition</w:t>
            </w:r>
          </w:p>
        </w:tc>
      </w:tr>
      <w:tr>
        <w:trPr>
          <w:trHeight w:val="27"/>
        </w:trPr>
        <w:tc>
          <w:tcPr>
            <w:tcW w:w="1620" w:type="dxa"/>
            <w:vAlign w:val="bottom"/>
            <w:tcBorders>
              <w:bottom w:val="single" w:sz="8" w:color="auto"/>
            </w:tcBorders>
          </w:tcPr>
          <w:p>
            <w:pPr>
              <w:spacing w:after="0"/>
              <w:rPr>
                <w:sz w:val="2"/>
                <w:szCs w:val="2"/>
                <w:color w:val="auto"/>
              </w:rPr>
            </w:pPr>
          </w:p>
        </w:tc>
        <w:tc>
          <w:tcPr>
            <w:tcW w:w="9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6"/>
        </w:trPr>
        <w:tc>
          <w:tcPr>
            <w:tcW w:w="1620" w:type="dxa"/>
            <w:vAlign w:val="bottom"/>
          </w:tcPr>
          <w:p>
            <w:pPr>
              <w:spacing w:after="0"/>
              <w:rPr>
                <w:sz w:val="20"/>
                <w:szCs w:val="20"/>
                <w:color w:val="auto"/>
              </w:rPr>
            </w:pPr>
            <w:r>
              <w:rPr>
                <w:rFonts w:ascii="Arial" w:cs="Arial" w:eastAsia="Arial" w:hAnsi="Arial"/>
                <w:sz w:val="18"/>
                <w:szCs w:val="18"/>
                <w:b w:val="1"/>
                <w:bCs w:val="1"/>
                <w:color w:val="auto"/>
              </w:rPr>
              <w:t>ASIC</w:t>
            </w: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4"/>
              </w:rPr>
              <w:t>ASIC stands for Application Specific Integrated Circuit and refers primarily to specific computer devices designed to solve</w:t>
            </w:r>
          </w:p>
        </w:tc>
      </w:tr>
      <w:tr>
        <w:trPr>
          <w:trHeight w:val="230"/>
        </w:trPr>
        <w:tc>
          <w:tcPr>
            <w:tcW w:w="1620" w:type="dxa"/>
            <w:vAlign w:val="bottom"/>
          </w:tcPr>
          <w:p>
            <w:pPr>
              <w:spacing w:after="0"/>
              <w:rPr>
                <w:sz w:val="20"/>
                <w:szCs w:val="20"/>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rPr>
              <w:t>the SHA-256 algorithm.</w:t>
            </w:r>
          </w:p>
        </w:tc>
      </w:tr>
      <w:tr>
        <w:trPr>
          <w:trHeight w:val="27"/>
        </w:trPr>
        <w:tc>
          <w:tcPr>
            <w:tcW w:w="1620" w:type="dxa"/>
            <w:vAlign w:val="bottom"/>
            <w:tcBorders>
              <w:bottom w:val="single" w:sz="8" w:color="auto"/>
            </w:tcBorders>
          </w:tcPr>
          <w:p>
            <w:pPr>
              <w:spacing w:after="0"/>
              <w:rPr>
                <w:sz w:val="2"/>
                <w:szCs w:val="2"/>
                <w:color w:val="auto"/>
              </w:rPr>
            </w:pPr>
          </w:p>
        </w:tc>
        <w:tc>
          <w:tcPr>
            <w:tcW w:w="9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6"/>
        </w:trPr>
        <w:tc>
          <w:tcPr>
            <w:tcW w:w="1620" w:type="dxa"/>
            <w:vAlign w:val="bottom"/>
          </w:tcPr>
          <w:p>
            <w:pPr>
              <w:spacing w:after="0"/>
              <w:rPr>
                <w:sz w:val="20"/>
                <w:szCs w:val="20"/>
                <w:color w:val="auto"/>
              </w:rPr>
            </w:pPr>
            <w:r>
              <w:rPr>
                <w:rFonts w:ascii="Arial" w:cs="Arial" w:eastAsia="Arial" w:hAnsi="Arial"/>
                <w:sz w:val="18"/>
                <w:szCs w:val="18"/>
                <w:b w:val="1"/>
                <w:bCs w:val="1"/>
                <w:color w:val="auto"/>
              </w:rPr>
              <w:t>Bitcoin (BTC)</w:t>
            </w: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7"/>
              </w:rPr>
              <w:t>BTC is a decentralized digital currency that is not controlled by any centralized authority (e.g. a government, financial</w:t>
            </w: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rPr>
              <w:t>institution or regulatory organization) that can be sent from user to user on the BTC network without the need for</w:t>
            </w: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2"/>
              </w:rPr>
              <w:t>intermediaries to clear transactions. Transactions are verified through the process of Mining and recorded in a public ledger</w:t>
            </w:r>
          </w:p>
        </w:tc>
      </w:tr>
      <w:tr>
        <w:trPr>
          <w:trHeight w:val="230"/>
        </w:trPr>
        <w:tc>
          <w:tcPr>
            <w:tcW w:w="1620" w:type="dxa"/>
            <w:vAlign w:val="bottom"/>
          </w:tcPr>
          <w:p>
            <w:pPr>
              <w:spacing w:after="0"/>
              <w:rPr>
                <w:sz w:val="20"/>
                <w:szCs w:val="20"/>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8"/>
              </w:rPr>
              <w:t>known as the Blockchain. BTC is created when the BTC network issues Block Rewards through the Mining process.</w:t>
            </w:r>
          </w:p>
        </w:tc>
      </w:tr>
      <w:tr>
        <w:trPr>
          <w:trHeight w:val="27"/>
        </w:trPr>
        <w:tc>
          <w:tcPr>
            <w:tcW w:w="1620" w:type="dxa"/>
            <w:vAlign w:val="bottom"/>
            <w:tcBorders>
              <w:bottom w:val="single" w:sz="8" w:color="auto"/>
            </w:tcBorders>
          </w:tcPr>
          <w:p>
            <w:pPr>
              <w:spacing w:after="0"/>
              <w:rPr>
                <w:sz w:val="2"/>
                <w:szCs w:val="2"/>
                <w:color w:val="auto"/>
              </w:rPr>
            </w:pPr>
          </w:p>
        </w:tc>
        <w:tc>
          <w:tcPr>
            <w:tcW w:w="9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2"/>
        </w:trPr>
        <w:tc>
          <w:tcPr>
            <w:tcW w:w="1620" w:type="dxa"/>
            <w:vAlign w:val="bottom"/>
          </w:tcPr>
          <w:p>
            <w:pPr>
              <w:spacing w:after="0"/>
              <w:rPr>
                <w:sz w:val="20"/>
                <w:szCs w:val="20"/>
                <w:color w:val="auto"/>
              </w:rPr>
            </w:pPr>
            <w:r>
              <w:rPr>
                <w:rFonts w:ascii="Arial" w:cs="Arial" w:eastAsia="Arial" w:hAnsi="Arial"/>
                <w:sz w:val="18"/>
                <w:szCs w:val="18"/>
                <w:b w:val="1"/>
                <w:bCs w:val="1"/>
                <w:color w:val="auto"/>
              </w:rPr>
              <w:t>Block Reward</w:t>
            </w: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2"/>
              </w:rPr>
              <w:t>A BTC block reward refers to the new BTC that are awarded by the Blockchain network to eligible cryptocurrency Miners for</w:t>
            </w:r>
          </w:p>
        </w:tc>
      </w:tr>
      <w:tr>
        <w:trPr>
          <w:trHeight w:val="230"/>
        </w:trPr>
        <w:tc>
          <w:tcPr>
            <w:tcW w:w="1620" w:type="dxa"/>
            <w:vAlign w:val="bottom"/>
          </w:tcPr>
          <w:p>
            <w:pPr>
              <w:spacing w:after="0"/>
              <w:rPr>
                <w:sz w:val="20"/>
                <w:szCs w:val="20"/>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rPr>
              <w:t>each block they successfully mine. The current block reward is 6.25 BTC per block.</w:t>
            </w:r>
          </w:p>
        </w:tc>
      </w:tr>
      <w:tr>
        <w:trPr>
          <w:trHeight w:val="27"/>
        </w:trPr>
        <w:tc>
          <w:tcPr>
            <w:tcW w:w="1620" w:type="dxa"/>
            <w:vAlign w:val="bottom"/>
            <w:tcBorders>
              <w:bottom w:val="single" w:sz="8" w:color="auto"/>
            </w:tcBorders>
          </w:tcPr>
          <w:p>
            <w:pPr>
              <w:spacing w:after="0"/>
              <w:rPr>
                <w:sz w:val="2"/>
                <w:szCs w:val="2"/>
                <w:color w:val="auto"/>
              </w:rPr>
            </w:pPr>
          </w:p>
        </w:tc>
        <w:tc>
          <w:tcPr>
            <w:tcW w:w="9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6"/>
        </w:trPr>
        <w:tc>
          <w:tcPr>
            <w:tcW w:w="1620" w:type="dxa"/>
            <w:vAlign w:val="bottom"/>
          </w:tcPr>
          <w:p>
            <w:pPr>
              <w:spacing w:after="0"/>
              <w:rPr>
                <w:sz w:val="20"/>
                <w:szCs w:val="20"/>
                <w:color w:val="auto"/>
              </w:rPr>
            </w:pPr>
            <w:r>
              <w:rPr>
                <w:rFonts w:ascii="Arial" w:cs="Arial" w:eastAsia="Arial" w:hAnsi="Arial"/>
                <w:sz w:val="18"/>
                <w:szCs w:val="18"/>
                <w:b w:val="1"/>
                <w:bCs w:val="1"/>
                <w:color w:val="auto"/>
              </w:rPr>
              <w:t>Blockchain</w:t>
            </w: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1"/>
              </w:rPr>
              <w:t>A Blockchain is a cloud-based public ledger that exists on computers that participate on the network globally. The Blockchain</w:t>
            </w: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5"/>
              </w:rPr>
              <w:t>grows as new sets of data, or ‘blocks’, are added to it through Mining. Each block contains a timestamp and a link to the</w:t>
            </w: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2"/>
              </w:rPr>
              <w:t>previous block, such that the series of blocks form a continuous chain. Given that each block has a separate hash and each</w:t>
            </w: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3"/>
              </w:rPr>
              <w:t>hash requires information from the previous block, altering information an established block would require recalculating all</w:t>
            </w: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2"/>
              </w:rPr>
              <w:t>the hashes on the Blockchain which would require an enormous and impracticable amount of computing power. As a result,</w:t>
            </w:r>
          </w:p>
        </w:tc>
      </w:tr>
      <w:tr>
        <w:trPr>
          <w:trHeight w:val="230"/>
        </w:trPr>
        <w:tc>
          <w:tcPr>
            <w:tcW w:w="1620" w:type="dxa"/>
            <w:vAlign w:val="bottom"/>
          </w:tcPr>
          <w:p>
            <w:pPr>
              <w:spacing w:after="0"/>
              <w:rPr>
                <w:sz w:val="20"/>
                <w:szCs w:val="20"/>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rPr>
              <w:t>once a block is added to the Blockchain it is very difficult to edit and impossible to delete.</w:t>
            </w:r>
          </w:p>
        </w:tc>
      </w:tr>
      <w:tr>
        <w:trPr>
          <w:trHeight w:val="27"/>
        </w:trPr>
        <w:tc>
          <w:tcPr>
            <w:tcW w:w="1620" w:type="dxa"/>
            <w:vAlign w:val="bottom"/>
            <w:tcBorders>
              <w:bottom w:val="single" w:sz="8" w:color="auto"/>
            </w:tcBorders>
          </w:tcPr>
          <w:p>
            <w:pPr>
              <w:spacing w:after="0"/>
              <w:rPr>
                <w:sz w:val="2"/>
                <w:szCs w:val="2"/>
                <w:color w:val="auto"/>
              </w:rPr>
            </w:pPr>
          </w:p>
        </w:tc>
        <w:tc>
          <w:tcPr>
            <w:tcW w:w="9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1620" w:type="dxa"/>
            <w:vAlign w:val="bottom"/>
          </w:tcPr>
          <w:p>
            <w:pPr>
              <w:spacing w:after="0"/>
              <w:rPr>
                <w:sz w:val="20"/>
                <w:szCs w:val="20"/>
                <w:color w:val="auto"/>
              </w:rPr>
            </w:pPr>
            <w:r>
              <w:rPr>
                <w:rFonts w:ascii="Arial" w:cs="Arial" w:eastAsia="Arial" w:hAnsi="Arial"/>
                <w:sz w:val="18"/>
                <w:szCs w:val="18"/>
                <w:b w:val="1"/>
                <w:bCs w:val="1"/>
                <w:color w:val="auto"/>
              </w:rPr>
              <w:t>Exahash</w:t>
            </w: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rPr>
              <w:t>One quintillion (1,000,000,000,000,000,000) hashes per second or one million Terahash.</w:t>
            </w:r>
          </w:p>
        </w:tc>
      </w:tr>
      <w:tr>
        <w:trPr>
          <w:trHeight w:val="27"/>
        </w:trPr>
        <w:tc>
          <w:tcPr>
            <w:tcW w:w="1620" w:type="dxa"/>
            <w:vAlign w:val="bottom"/>
            <w:tcBorders>
              <w:bottom w:val="single" w:sz="8" w:color="auto"/>
            </w:tcBorders>
          </w:tcPr>
          <w:p>
            <w:pPr>
              <w:spacing w:after="0"/>
              <w:rPr>
                <w:sz w:val="2"/>
                <w:szCs w:val="2"/>
                <w:color w:val="auto"/>
              </w:rPr>
            </w:pPr>
          </w:p>
        </w:tc>
        <w:tc>
          <w:tcPr>
            <w:tcW w:w="9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6"/>
        </w:trPr>
        <w:tc>
          <w:tcPr>
            <w:tcW w:w="1620" w:type="dxa"/>
            <w:vAlign w:val="bottom"/>
          </w:tcPr>
          <w:p>
            <w:pPr>
              <w:spacing w:after="0"/>
              <w:rPr>
                <w:sz w:val="20"/>
                <w:szCs w:val="20"/>
                <w:color w:val="auto"/>
              </w:rPr>
            </w:pPr>
            <w:r>
              <w:rPr>
                <w:rFonts w:ascii="Arial" w:cs="Arial" w:eastAsia="Arial" w:hAnsi="Arial"/>
                <w:sz w:val="18"/>
                <w:szCs w:val="18"/>
                <w:b w:val="1"/>
                <w:bCs w:val="1"/>
                <w:color w:val="auto"/>
              </w:rPr>
              <w:t>Hash</w:t>
            </w: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3"/>
              </w:rPr>
              <w:t>A hash is a function that converts or maps an input of letters and numbers into an encrypted output of a fixed length, which</w:t>
            </w: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3"/>
              </w:rPr>
              <w:t>outputs are often referred to as hashes. A hash is created using an algorithm. The algorithm used in the validation of BTC</w:t>
            </w:r>
          </w:p>
        </w:tc>
      </w:tr>
      <w:tr>
        <w:trPr>
          <w:trHeight w:val="230"/>
        </w:trPr>
        <w:tc>
          <w:tcPr>
            <w:tcW w:w="1620" w:type="dxa"/>
            <w:vAlign w:val="bottom"/>
          </w:tcPr>
          <w:p>
            <w:pPr>
              <w:spacing w:after="0"/>
              <w:rPr>
                <w:sz w:val="20"/>
                <w:szCs w:val="20"/>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rPr>
              <w:t>transactions is the SHA-256 algorithm.</w:t>
            </w:r>
          </w:p>
        </w:tc>
      </w:tr>
      <w:tr>
        <w:trPr>
          <w:trHeight w:val="27"/>
        </w:trPr>
        <w:tc>
          <w:tcPr>
            <w:tcW w:w="1620" w:type="dxa"/>
            <w:vAlign w:val="bottom"/>
            <w:tcBorders>
              <w:bottom w:val="single" w:sz="8" w:color="auto"/>
            </w:tcBorders>
          </w:tcPr>
          <w:p>
            <w:pPr>
              <w:spacing w:after="0"/>
              <w:rPr>
                <w:sz w:val="2"/>
                <w:szCs w:val="2"/>
                <w:color w:val="auto"/>
              </w:rPr>
            </w:pPr>
          </w:p>
        </w:tc>
        <w:tc>
          <w:tcPr>
            <w:tcW w:w="9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6"/>
        </w:trPr>
        <w:tc>
          <w:tcPr>
            <w:tcW w:w="1620" w:type="dxa"/>
            <w:vAlign w:val="bottom"/>
          </w:tcPr>
          <w:p>
            <w:pPr>
              <w:spacing w:after="0"/>
              <w:rPr>
                <w:sz w:val="20"/>
                <w:szCs w:val="20"/>
                <w:color w:val="auto"/>
              </w:rPr>
            </w:pPr>
            <w:r>
              <w:rPr>
                <w:rFonts w:ascii="Arial" w:cs="Arial" w:eastAsia="Arial" w:hAnsi="Arial"/>
                <w:sz w:val="18"/>
                <w:szCs w:val="18"/>
                <w:b w:val="1"/>
                <w:bCs w:val="1"/>
                <w:color w:val="auto"/>
              </w:rPr>
              <w:t>Hashrate</w:t>
            </w: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4"/>
              </w:rPr>
              <w:t>Hashrate refers to the number of hash operations performed per second and is a measure of computing power in Mining</w:t>
            </w:r>
          </w:p>
        </w:tc>
      </w:tr>
      <w:tr>
        <w:trPr>
          <w:trHeight w:val="230"/>
        </w:trPr>
        <w:tc>
          <w:tcPr>
            <w:tcW w:w="1620" w:type="dxa"/>
            <w:vAlign w:val="bottom"/>
          </w:tcPr>
          <w:p>
            <w:pPr>
              <w:spacing w:after="0"/>
              <w:rPr>
                <w:sz w:val="20"/>
                <w:szCs w:val="20"/>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rPr>
              <w:t>cryptocurrency.</w:t>
            </w:r>
          </w:p>
        </w:tc>
      </w:tr>
      <w:tr>
        <w:trPr>
          <w:trHeight w:val="27"/>
        </w:trPr>
        <w:tc>
          <w:tcPr>
            <w:tcW w:w="1620" w:type="dxa"/>
            <w:vAlign w:val="bottom"/>
            <w:tcBorders>
              <w:bottom w:val="single" w:sz="8" w:color="auto"/>
            </w:tcBorders>
          </w:tcPr>
          <w:p>
            <w:pPr>
              <w:spacing w:after="0"/>
              <w:rPr>
                <w:sz w:val="2"/>
                <w:szCs w:val="2"/>
                <w:color w:val="auto"/>
              </w:rPr>
            </w:pPr>
          </w:p>
        </w:tc>
        <w:tc>
          <w:tcPr>
            <w:tcW w:w="9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6"/>
        </w:trPr>
        <w:tc>
          <w:tcPr>
            <w:tcW w:w="1620" w:type="dxa"/>
            <w:vAlign w:val="bottom"/>
          </w:tcPr>
          <w:p>
            <w:pPr>
              <w:spacing w:after="0"/>
              <w:rPr>
                <w:sz w:val="20"/>
                <w:szCs w:val="20"/>
                <w:color w:val="auto"/>
              </w:rPr>
            </w:pPr>
            <w:r>
              <w:rPr>
                <w:rFonts w:ascii="Arial" w:cs="Arial" w:eastAsia="Arial" w:hAnsi="Arial"/>
                <w:sz w:val="18"/>
                <w:szCs w:val="18"/>
                <w:b w:val="1"/>
                <w:bCs w:val="1"/>
                <w:color w:val="auto"/>
              </w:rPr>
              <w:t>Megawatt</w:t>
            </w: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7"/>
              </w:rPr>
              <w:t>A megawatt is 1,000 kilowatts of electricity and, in the industry of cryptocurrency Mining, is typically a reference to the</w:t>
            </w:r>
          </w:p>
        </w:tc>
      </w:tr>
      <w:tr>
        <w:trPr>
          <w:trHeight w:val="230"/>
        </w:trPr>
        <w:tc>
          <w:tcPr>
            <w:tcW w:w="1620" w:type="dxa"/>
            <w:vAlign w:val="bottom"/>
          </w:tcPr>
          <w:p>
            <w:pPr>
              <w:spacing w:after="0"/>
              <w:rPr>
                <w:sz w:val="20"/>
                <w:szCs w:val="20"/>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rPr>
              <w:t>number of megawatts of electricity per hour that is available for use.</w:t>
            </w:r>
          </w:p>
        </w:tc>
      </w:tr>
      <w:tr>
        <w:trPr>
          <w:trHeight w:val="27"/>
        </w:trPr>
        <w:tc>
          <w:tcPr>
            <w:tcW w:w="1620" w:type="dxa"/>
            <w:vAlign w:val="bottom"/>
            <w:tcBorders>
              <w:bottom w:val="single" w:sz="8" w:color="auto"/>
            </w:tcBorders>
          </w:tcPr>
          <w:p>
            <w:pPr>
              <w:spacing w:after="0"/>
              <w:rPr>
                <w:sz w:val="2"/>
                <w:szCs w:val="2"/>
                <w:color w:val="auto"/>
              </w:rPr>
            </w:pPr>
          </w:p>
        </w:tc>
        <w:tc>
          <w:tcPr>
            <w:tcW w:w="9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1620" w:type="dxa"/>
            <w:vAlign w:val="bottom"/>
          </w:tcPr>
          <w:p>
            <w:pPr>
              <w:spacing w:after="0"/>
              <w:rPr>
                <w:sz w:val="20"/>
                <w:szCs w:val="20"/>
                <w:color w:val="auto"/>
              </w:rPr>
            </w:pPr>
            <w:r>
              <w:rPr>
                <w:rFonts w:ascii="Arial" w:cs="Arial" w:eastAsia="Arial" w:hAnsi="Arial"/>
                <w:sz w:val="18"/>
                <w:szCs w:val="18"/>
                <w:b w:val="1"/>
                <w:bCs w:val="1"/>
                <w:color w:val="auto"/>
              </w:rPr>
              <w:t>Miners</w:t>
            </w: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rPr>
              <w:t>ASICs used by the Company to perform Mining.</w:t>
            </w:r>
          </w:p>
        </w:tc>
      </w:tr>
      <w:tr>
        <w:trPr>
          <w:trHeight w:val="27"/>
        </w:trPr>
        <w:tc>
          <w:tcPr>
            <w:tcW w:w="1620" w:type="dxa"/>
            <w:vAlign w:val="bottom"/>
            <w:tcBorders>
              <w:bottom w:val="single" w:sz="8" w:color="auto"/>
            </w:tcBorders>
          </w:tcPr>
          <w:p>
            <w:pPr>
              <w:spacing w:after="0"/>
              <w:rPr>
                <w:sz w:val="2"/>
                <w:szCs w:val="2"/>
                <w:color w:val="auto"/>
              </w:rPr>
            </w:pPr>
          </w:p>
        </w:tc>
        <w:tc>
          <w:tcPr>
            <w:tcW w:w="9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2"/>
        </w:trPr>
        <w:tc>
          <w:tcPr>
            <w:tcW w:w="1620" w:type="dxa"/>
            <w:vAlign w:val="bottom"/>
          </w:tcPr>
          <w:p>
            <w:pPr>
              <w:spacing w:after="0"/>
              <w:rPr>
                <w:sz w:val="20"/>
                <w:szCs w:val="20"/>
                <w:color w:val="auto"/>
              </w:rPr>
            </w:pPr>
            <w:r>
              <w:rPr>
                <w:rFonts w:ascii="Arial" w:cs="Arial" w:eastAsia="Arial" w:hAnsi="Arial"/>
                <w:sz w:val="18"/>
                <w:szCs w:val="18"/>
                <w:b w:val="1"/>
                <w:bCs w:val="1"/>
                <w:color w:val="auto"/>
              </w:rPr>
              <w:t>Mining</w:t>
            </w: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4"/>
              </w:rPr>
              <w:t>Mining refers to the process of using specialized computer hardware, and in the case of the Company, ASICs, to perform</w:t>
            </w: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7"/>
              </w:rPr>
              <w:t>mathematical calculations to confirm transactions and increase security for the BTC Blockchain. As a reward for their</w:t>
            </w: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6"/>
              </w:rPr>
              <w:t>services, BTC Miners collect transaction fees for the transactions they confirm, along with newly created BTC as Block</w:t>
            </w:r>
          </w:p>
        </w:tc>
      </w:tr>
      <w:tr>
        <w:trPr>
          <w:trHeight w:val="230"/>
        </w:trPr>
        <w:tc>
          <w:tcPr>
            <w:tcW w:w="1620" w:type="dxa"/>
            <w:vAlign w:val="bottom"/>
          </w:tcPr>
          <w:p>
            <w:pPr>
              <w:spacing w:after="0"/>
              <w:rPr>
                <w:sz w:val="20"/>
                <w:szCs w:val="20"/>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rPr>
              <w:t>Rewards.</w:t>
            </w:r>
          </w:p>
        </w:tc>
      </w:tr>
      <w:tr>
        <w:trPr>
          <w:trHeight w:val="27"/>
        </w:trPr>
        <w:tc>
          <w:tcPr>
            <w:tcW w:w="1620" w:type="dxa"/>
            <w:vAlign w:val="bottom"/>
            <w:tcBorders>
              <w:bottom w:val="single" w:sz="8" w:color="auto"/>
            </w:tcBorders>
          </w:tcPr>
          <w:p>
            <w:pPr>
              <w:spacing w:after="0"/>
              <w:rPr>
                <w:sz w:val="2"/>
                <w:szCs w:val="2"/>
                <w:color w:val="auto"/>
              </w:rPr>
            </w:pPr>
          </w:p>
        </w:tc>
        <w:tc>
          <w:tcPr>
            <w:tcW w:w="9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6"/>
        </w:trPr>
        <w:tc>
          <w:tcPr>
            <w:tcW w:w="1620" w:type="dxa"/>
            <w:vAlign w:val="bottom"/>
          </w:tcPr>
          <w:p>
            <w:pPr>
              <w:spacing w:after="0"/>
              <w:rPr>
                <w:sz w:val="20"/>
                <w:szCs w:val="20"/>
                <w:color w:val="auto"/>
              </w:rPr>
            </w:pPr>
            <w:r>
              <w:rPr>
                <w:rFonts w:ascii="Arial" w:cs="Arial" w:eastAsia="Arial" w:hAnsi="Arial"/>
                <w:sz w:val="18"/>
                <w:szCs w:val="18"/>
                <w:b w:val="1"/>
                <w:bCs w:val="1"/>
                <w:color w:val="auto"/>
              </w:rPr>
              <w:t>Mining Pool</w:t>
            </w: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2"/>
              </w:rPr>
              <w:t>A Mining pool is a group of cryptocurrency Miners who pool their computational resources, or hashrate, in order to increase</w:t>
            </w:r>
          </w:p>
        </w:tc>
      </w:tr>
      <w:tr>
        <w:trPr>
          <w:trHeight w:val="216"/>
        </w:trPr>
        <w:tc>
          <w:tcPr>
            <w:tcW w:w="1620" w:type="dxa"/>
            <w:vAlign w:val="bottom"/>
          </w:tcPr>
          <w:p>
            <w:pPr>
              <w:spacing w:after="0"/>
              <w:rPr>
                <w:sz w:val="18"/>
                <w:szCs w:val="18"/>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w w:val="96"/>
              </w:rPr>
              <w:t>the probability of finding a block on the BTC Blockchain. Mining pools administer regular payouts to mitigate the risk of</w:t>
            </w:r>
          </w:p>
        </w:tc>
      </w:tr>
      <w:tr>
        <w:trPr>
          <w:trHeight w:val="230"/>
        </w:trPr>
        <w:tc>
          <w:tcPr>
            <w:tcW w:w="1620" w:type="dxa"/>
            <w:vAlign w:val="bottom"/>
          </w:tcPr>
          <w:p>
            <w:pPr>
              <w:spacing w:after="0"/>
              <w:rPr>
                <w:sz w:val="20"/>
                <w:szCs w:val="20"/>
                <w:color w:val="auto"/>
              </w:rPr>
            </w:pPr>
          </w:p>
        </w:tc>
        <w:tc>
          <w:tcPr>
            <w:tcW w:w="9620" w:type="dxa"/>
            <w:vAlign w:val="bottom"/>
            <w:gridSpan w:val="2"/>
          </w:tcPr>
          <w:p>
            <w:pPr>
              <w:ind w:left="520"/>
              <w:spacing w:after="0"/>
              <w:rPr>
                <w:sz w:val="20"/>
                <w:szCs w:val="20"/>
                <w:color w:val="auto"/>
              </w:rPr>
            </w:pPr>
            <w:r>
              <w:rPr>
                <w:rFonts w:ascii="Arial" w:cs="Arial" w:eastAsia="Arial" w:hAnsi="Arial"/>
                <w:sz w:val="18"/>
                <w:szCs w:val="18"/>
                <w:color w:val="auto"/>
              </w:rPr>
              <w:t>Miners operating for a prolonged period of time without finding a block.</w:t>
            </w:r>
          </w:p>
        </w:tc>
      </w:tr>
      <w:tr>
        <w:trPr>
          <w:trHeight w:val="27"/>
        </w:trPr>
        <w:tc>
          <w:tcPr>
            <w:tcW w:w="1620" w:type="dxa"/>
            <w:vAlign w:val="bottom"/>
            <w:tcBorders>
              <w:bottom w:val="single" w:sz="8" w:color="auto"/>
            </w:tcBorders>
          </w:tcPr>
          <w:p>
            <w:pPr>
              <w:spacing w:after="0"/>
              <w:rPr>
                <w:sz w:val="2"/>
                <w:szCs w:val="2"/>
                <w:color w:val="auto"/>
              </w:rPr>
            </w:pPr>
          </w:p>
        </w:tc>
        <w:tc>
          <w:tcPr>
            <w:tcW w:w="9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460"/>
        </w:trPr>
        <w:tc>
          <w:tcPr>
            <w:tcW w:w="162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gridSpan w:val="2"/>
          </w:tcPr>
          <w:p>
            <w:pPr>
              <w:spacing w:after="0"/>
              <w:rPr>
                <w:sz w:val="24"/>
                <w:szCs w:val="24"/>
                <w:color w:val="auto"/>
              </w:rPr>
            </w:pPr>
          </w:p>
        </w:tc>
      </w:tr>
      <w:tr>
        <w:trPr>
          <w:trHeight w:val="216"/>
        </w:trPr>
        <w:tc>
          <w:tcPr>
            <w:tcW w:w="1620" w:type="dxa"/>
            <w:vAlign w:val="bottom"/>
          </w:tcPr>
          <w:p>
            <w:pPr>
              <w:spacing w:after="0"/>
              <w:rPr>
                <w:sz w:val="18"/>
                <w:szCs w:val="18"/>
                <w:color w:val="auto"/>
              </w:rPr>
            </w:pPr>
          </w:p>
        </w:tc>
        <w:tc>
          <w:tcPr>
            <w:tcW w:w="9080" w:type="dxa"/>
            <w:vAlign w:val="bottom"/>
            <w:tcBorders>
              <w:right w:val="single" w:sz="8" w:color="auto"/>
            </w:tcBorders>
          </w:tcPr>
          <w:p>
            <w:pPr>
              <w:ind w:left="8820"/>
              <w:spacing w:after="0"/>
              <w:rPr>
                <w:sz w:val="20"/>
                <w:szCs w:val="20"/>
                <w:color w:val="auto"/>
              </w:rPr>
            </w:pPr>
            <w:r>
              <w:rPr>
                <w:rFonts w:ascii="Arial" w:cs="Arial" w:eastAsia="Arial" w:hAnsi="Arial"/>
                <w:sz w:val="18"/>
                <w:szCs w:val="18"/>
                <w:color w:val="auto"/>
              </w:rPr>
              <w:t>45</w:t>
            </w:r>
          </w:p>
        </w:tc>
        <w:tc>
          <w:tcPr>
            <w:tcW w:w="540" w:type="dxa"/>
            <w:vAlign w:val="bottom"/>
          </w:tcPr>
          <w:p>
            <w:pPr>
              <w:ind w:left="40"/>
              <w:spacing w:after="0"/>
              <w:rPr>
                <w:sz w:val="20"/>
                <w:szCs w:val="20"/>
                <w:color w:val="auto"/>
              </w:rPr>
            </w:pPr>
            <w:r>
              <w:rPr>
                <w:rFonts w:ascii="Arial" w:cs="Arial" w:eastAsia="Arial" w:hAnsi="Arial"/>
                <w:sz w:val="18"/>
                <w:szCs w:val="18"/>
                <w:color w:val="auto"/>
              </w:rPr>
              <w:t>Page</w:t>
            </w:r>
          </w:p>
        </w:tc>
      </w:tr>
    </w:tbl>
    <w:p>
      <w:pPr>
        <w:sectPr>
          <w:pgSz w:w="11900" w:h="16838" w:orient="portrait"/>
          <w:cols w:equalWidth="0" w:num="1">
            <w:col w:w="11240"/>
          </w:cols>
          <w:pgMar w:left="320" w:top="904"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 GLOSSARY OF TERMS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r>
              <w:rPr>
                <w:rFonts w:ascii="Arial" w:cs="Arial" w:eastAsia="Arial" w:hAnsi="Arial"/>
                <w:sz w:val="18"/>
                <w:szCs w:val="18"/>
                <w:b w:val="1"/>
                <w:bCs w:val="1"/>
                <w:color w:val="auto"/>
              </w:rPr>
              <w:t>Terms</w:t>
            </w:r>
          </w:p>
        </w:tc>
        <w:tc>
          <w:tcPr>
            <w:tcW w:w="9440" w:type="dxa"/>
            <w:vAlign w:val="bottom"/>
            <w:gridSpan w:val="2"/>
          </w:tcPr>
          <w:p>
            <w:pPr>
              <w:ind w:left="340"/>
              <w:spacing w:after="0"/>
              <w:rPr>
                <w:sz w:val="20"/>
                <w:szCs w:val="20"/>
                <w:color w:val="auto"/>
              </w:rPr>
            </w:pPr>
            <w:r>
              <w:rPr>
                <w:rFonts w:ascii="Arial" w:cs="Arial" w:eastAsia="Arial" w:hAnsi="Arial"/>
                <w:sz w:val="18"/>
                <w:szCs w:val="18"/>
                <w:b w:val="1"/>
                <w:bCs w:val="1"/>
                <w:color w:val="auto"/>
              </w:rPr>
              <w:t>Definition</w:t>
            </w:r>
          </w:p>
        </w:tc>
      </w:tr>
      <w:tr>
        <w:trPr>
          <w:trHeight w:val="27"/>
        </w:trPr>
        <w:tc>
          <w:tcPr>
            <w:tcW w:w="1800" w:type="dxa"/>
            <w:vAlign w:val="bottom"/>
            <w:tcBorders>
              <w:bottom w:val="single" w:sz="8" w:color="auto"/>
            </w:tcBorders>
          </w:tcPr>
          <w:p>
            <w:pPr>
              <w:spacing w:after="0"/>
              <w:rPr>
                <w:sz w:val="2"/>
                <w:szCs w:val="2"/>
                <w:color w:val="auto"/>
              </w:rPr>
            </w:pPr>
          </w:p>
        </w:tc>
        <w:tc>
          <w:tcPr>
            <w:tcW w:w="8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6"/>
        </w:trPr>
        <w:tc>
          <w:tcPr>
            <w:tcW w:w="1800" w:type="dxa"/>
            <w:vAlign w:val="bottom"/>
          </w:tcPr>
          <w:p>
            <w:pPr>
              <w:spacing w:after="0"/>
              <w:rPr>
                <w:sz w:val="20"/>
                <w:szCs w:val="20"/>
                <w:color w:val="auto"/>
              </w:rPr>
            </w:pPr>
            <w:r>
              <w:rPr>
                <w:rFonts w:ascii="Arial" w:cs="Arial" w:eastAsia="Arial" w:hAnsi="Arial"/>
                <w:sz w:val="18"/>
                <w:szCs w:val="18"/>
                <w:b w:val="1"/>
                <w:bCs w:val="1"/>
                <w:color w:val="auto"/>
              </w:rPr>
              <w:t>Network Difficulty</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4"/>
              </w:rPr>
              <w:t>Network difficulty is a unitless measure of how difficult it is to find a hash below a given target. The BTC network protocol</w:t>
            </w:r>
          </w:p>
        </w:tc>
      </w:tr>
      <w:tr>
        <w:trPr>
          <w:trHeight w:val="216"/>
        </w:trPr>
        <w:tc>
          <w:tcPr>
            <w:tcW w:w="180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3"/>
              </w:rPr>
              <w:t>automatically adjusts Network Difficulty by changing the target every 2,016 blocks hashed based on the time it took for the</w:t>
            </w:r>
          </w:p>
        </w:tc>
      </w:tr>
      <w:tr>
        <w:trPr>
          <w:trHeight w:val="216"/>
        </w:trPr>
        <w:tc>
          <w:tcPr>
            <w:tcW w:w="180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1"/>
              </w:rPr>
              <w:t>total computing power used in BTC Mining to solve the previous 2,016 blocks such that the average time to solve each block</w:t>
            </w:r>
          </w:p>
        </w:tc>
      </w:tr>
      <w:tr>
        <w:trPr>
          <w:trHeight w:val="230"/>
        </w:trPr>
        <w:tc>
          <w:tcPr>
            <w:tcW w:w="1800" w:type="dxa"/>
            <w:vAlign w:val="bottom"/>
          </w:tcPr>
          <w:p>
            <w:pPr>
              <w:spacing w:after="0"/>
              <w:rPr>
                <w:sz w:val="20"/>
                <w:szCs w:val="20"/>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rPr>
              <w:t>is ten minutes.</w:t>
            </w:r>
          </w:p>
        </w:tc>
      </w:tr>
      <w:tr>
        <w:trPr>
          <w:trHeight w:val="27"/>
        </w:trPr>
        <w:tc>
          <w:tcPr>
            <w:tcW w:w="1800" w:type="dxa"/>
            <w:vAlign w:val="bottom"/>
            <w:tcBorders>
              <w:bottom w:val="single" w:sz="8" w:color="auto"/>
            </w:tcBorders>
          </w:tcPr>
          <w:p>
            <w:pPr>
              <w:spacing w:after="0"/>
              <w:rPr>
                <w:sz w:val="2"/>
                <w:szCs w:val="2"/>
                <w:color w:val="auto"/>
              </w:rPr>
            </w:pPr>
          </w:p>
        </w:tc>
        <w:tc>
          <w:tcPr>
            <w:tcW w:w="8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1800" w:type="dxa"/>
            <w:vAlign w:val="bottom"/>
          </w:tcPr>
          <w:p>
            <w:pPr>
              <w:spacing w:after="0"/>
              <w:rPr>
                <w:sz w:val="20"/>
                <w:szCs w:val="20"/>
                <w:color w:val="auto"/>
              </w:rPr>
            </w:pPr>
            <w:r>
              <w:rPr>
                <w:rFonts w:ascii="Arial" w:cs="Arial" w:eastAsia="Arial" w:hAnsi="Arial"/>
                <w:sz w:val="18"/>
                <w:szCs w:val="18"/>
                <w:b w:val="1"/>
                <w:bCs w:val="1"/>
                <w:color w:val="auto"/>
              </w:rPr>
              <w:t>Network Hashrate</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1"/>
              </w:rPr>
              <w:t>Network hashrate refers to the total global hashrate (and related computing power) used in Mining for a given cryptocurrency.</w:t>
            </w:r>
          </w:p>
        </w:tc>
      </w:tr>
      <w:tr>
        <w:trPr>
          <w:trHeight w:val="27"/>
        </w:trPr>
        <w:tc>
          <w:tcPr>
            <w:tcW w:w="1800" w:type="dxa"/>
            <w:vAlign w:val="bottom"/>
            <w:tcBorders>
              <w:bottom w:val="single" w:sz="8" w:color="auto"/>
            </w:tcBorders>
          </w:tcPr>
          <w:p>
            <w:pPr>
              <w:spacing w:after="0"/>
              <w:rPr>
                <w:sz w:val="2"/>
                <w:szCs w:val="2"/>
                <w:color w:val="auto"/>
              </w:rPr>
            </w:pPr>
          </w:p>
        </w:tc>
        <w:tc>
          <w:tcPr>
            <w:tcW w:w="8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1800" w:type="dxa"/>
            <w:vAlign w:val="bottom"/>
          </w:tcPr>
          <w:p>
            <w:pPr>
              <w:spacing w:after="0"/>
              <w:rPr>
                <w:sz w:val="20"/>
                <w:szCs w:val="20"/>
                <w:color w:val="auto"/>
              </w:rPr>
            </w:pPr>
            <w:r>
              <w:rPr>
                <w:rFonts w:ascii="Arial" w:cs="Arial" w:eastAsia="Arial" w:hAnsi="Arial"/>
                <w:sz w:val="18"/>
                <w:szCs w:val="18"/>
                <w:b w:val="1"/>
                <w:bCs w:val="1"/>
                <w:color w:val="auto"/>
              </w:rPr>
              <w:t>Petahash</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rPr>
              <w:t>One quadrillion (1,000,000,000,000,000) hashes per second or one thousand Terahash.</w:t>
            </w:r>
          </w:p>
        </w:tc>
      </w:tr>
      <w:tr>
        <w:trPr>
          <w:trHeight w:val="27"/>
        </w:trPr>
        <w:tc>
          <w:tcPr>
            <w:tcW w:w="1800" w:type="dxa"/>
            <w:vAlign w:val="bottom"/>
            <w:tcBorders>
              <w:bottom w:val="single" w:sz="8" w:color="auto"/>
            </w:tcBorders>
          </w:tcPr>
          <w:p>
            <w:pPr>
              <w:spacing w:after="0"/>
              <w:rPr>
                <w:sz w:val="2"/>
                <w:szCs w:val="2"/>
                <w:color w:val="auto"/>
              </w:rPr>
            </w:pPr>
          </w:p>
        </w:tc>
        <w:tc>
          <w:tcPr>
            <w:tcW w:w="8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6"/>
        </w:trPr>
        <w:tc>
          <w:tcPr>
            <w:tcW w:w="1800" w:type="dxa"/>
            <w:vAlign w:val="bottom"/>
          </w:tcPr>
          <w:p>
            <w:pPr>
              <w:spacing w:after="0"/>
              <w:rPr>
                <w:sz w:val="20"/>
                <w:szCs w:val="20"/>
                <w:color w:val="auto"/>
              </w:rPr>
            </w:pPr>
            <w:r>
              <w:rPr>
                <w:rFonts w:ascii="Arial" w:cs="Arial" w:eastAsia="Arial" w:hAnsi="Arial"/>
                <w:sz w:val="18"/>
                <w:szCs w:val="18"/>
                <w:b w:val="1"/>
                <w:bCs w:val="1"/>
                <w:color w:val="auto"/>
              </w:rPr>
              <w:t>SHA-256</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w w:val="91"/>
              </w:rPr>
              <w:t>SHA stands for Secure Hash Algorithm. The SHA-256 algorithm was designed by the US National Security Agency and is the</w:t>
            </w:r>
          </w:p>
        </w:tc>
      </w:tr>
      <w:tr>
        <w:trPr>
          <w:trHeight w:val="230"/>
        </w:trPr>
        <w:tc>
          <w:tcPr>
            <w:tcW w:w="1800" w:type="dxa"/>
            <w:vAlign w:val="bottom"/>
          </w:tcPr>
          <w:p>
            <w:pPr>
              <w:spacing w:after="0"/>
              <w:rPr>
                <w:sz w:val="20"/>
                <w:szCs w:val="20"/>
                <w:color w:val="auto"/>
              </w:rPr>
            </w:pP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rPr>
              <w:t>cryptographic hash function used within the BTC network to validate transactions on the BTC Blockchain.</w:t>
            </w:r>
          </w:p>
        </w:tc>
      </w:tr>
      <w:tr>
        <w:trPr>
          <w:trHeight w:val="27"/>
        </w:trPr>
        <w:tc>
          <w:tcPr>
            <w:tcW w:w="1800" w:type="dxa"/>
            <w:vAlign w:val="bottom"/>
            <w:tcBorders>
              <w:bottom w:val="single" w:sz="8" w:color="auto"/>
            </w:tcBorders>
          </w:tcPr>
          <w:p>
            <w:pPr>
              <w:spacing w:after="0"/>
              <w:rPr>
                <w:sz w:val="2"/>
                <w:szCs w:val="2"/>
                <w:color w:val="auto"/>
              </w:rPr>
            </w:pPr>
          </w:p>
        </w:tc>
        <w:tc>
          <w:tcPr>
            <w:tcW w:w="8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1800" w:type="dxa"/>
            <w:vAlign w:val="bottom"/>
          </w:tcPr>
          <w:p>
            <w:pPr>
              <w:spacing w:after="0"/>
              <w:rPr>
                <w:sz w:val="20"/>
                <w:szCs w:val="20"/>
                <w:color w:val="auto"/>
              </w:rPr>
            </w:pPr>
            <w:r>
              <w:rPr>
                <w:rFonts w:ascii="Arial" w:cs="Arial" w:eastAsia="Arial" w:hAnsi="Arial"/>
                <w:sz w:val="18"/>
                <w:szCs w:val="18"/>
                <w:b w:val="1"/>
                <w:bCs w:val="1"/>
                <w:color w:val="auto"/>
              </w:rPr>
              <w:t>Terahash</w:t>
            </w:r>
          </w:p>
        </w:tc>
        <w:tc>
          <w:tcPr>
            <w:tcW w:w="9440" w:type="dxa"/>
            <w:vAlign w:val="bottom"/>
            <w:gridSpan w:val="2"/>
          </w:tcPr>
          <w:p>
            <w:pPr>
              <w:ind w:left="340"/>
              <w:spacing w:after="0"/>
              <w:rPr>
                <w:sz w:val="20"/>
                <w:szCs w:val="20"/>
                <w:color w:val="auto"/>
              </w:rPr>
            </w:pPr>
            <w:r>
              <w:rPr>
                <w:rFonts w:ascii="Arial" w:cs="Arial" w:eastAsia="Arial" w:hAnsi="Arial"/>
                <w:sz w:val="18"/>
                <w:szCs w:val="18"/>
                <w:color w:val="auto"/>
              </w:rPr>
              <w:t>One trillion (1,000,000,000,000) hashes per second.</w:t>
            </w:r>
          </w:p>
        </w:tc>
      </w:tr>
      <w:tr>
        <w:trPr>
          <w:trHeight w:val="27"/>
        </w:trPr>
        <w:tc>
          <w:tcPr>
            <w:tcW w:w="1800" w:type="dxa"/>
            <w:vAlign w:val="bottom"/>
            <w:tcBorders>
              <w:bottom w:val="single" w:sz="8" w:color="auto"/>
            </w:tcBorders>
          </w:tcPr>
          <w:p>
            <w:pPr>
              <w:spacing w:after="0"/>
              <w:rPr>
                <w:sz w:val="2"/>
                <w:szCs w:val="2"/>
                <w:color w:val="auto"/>
              </w:rPr>
            </w:pPr>
          </w:p>
        </w:tc>
        <w:tc>
          <w:tcPr>
            <w:tcW w:w="8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433"/>
        </w:trPr>
        <w:tc>
          <w:tcPr>
            <w:tcW w:w="180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gridSpan w:val="2"/>
          </w:tcPr>
          <w:p>
            <w:pPr>
              <w:spacing w:after="0"/>
              <w:rPr>
                <w:sz w:val="24"/>
                <w:szCs w:val="24"/>
                <w:color w:val="auto"/>
              </w:rPr>
            </w:pPr>
          </w:p>
        </w:tc>
      </w:tr>
      <w:tr>
        <w:trPr>
          <w:trHeight w:val="216"/>
        </w:trPr>
        <w:tc>
          <w:tcPr>
            <w:tcW w:w="1800" w:type="dxa"/>
            <w:vAlign w:val="bottom"/>
          </w:tcPr>
          <w:p>
            <w:pPr>
              <w:spacing w:after="0"/>
              <w:rPr>
                <w:sz w:val="18"/>
                <w:szCs w:val="18"/>
                <w:color w:val="auto"/>
              </w:rPr>
            </w:pPr>
          </w:p>
        </w:tc>
        <w:tc>
          <w:tcPr>
            <w:tcW w:w="8900" w:type="dxa"/>
            <w:vAlign w:val="bottom"/>
            <w:tcBorders>
              <w:right w:val="single" w:sz="8" w:color="auto"/>
            </w:tcBorders>
          </w:tcPr>
          <w:p>
            <w:pPr>
              <w:ind w:left="8640"/>
              <w:spacing w:after="0"/>
              <w:rPr>
                <w:sz w:val="20"/>
                <w:szCs w:val="20"/>
                <w:color w:val="auto"/>
              </w:rPr>
            </w:pPr>
            <w:r>
              <w:rPr>
                <w:rFonts w:ascii="Arial" w:cs="Arial" w:eastAsia="Arial" w:hAnsi="Arial"/>
                <w:sz w:val="18"/>
                <w:szCs w:val="18"/>
                <w:color w:val="auto"/>
              </w:rPr>
              <w:t>46</w:t>
            </w:r>
          </w:p>
        </w:tc>
        <w:tc>
          <w:tcPr>
            <w:tcW w:w="540" w:type="dxa"/>
            <w:vAlign w:val="bottom"/>
          </w:tcPr>
          <w:p>
            <w:pPr>
              <w:ind w:left="40"/>
              <w:spacing w:after="0"/>
              <w:rPr>
                <w:sz w:val="20"/>
                <w:szCs w:val="20"/>
                <w:color w:val="auto"/>
              </w:rPr>
            </w:pPr>
            <w:r>
              <w:rPr>
                <w:rFonts w:ascii="Arial" w:cs="Arial" w:eastAsia="Arial" w:hAnsi="Arial"/>
                <w:sz w:val="18"/>
                <w:szCs w:val="18"/>
                <w:color w:val="auto"/>
              </w:rPr>
              <w:t>Page</w:t>
            </w:r>
          </w:p>
        </w:tc>
      </w:tr>
    </w:tbl>
    <w:p>
      <w:pPr>
        <w:sectPr>
          <w:pgSz w:w="11900" w:h="16838" w:orient="portrait"/>
          <w:cols w:equalWidth="0" w:num="1">
            <w:col w:w="11240"/>
          </w:cols>
          <w:pgMar w:left="320" w:top="904"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99.3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52-109F2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FULL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Geoffrey Morphy, Chief Executive Officer of Bitfarms Ltd., certify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I have reviewed the interim financial report and interim MD&amp;A (together, the “interim filings”) of Bitfarms Ltd. (the “issuer”)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interim period ended June 30, 2023.</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misrepresentations: </w:t>
      </w:r>
      <w:r>
        <w:rPr>
          <w:rFonts w:ascii="Arial" w:cs="Arial" w:eastAsia="Arial" w:hAnsi="Arial"/>
          <w:sz w:val="18"/>
          <w:szCs w:val="18"/>
          <w:color w:val="auto"/>
        </w:rPr>
        <w:t>Based on my knowledge, having exercised reasonable diligence, the interim filings do not contain any untrue statement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presentation: </w:t>
      </w:r>
      <w:r>
        <w:rPr>
          <w:rFonts w:ascii="Arial" w:cs="Arial" w:eastAsia="Arial" w:hAnsi="Arial"/>
          <w:sz w:val="18"/>
          <w:szCs w:val="18"/>
          <w:color w:val="auto"/>
        </w:rPr>
        <w:t>Based on my knowledge, having exercised reasonable diligence, the interim financial report together with the other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Responsibility: </w:t>
      </w:r>
      <w:r>
        <w:rPr>
          <w:rFonts w:ascii="Arial" w:cs="Arial" w:eastAsia="Arial" w:hAnsi="Arial"/>
          <w:sz w:val="18"/>
          <w:szCs w:val="18"/>
          <w:color w:val="auto"/>
        </w:rPr>
        <w:t>The issuer’s other certifying officer(s) and I are responsible for establishing and maintaining disclosure controls and procedures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(DC&amp;P) and internal control over financial reporting (ICFR), as those terms are defined in </w:t>
      </w:r>
      <w:r>
        <w:rPr>
          <w:rFonts w:ascii="Arial" w:cs="Arial" w:eastAsia="Arial" w:hAnsi="Arial"/>
          <w:sz w:val="18"/>
          <w:szCs w:val="18"/>
          <w:i w:val="1"/>
          <w:iCs w:val="1"/>
          <w:color w:val="auto"/>
        </w:rPr>
        <w:t>National Instrument 52-109 Certification of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in Issuers’ Annual and Interim Filings</w:t>
      </w:r>
      <w:r>
        <w:rPr>
          <w:rFonts w:ascii="Arial" w:cs="Arial" w:eastAsia="Arial" w:hAnsi="Arial"/>
          <w:sz w:val="18"/>
          <w:szCs w:val="18"/>
          <w:color w:val="auto"/>
        </w:rPr>
        <w:t>, for the issuer.</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 </w:t>
      </w:r>
      <w:r>
        <w:rPr>
          <w:rFonts w:ascii="Arial" w:cs="Arial" w:eastAsia="Arial" w:hAnsi="Arial"/>
          <w:sz w:val="18"/>
          <w:szCs w:val="18"/>
          <w:color w:val="auto"/>
        </w:rPr>
        <w:t>Subject to the limitations, if any, described in paragraphs 5.2 and 5.3, the issuer’s other certifying officer(s) and I have, as at the end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covered by the interim filings: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DC&amp;P, or caused it to be designed under our supervision, to provide reasonable assurance that:</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material information relating to the issuer is made known to us by others, particularly during the period in which the interim filings are being prepared; and</w:t>
      </w:r>
    </w:p>
    <w:p>
      <w:pPr>
        <w:spacing w:after="0" w:line="170" w:lineRule="exact"/>
        <w:rPr>
          <w:rFonts w:ascii="Arial" w:cs="Arial" w:eastAsia="Arial" w:hAnsi="Arial"/>
          <w:sz w:val="18"/>
          <w:szCs w:val="18"/>
          <w:color w:val="auto"/>
        </w:rPr>
      </w:pPr>
    </w:p>
    <w:p>
      <w:pPr>
        <w:ind w:left="1300" w:hanging="320"/>
        <w:spacing w:after="0" w:line="308" w:lineRule="auto"/>
        <w:tabs>
          <w:tab w:leader="none" w:pos="1300" w:val="left"/>
        </w:tabs>
        <w:numPr>
          <w:ilvl w:val="2"/>
          <w:numId w:val="102"/>
        </w:numPr>
        <w:rPr>
          <w:rFonts w:ascii="Arial" w:cs="Arial" w:eastAsia="Arial" w:hAnsi="Arial"/>
          <w:sz w:val="17"/>
          <w:szCs w:val="17"/>
          <w:color w:val="auto"/>
        </w:rPr>
      </w:pPr>
      <w:r>
        <w:rPr>
          <w:rFonts w:ascii="Arial" w:cs="Arial" w:eastAsia="Arial" w:hAnsi="Arial"/>
          <w:sz w:val="17"/>
          <w:szCs w:val="17"/>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70" w:lineRule="exact"/>
        <w:rPr>
          <w:sz w:val="20"/>
          <w:szCs w:val="20"/>
          <w:color w:val="auto"/>
        </w:rPr>
      </w:pPr>
    </w:p>
    <w:p>
      <w:pPr>
        <w:ind w:left="660" w:hanging="323"/>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i w:val="1"/>
          <w:iCs w:val="1"/>
          <w:color w:val="auto"/>
        </w:rPr>
        <w:t>Control framework:</w:t>
      </w:r>
      <w:r>
        <w:rPr>
          <w:rFonts w:ascii="Arial" w:cs="Arial" w:eastAsia="Arial" w:hAnsi="Arial"/>
          <w:sz w:val="17"/>
          <w:szCs w:val="17"/>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i w:val="1"/>
          <w:iCs w:val="1"/>
          <w:color w:val="auto"/>
        </w:rPr>
        <w:t>ICFR - material weakness relating to design:</w:t>
      </w:r>
      <w:r>
        <w:rPr>
          <w:rFonts w:ascii="Arial" w:cs="Arial" w:eastAsia="Arial" w:hAnsi="Arial"/>
          <w:sz w:val="18"/>
          <w:szCs w:val="18"/>
          <w:color w:val="auto"/>
        </w:rPr>
        <w:t xml:space="preserve"> N/A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i w:val="1"/>
          <w:iCs w:val="1"/>
          <w:color w:val="auto"/>
        </w:rPr>
        <w:t>Limitation on scope of design:</w:t>
      </w:r>
      <w:r>
        <w:rPr>
          <w:rFonts w:ascii="Arial" w:cs="Arial" w:eastAsia="Arial" w:hAnsi="Arial"/>
          <w:sz w:val="18"/>
          <w:szCs w:val="18"/>
          <w:color w:val="auto"/>
        </w:rPr>
        <w:t xml:space="preserve"> N/A</w:t>
      </w:r>
    </w:p>
    <w:p>
      <w:pPr>
        <w:spacing w:after="0" w:line="225" w:lineRule="exact"/>
        <w:rPr>
          <w:sz w:val="20"/>
          <w:szCs w:val="20"/>
          <w:color w:val="auto"/>
        </w:rPr>
      </w:pPr>
    </w:p>
    <w:p>
      <w:pPr>
        <w:ind w:left="660" w:hanging="328"/>
        <w:spacing w:after="0" w:line="342"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Reporting changes in ICFR: </w:t>
      </w:r>
      <w:r>
        <w:rPr>
          <w:rFonts w:ascii="Arial" w:cs="Arial" w:eastAsia="Arial" w:hAnsi="Arial"/>
          <w:sz w:val="16"/>
          <w:szCs w:val="16"/>
          <w:color w:val="auto"/>
        </w:rPr>
        <w:t>The issuer has disclosed in its interim MD&amp;A any change in the issuer’s ICFR that occurred during the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beginning on April 1, 2023 and ended on June 30, 2023 that has materially affected, or is reasonably likely to materially affect, the issuer’s ICFR.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(signed)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Geoffrey Morphy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Exhibit 99.4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52-109F2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FULL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Lucas, Chief Financial Officer of Bitfarms Ltd., certify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I have reviewed the interim financial report and interim MD&amp;A (together, the “interim filings”) of Bitfarms Ltd. (the “issuer”)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interim period ended June 30, 2023.</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misrepresentations: </w:t>
      </w:r>
      <w:r>
        <w:rPr>
          <w:rFonts w:ascii="Arial" w:cs="Arial" w:eastAsia="Arial" w:hAnsi="Arial"/>
          <w:sz w:val="18"/>
          <w:szCs w:val="18"/>
          <w:color w:val="auto"/>
        </w:rPr>
        <w:t>Based on my knowledge, having exercised reasonable diligence, the interim filings do not contain any untrue statement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material fact or omit to state a material fact required to be stated or that is necessary to make a statement not misleading in light of the circumstances under which it was made, with respect to the period covered by the interim filings.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presentation: </w:t>
      </w:r>
      <w:r>
        <w:rPr>
          <w:rFonts w:ascii="Arial" w:cs="Arial" w:eastAsia="Arial" w:hAnsi="Arial"/>
          <w:sz w:val="18"/>
          <w:szCs w:val="18"/>
          <w:color w:val="auto"/>
        </w:rPr>
        <w:t>Based on my knowledge, having exercised reasonable diligence, the interim financial report together with the other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Responsibility: </w:t>
      </w:r>
      <w:r>
        <w:rPr>
          <w:rFonts w:ascii="Arial" w:cs="Arial" w:eastAsia="Arial" w:hAnsi="Arial"/>
          <w:sz w:val="18"/>
          <w:szCs w:val="18"/>
          <w:color w:val="auto"/>
        </w:rPr>
        <w:t>The issuer’s other certifying officer(s) and I are responsible for establishing and maintaining disclosure controls and procedures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(DC&amp;P) and internal control over financial reporting (ICFR), as those terms are defined in </w:t>
      </w:r>
      <w:r>
        <w:rPr>
          <w:rFonts w:ascii="Arial" w:cs="Arial" w:eastAsia="Arial" w:hAnsi="Arial"/>
          <w:sz w:val="18"/>
          <w:szCs w:val="18"/>
          <w:i w:val="1"/>
          <w:iCs w:val="1"/>
          <w:color w:val="auto"/>
        </w:rPr>
        <w:t>National Instrument 52-109 Certification of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in Issuers’ Annual and Interim Filings</w:t>
      </w:r>
      <w:r>
        <w:rPr>
          <w:rFonts w:ascii="Arial" w:cs="Arial" w:eastAsia="Arial" w:hAnsi="Arial"/>
          <w:sz w:val="18"/>
          <w:szCs w:val="18"/>
          <w:color w:val="auto"/>
        </w:rPr>
        <w:t>, for the issuer.</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 </w:t>
      </w:r>
      <w:r>
        <w:rPr>
          <w:rFonts w:ascii="Arial" w:cs="Arial" w:eastAsia="Arial" w:hAnsi="Arial"/>
          <w:sz w:val="18"/>
          <w:szCs w:val="18"/>
          <w:color w:val="auto"/>
        </w:rPr>
        <w:t>Subject to the limitations, if any, described in paragraphs 5.2 and 5.3, the issuer’s other certifying officer(s) and I have, as at the end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covered by the interim filings: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DC&amp;P, or caused it to be designed under our supervision, to provide reasonable assurance that:</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material information relating to the issuer is made known to us by others, particularly during the period in which the interim filings are being prepared; and</w:t>
      </w:r>
    </w:p>
    <w:p>
      <w:pPr>
        <w:spacing w:after="0" w:line="170" w:lineRule="exact"/>
        <w:rPr>
          <w:rFonts w:ascii="Arial" w:cs="Arial" w:eastAsia="Arial" w:hAnsi="Arial"/>
          <w:sz w:val="18"/>
          <w:szCs w:val="18"/>
          <w:color w:val="auto"/>
        </w:rPr>
      </w:pPr>
    </w:p>
    <w:p>
      <w:pPr>
        <w:ind w:left="1300" w:hanging="320"/>
        <w:spacing w:after="0" w:line="308" w:lineRule="auto"/>
        <w:tabs>
          <w:tab w:leader="none" w:pos="130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70" w:lineRule="exact"/>
        <w:rPr>
          <w:sz w:val="20"/>
          <w:szCs w:val="20"/>
          <w:color w:val="auto"/>
        </w:rPr>
      </w:pPr>
    </w:p>
    <w:p>
      <w:pPr>
        <w:ind w:left="660" w:hanging="323"/>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i w:val="1"/>
          <w:iCs w:val="1"/>
          <w:color w:val="auto"/>
        </w:rPr>
        <w:t>Control framework:</w:t>
      </w:r>
      <w:r>
        <w:rPr>
          <w:rFonts w:ascii="Arial" w:cs="Arial" w:eastAsia="Arial" w:hAnsi="Arial"/>
          <w:sz w:val="17"/>
          <w:szCs w:val="17"/>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i w:val="1"/>
          <w:iCs w:val="1"/>
          <w:color w:val="auto"/>
        </w:rPr>
        <w:t>ICFR - material weakness relating to design:</w:t>
      </w:r>
      <w:r>
        <w:rPr>
          <w:rFonts w:ascii="Arial" w:cs="Arial" w:eastAsia="Arial" w:hAnsi="Arial"/>
          <w:sz w:val="18"/>
          <w:szCs w:val="18"/>
          <w:color w:val="auto"/>
        </w:rPr>
        <w:t xml:space="preserve"> N/A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i w:val="1"/>
          <w:iCs w:val="1"/>
          <w:color w:val="auto"/>
        </w:rPr>
        <w:t>Limitation on scope of design:</w:t>
      </w:r>
      <w:r>
        <w:rPr>
          <w:rFonts w:ascii="Arial" w:cs="Arial" w:eastAsia="Arial" w:hAnsi="Arial"/>
          <w:sz w:val="18"/>
          <w:szCs w:val="18"/>
          <w:color w:val="auto"/>
        </w:rPr>
        <w:t xml:space="preserve"> N/A</w:t>
      </w:r>
    </w:p>
    <w:p>
      <w:pPr>
        <w:spacing w:after="0" w:line="225" w:lineRule="exact"/>
        <w:rPr>
          <w:sz w:val="20"/>
          <w:szCs w:val="20"/>
          <w:color w:val="auto"/>
        </w:rPr>
      </w:pPr>
    </w:p>
    <w:p>
      <w:pPr>
        <w:ind w:left="660" w:hanging="328"/>
        <w:spacing w:after="0" w:line="342"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Reporting changes in ICFR: </w:t>
      </w:r>
      <w:r>
        <w:rPr>
          <w:rFonts w:ascii="Arial" w:cs="Arial" w:eastAsia="Arial" w:hAnsi="Arial"/>
          <w:sz w:val="16"/>
          <w:szCs w:val="16"/>
          <w:color w:val="auto"/>
        </w:rPr>
        <w:t>The issuer has disclosed in its interim MD&amp;A any change in the issuer’s ICFR that occurred during the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beginning on April 1, 2023 and ended on June 30, 2023 that has materially affected, or is reasonably likely to materially affect, the issuer’s ICFR.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(signed)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Jeffrey Lucas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1" w:right="339" w:bottom="1440" w:gutter="0" w:footer="0" w:header="0"/>
        </w:sectPr>
      </w:pPr>
    </w:p>
    <w:bookmarkStart w:id="80" w:name="page81"/>
    <w:bookmarkEnd w:id="80"/>
    <w:p>
      <w:pPr>
        <w:ind w:left="10320"/>
        <w:spacing w:after="0"/>
        <w:rPr>
          <w:sz w:val="20"/>
          <w:szCs w:val="20"/>
          <w:color w:val="auto"/>
        </w:rPr>
      </w:pPr>
      <w:r>
        <w:rPr>
          <w:rFonts w:ascii="Arial" w:cs="Arial" w:eastAsia="Arial" w:hAnsi="Arial"/>
          <w:sz w:val="16"/>
          <w:szCs w:val="16"/>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168910</wp:posOffset>
            </wp:positionV>
            <wp:extent cx="2032000" cy="5314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203200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Reports Second Quarter 2023 Results</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 Mines 1,223 BTC and grows HODL 114 BTC to 549 BTC in Q2 2023 -</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 Achieves 5.3 EH/s at June 30, 2023, up 10% from March 31, 2023 -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Sets target of 7.0 EH/s in Q1 2024 -</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Toronto, Ontario and Brossard, Québec (August 8, 2023) </w:t>
      </w:r>
      <w:r>
        <w:rPr>
          <w:rFonts w:ascii="Arial" w:cs="Arial" w:eastAsia="Arial" w:hAnsi="Arial"/>
          <w:sz w:val="18"/>
          <w:szCs w:val="18"/>
          <w:color w:val="auto"/>
        </w:rPr>
        <w:t>- (GLOBE NEWSWIRE) — Bitfarms Ltd. (NASDAQ: BITF // TSX: BITF), a vertically</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integrated global bitcoin company, reported its financial results for the second quarter ended June 30, 2023, with revenue of $35 million, net loss of $25 million, and Adjusted EBITDA* of $8 million. All financial references are in U.S. dollars.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second quarter, we continued our strategy of leading into the next BTC halving responsibly deploying capital to drive greater operating efficiencies in conjunction with geographic expansion and diversification,” said Geoff Morphy, President and CEO of Bitfarms. “With ongoing investments in infrastructure and fleet upgrades, we increased our hashrate by 10% during Q2 2023 to 5.3 EH/s as of June 30, 2023, and as BTC prices continued to recover amidst increases in network difficulty, our low operating cost model drove Adjusted EBITDA* to $8 million, up from $7 million in Q1 2023. Averaging 13.4 BTC mined per day in Q2 2023, we mined a total of 1,223 BTC in the quarter. Continuing to position our company for opportunistic development across multiple jurisdictions, we increased financial liquidity and flexibility by paying down indebtedness and retaining a portion of BTC from production. We added to our BTC holdings each month in Q2 2023, as gross mining profit* of $14 million and gross mining margin* of 42% supported continued HODLing as we added 114 BTC to treasury during the quarter.</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we acquired contracts for up to 150 MW of low-cost, eco-friendly hydropower in Paraguay, which is a highly attractive market with substantial potential for development. Based on our experience, Paraguay has among the lowest build-out costs, quickest project timelines to completion, and a straightforward importation regime. In August we initiated our deployment plan for a new 50 MW farm at Paso Pe in Paraguay with a 30 MW air-cooled facility along with the purchase of 20 MW of MicroBT hydro-cooling miners and containers. As we expect to commission this farm in Q1 2024, we are introducing a target hashrate of 7.0 EH/s by the end of March 2024.</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Rio Cuarto, Argentina, we ramped production to 29 MW and became a self-importer of miners to reduce costs and simplify the importation process. To support our target of 6.3 EH/s in Q3 2023, we have approximately 7,500 miners en route and in the process of being installed at Rio Cuarto and at Baie-Comeau, Québec.</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summary, we are projecting 20% sequential growth in our hashrate in Q3 2023 as we execute against our fleet expansion and upgrade plans. With Paso Pe expected to come online in Q1 2024 and as we evaluate other diverse development opportunities, we are poised for further growth,” Morphy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Financial Highlights for the Quarter ended June 30, 2023</w:t>
      </w:r>
    </w:p>
    <w:p>
      <w:pPr>
        <w:spacing w:after="0" w:line="229" w:lineRule="exact"/>
        <w:rPr>
          <w:sz w:val="20"/>
          <w:szCs w:val="20"/>
          <w:color w:val="auto"/>
        </w:rPr>
      </w:pPr>
    </w:p>
    <w:p>
      <w:pPr>
        <w:ind w:left="660" w:hanging="328"/>
        <w:spacing w:after="0" w:line="25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Total revenue of $35 million, compared to $30 million in Q1 2023, reflecting higher hashrate and average BTC prices, partially offset by a decrease in total BTC produced.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Gross mining profit* and gross mining margin* of $14 million and 42%, respectively, compared to $12 million and 42% in Q1 2023, respectively.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General and administrative (G&amp;A) expenses of $9 million, including non-cash share-based compensation of $2 million, up 10% from Q1 2023.</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Operating loss of $25 million, including $10 million in impairment charges, compared to an operating loss of $15 million in Q1 2023, which included a $1 million realized gain on disposition of digital assets and a $3 million reversal of revaluation loss on digital assets.</w:t>
      </w:r>
    </w:p>
    <w:p>
      <w:pPr>
        <w:ind w:left="660" w:hanging="328"/>
        <w:spacing w:after="0"/>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Net loss of $25 million, or ($0.10) per basic and diluted share, compared to $2 million, or ($0.01) per basic and diluted share, in Q1 2023.</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Non-IFRS Adjusted EBITDA* of $8 million, or 22% of revenue, compared to $7 million, or 22% of revenue, in Q1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mined 1,223 BTC at an average direct cost of production per BTC**** of $15,700, compared to $12,500 in Q1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Total cash costs of production, including G&amp;A expenses, per BTC were $21,800 in Q2 2023, up from $17,600 in Q1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as of June 30, 2023</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held $31 million in cash and 549 BTC valued at approximately $17 million based upon a BTC price of approximately $30,500 as of June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2023 Financing Activities</w:t>
      </w:r>
    </w:p>
    <w:p>
      <w:pPr>
        <w:spacing w:after="0" w:line="229" w:lineRule="exact"/>
        <w:rPr>
          <w:sz w:val="20"/>
          <w:szCs w:val="20"/>
          <w:color w:val="auto"/>
        </w:rPr>
      </w:pPr>
    </w:p>
    <w:p>
      <w:pPr>
        <w:ind w:left="660" w:hanging="328"/>
        <w:spacing w:after="0" w:line="258"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Sold 1,109 BTC at an average price of $27,900 per BTC for total proceeds of $31 million, a portion of which was used to repay equipment related indebtedness.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Paid down $5 million in equipment related indebtedness, reducing the total outstanding balance to $16 million as of June 30,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Held $19 million in remaining credits for pre-paid deposits to be applied against future Miner purchase agreements as of June 30, 2023.</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Raised $22 million in net proceeds through the Company’s at-the-market equity offering program.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Financing Activities Subsequent to Q2 2023</w:t>
      </w:r>
    </w:p>
    <w:p>
      <w:pPr>
        <w:spacing w:after="0" w:line="229"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Sold production totaling 333 BTC during July 2023, generating proceeds of $10 million.</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Added 45 BTC to treasury in July 2023, increasing BTC in custody to 594, representing a total value of $17 million based on a BTC price of $29,200, on July 31, 2023.</w:t>
      </w:r>
    </w:p>
    <w:p>
      <w:pPr>
        <w:ind w:left="660" w:hanging="328"/>
        <w:spacing w:after="0" w:line="260"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support accretive growth, raised $26 million in net proceeds through the Company’s at-the-market equity offering program during July 2023 through August 7,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2023 and Recent Operating Highlights</w:t>
      </w:r>
    </w:p>
    <w:p>
      <w:pPr>
        <w:spacing w:after="0" w:line="225"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Operations</w:t>
      </w:r>
    </w:p>
    <w:p>
      <w:pPr>
        <w:spacing w:after="0" w:line="27" w:lineRule="exact"/>
        <w:rPr>
          <w:rFonts w:ascii="Arial" w:cs="Arial" w:eastAsia="Arial" w:hAnsi="Arial"/>
          <w:sz w:val="18"/>
          <w:szCs w:val="18"/>
          <w:color w:val="auto"/>
        </w:rPr>
      </w:pPr>
    </w:p>
    <w:p>
      <w:pPr>
        <w:ind w:left="1300" w:hanging="320"/>
        <w:spacing w:after="0"/>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Reached 5.3 EH/s corporate hashrate as of June 30, 2023.</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Averaged 13.4 BTC per day in daily production for Q2 2023.</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Mined 378 BTC in July 2023.</w:t>
      </w:r>
    </w:p>
    <w:p>
      <w:pPr>
        <w:spacing w:after="0" w:line="233"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Miners</w:t>
      </w:r>
    </w:p>
    <w:p>
      <w:pPr>
        <w:spacing w:after="0" w:line="27" w:lineRule="exact"/>
        <w:rPr>
          <w:rFonts w:ascii="Arial" w:cs="Arial" w:eastAsia="Arial" w:hAnsi="Arial"/>
          <w:sz w:val="18"/>
          <w:szCs w:val="18"/>
          <w:color w:val="auto"/>
        </w:rPr>
      </w:pPr>
    </w:p>
    <w:p>
      <w:pPr>
        <w:ind w:left="1300" w:hanging="320"/>
        <w:spacing w:after="0" w:line="265" w:lineRule="auto"/>
        <w:tabs>
          <w:tab w:leader="none" w:pos="13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Imported and installed approximately 5,100 new M30S Whatsminer miners into Argentina in Q2 2023 which increased capacity over 100% to 29 MW and added approximately 510 PH/s to the Rio Cuarto facility, bringing its total hashrate to approximately 700 PH/s.</w:t>
      </w:r>
    </w:p>
    <w:p>
      <w:pPr>
        <w:jc w:val="both"/>
        <w:ind w:left="1300" w:hanging="320"/>
        <w:spacing w:after="0" w:line="250"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Purchased approximately 12,500 new high efficiency miners with a blended energy efficiency of 30 W/TH at an average direct cost $13.94/TH, with approximately 7,800 miners for deployment to Argentina and approximately 4,700 miners for deployment to Canada, in both cases in Q2 2023.</w:t>
      </w:r>
    </w:p>
    <w:p>
      <w:pPr>
        <w:spacing w:after="0" w:line="1" w:lineRule="exact"/>
        <w:rPr>
          <w:rFonts w:ascii="Arial" w:cs="Arial" w:eastAsia="Arial" w:hAnsi="Arial"/>
          <w:sz w:val="18"/>
          <w:szCs w:val="18"/>
          <w:color w:val="auto"/>
        </w:rPr>
      </w:pPr>
    </w:p>
    <w:p>
      <w:pPr>
        <w:ind w:left="1300" w:hanging="320"/>
        <w:spacing w:after="0" w:line="260"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Purchased 8 MicroBT 2.4 MW Hydro Containers and 1,920 MicroBT M53S+ Hydro Miners in August for deployment to new Paso Pe farm in Paraguay.</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Expansion Strategy</w:t>
      </w:r>
    </w:p>
    <w:p>
      <w:pPr>
        <w:spacing w:after="0" w:line="27"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Became a self-importer of miners in Argentina, reducing the cost and facilitating the importation of miners, and terminated existing contracts with importation brokers, resulting in a $7 million impairment loss on short-term prepaid deposits.</w:t>
      </w:r>
    </w:p>
    <w:p>
      <w:pPr>
        <w:ind w:left="1300" w:hanging="320"/>
        <w:spacing w:after="0"/>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Purchased Baie-Comeau facility and initiated production in July.</w:t>
      </w:r>
    </w:p>
    <w:p>
      <w:pPr>
        <w:spacing w:after="0" w:line="9" w:lineRule="exact"/>
        <w:rPr>
          <w:rFonts w:ascii="Arial" w:cs="Arial" w:eastAsia="Arial" w:hAnsi="Arial"/>
          <w:sz w:val="18"/>
          <w:szCs w:val="18"/>
          <w:color w:val="auto"/>
        </w:rPr>
      </w:pPr>
    </w:p>
    <w:p>
      <w:pPr>
        <w:ind w:left="1300" w:hanging="320"/>
        <w:spacing w:after="0" w:line="260"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Acquired two Power Purchase Agreements for up to 150 MW of hydropower in Paraguay in July and initiated deployment plan in August for new 50 MW farm at Paso Pe.</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Quarterly Operating Performance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8"/>
              </w:rPr>
              <w:t>Q2 2023</w:t>
            </w: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Q1 2023</w:t>
            </w: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Q2 2022</w:t>
            </w: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BTC mined</w:t>
            </w: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1,297</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Average Watts/Average TH efficiency**</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37</w:t>
            </w:r>
          </w:p>
        </w:tc>
        <w:tc>
          <w:tcPr>
            <w:tcW w:w="2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50"/>
        </w:trPr>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BTC sold</w:t>
            </w:r>
          </w:p>
        </w:tc>
        <w:tc>
          <w:tcPr>
            <w:tcW w:w="10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1,109</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1,267</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4"/>
        </w:trPr>
        <w:tc>
          <w:tcPr>
            <w:tcW w:w="3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24"/>
                <w:szCs w:val="24"/>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97"/>
              </w:rPr>
              <w:t>As of</w:t>
            </w:r>
          </w:p>
        </w:tc>
        <w:tc>
          <w:tcPr>
            <w:tcW w:w="2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As of</w:t>
            </w:r>
          </w:p>
        </w:tc>
      </w:tr>
      <w:tr>
        <w:trPr>
          <w:trHeight w:val="234"/>
        </w:trPr>
        <w:tc>
          <w:tcPr>
            <w:tcW w:w="3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June 30,</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March 31,</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6"/>
              </w:rPr>
              <w:t>June 30,</w:t>
            </w:r>
          </w:p>
        </w:tc>
      </w:tr>
      <w:tr>
        <w:trPr>
          <w:trHeight w:val="237"/>
        </w:trPr>
        <w:tc>
          <w:tcPr>
            <w:tcW w:w="3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auto"/>
            </w:tcBorders>
          </w:tcPr>
          <w:p>
            <w:pPr>
              <w:spacing w:after="0"/>
              <w:rPr>
                <w:sz w:val="20"/>
                <w:szCs w:val="20"/>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EH/s</w:t>
            </w: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Operating capacity (MW)</w:t>
            </w: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207</w:t>
            </w:r>
          </w:p>
        </w:tc>
        <w:tc>
          <w:tcPr>
            <w:tcW w:w="2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r>
      <w:tr>
        <w:trPr>
          <w:trHeight w:val="250"/>
        </w:trPr>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Hydropower (MW)</w:t>
            </w:r>
          </w:p>
        </w:tc>
        <w:tc>
          <w:tcPr>
            <w:tcW w:w="10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auto"/>
            </w:tcBorders>
            <w:shd w:val="clear" w:color="auto" w:fill="CCEEFF"/>
          </w:tcPr>
          <w:p>
            <w:pPr>
              <w:spacing w:after="0"/>
              <w:rPr>
                <w:sz w:val="21"/>
                <w:szCs w:val="21"/>
                <w:color w:val="auto"/>
              </w:rPr>
            </w:pPr>
          </w:p>
        </w:tc>
      </w:tr>
      <w:tr>
        <w:trPr>
          <w:trHeight w:val="432"/>
        </w:trPr>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Quarterly Average Revenue*** and Cost of Production per BTC****</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7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spacing w:after="0"/>
              <w:rPr>
                <w:sz w:val="18"/>
                <w:szCs w:val="18"/>
                <w:color w:val="auto"/>
              </w:rPr>
            </w:pPr>
          </w:p>
        </w:tc>
      </w:tr>
      <w:tr>
        <w:trPr>
          <w:trHeight w:val="237"/>
        </w:trPr>
        <w:tc>
          <w:tcPr>
            <w:tcW w:w="37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Q2 2023</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Q1 2023</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8"/>
              </w:rPr>
              <w:t>Q4 2022</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2"/>
              </w:rPr>
              <w:t>Q3 2022</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2"/>
              </w:rPr>
              <w:t>Q2 2022</w:t>
            </w: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Avg. Rev***/BTC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32,700</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Direct Cost****/BTC</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15,700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12,500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9,600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10,100</w:t>
            </w:r>
          </w:p>
        </w:tc>
        <w:tc>
          <w:tcPr>
            <w:tcW w:w="100" w:type="dxa"/>
            <w:vAlign w:val="bottom"/>
          </w:tcPr>
          <w:p>
            <w:pPr>
              <w:spacing w:after="0"/>
              <w:rPr>
                <w:sz w:val="18"/>
                <w:szCs w:val="18"/>
                <w:color w:val="auto"/>
              </w:rPr>
            </w:pPr>
          </w:p>
        </w:tc>
      </w:tr>
      <w:tr>
        <w:trPr>
          <w:trHeight w:val="250"/>
        </w:trPr>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Cost/BTC</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ind w:left="20" w:hanging="11"/>
        <w:spacing w:after="0" w:line="263" w:lineRule="auto"/>
        <w:rPr>
          <w:sz w:val="20"/>
          <w:szCs w:val="20"/>
          <w:color w:val="auto"/>
        </w:rPr>
      </w:pPr>
      <w:r>
        <w:rPr>
          <w:rFonts w:ascii="Arial" w:cs="Arial" w:eastAsia="Arial" w:hAnsi="Arial"/>
          <w:sz w:val="18"/>
          <w:szCs w:val="18"/>
          <w:color w:val="auto"/>
        </w:rPr>
        <w:t>Management will host a conference call and live webcast with an accompanying presentation today, Tuesday, August 8, 2023, at 11 a.m. ET to review the Company’s financial results and quarterly activity. Following management’s formal remarks there will be a live question-and-answer session, which may include pre-submitted questions.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asked to preregister for the call through the following link: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Q2 2023 Conference Call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note that registered participants will receive their dial in number upon registration and will dial directly into the call without delay. Those without internet access or who are unable to preregister may dial in by calling: 1-866-777-2509 (domestic), 1-412-317-5413 (international). All callers should dial in approximately 10 minutes prior to the scheduled start time and ask to be joined into the Bitfarms call.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will also be available through a live webcast found here: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Live Webcast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webcast replay of the call will be available approximately one hour after the end of the call and will be available for one year, at the above webcast link. A telephonic replay of the call will be available through August 16, 2023 and may be accessed by calling 1-877-344-7529 (domestic) or 1-412-317-0088 (international) or Canada (toll free) 855-669-9658 and using access code 4369556. A presentation of the Q2 2023 results will be accessible on Tuesday, August 8, 2023, under the “Investors” section of Bitfarms’ website.</w:t>
      </w:r>
    </w:p>
    <w:p>
      <w:pPr>
        <w:spacing w:after="0" w:line="187" w:lineRule="exact"/>
        <w:rPr>
          <w:sz w:val="20"/>
          <w:szCs w:val="20"/>
          <w:color w:val="auto"/>
        </w:rPr>
      </w:pPr>
    </w:p>
    <w:p>
      <w:pPr>
        <w:jc w:val="both"/>
        <w:ind w:firstLine="8"/>
        <w:spacing w:after="0" w:line="259" w:lineRule="auto"/>
        <w:tabs>
          <w:tab w:leader="none" w:pos="142" w:val="left"/>
        </w:tabs>
        <w:numPr>
          <w:ilvl w:val="0"/>
          <w:numId w:val="110"/>
        </w:numPr>
        <w:rPr>
          <w:rFonts w:ascii="Arial" w:cs="Arial" w:eastAsia="Arial" w:hAnsi="Arial"/>
          <w:sz w:val="18"/>
          <w:szCs w:val="18"/>
          <w:i w:val="1"/>
          <w:iCs w:val="1"/>
          <w:color w:val="auto"/>
        </w:rPr>
      </w:pPr>
      <w:r>
        <w:rPr>
          <w:rFonts w:ascii="Arial" w:cs="Arial" w:eastAsia="Arial" w:hAnsi="Arial"/>
          <w:sz w:val="18"/>
          <w:szCs w:val="18"/>
          <w:i w:val="1"/>
          <w:iCs w:val="1"/>
          <w:color w:val="auto"/>
        </w:rPr>
        <w:t>Gross mining profit, gross mining margin, EBITDA, EBITDA margin, Adjusted EBITDA and Adjusted EBITDA margin are non-IFRS financial measures or ratios and should be read in conjunction with, and should not be viewed as alternatives to or replacements of measures of operating results and liquidity presented in accordance with IFRS. Readers are referred to the reconciliations of non-IFRS measures included in the Company’s MD&amp;A and at the end of this press release.</w:t>
      </w:r>
    </w:p>
    <w:p>
      <w:pPr>
        <w:spacing w:after="0" w:line="187" w:lineRule="exact"/>
        <w:rPr>
          <w:sz w:val="20"/>
          <w:szCs w:val="20"/>
          <w:color w:val="auto"/>
        </w:rPr>
      </w:pPr>
    </w:p>
    <w:p>
      <w:pPr>
        <w:ind w:left="220" w:hanging="212"/>
        <w:spacing w:after="0"/>
        <w:tabs>
          <w:tab w:leader="none" w:pos="22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Average Watts represents the energy consumption of Miners</w:t>
      </w:r>
    </w:p>
    <w:p>
      <w:pPr>
        <w:spacing w:after="0" w:line="225" w:lineRule="exact"/>
        <w:rPr>
          <w:rFonts w:ascii="Arial" w:cs="Arial" w:eastAsia="Arial" w:hAnsi="Arial"/>
          <w:sz w:val="18"/>
          <w:szCs w:val="18"/>
          <w:i w:val="1"/>
          <w:iCs w:val="1"/>
          <w:color w:val="auto"/>
        </w:rPr>
      </w:pPr>
    </w:p>
    <w:p>
      <w:pPr>
        <w:ind w:left="320" w:hanging="312"/>
        <w:spacing w:after="0"/>
        <w:tabs>
          <w:tab w:leader="none" w:pos="320"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Average revenue per BTC is for mining operations only and excludes Volta revenue.</w:t>
      </w:r>
    </w:p>
    <w:p>
      <w:pPr>
        <w:spacing w:after="0" w:line="225" w:lineRule="exact"/>
        <w:rPr>
          <w:rFonts w:ascii="Arial" w:cs="Arial" w:eastAsia="Arial" w:hAnsi="Arial"/>
          <w:sz w:val="18"/>
          <w:szCs w:val="18"/>
          <w:i w:val="1"/>
          <w:iCs w:val="1"/>
          <w:color w:val="auto"/>
        </w:rPr>
      </w:pPr>
    </w:p>
    <w:p>
      <w:pPr>
        <w:ind w:firstLine="8"/>
        <w:spacing w:after="0" w:line="277" w:lineRule="auto"/>
        <w:tabs>
          <w:tab w:leader="none" w:pos="423"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Direct Cost of Production per BTC represents the direct cost of Bitcoin based on the total electricity costs divided by the total number of Bitcoin mined.</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currently has 11 operating farms and 2 farms in development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25"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w/TH = Watts per Terahash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KWh = Kilowatt per hour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highlight w:val="white"/>
        </w:rPr>
        <w:t>Forward-Looking Statements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projected growth, target hashrate, opportunities relating to the Company’s expansion in Paraguay, Argentina and Quebec, other growth opportunities and prospects, and other statements regarding future growth,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“should”, “would”, “might” or “will” be taken to occur or be achieved) are not statements of historical fact and may be forward-looking information and are intended to identify forward-looking information.</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and approvals;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Arial" w:cs="Arial" w:eastAsia="Arial" w:hAnsi="Arial"/>
          <w:sz w:val="16"/>
          <w:szCs w:val="16"/>
          <w:color w:val="auto"/>
          <w:highlight w:val="white"/>
        </w:rPr>
        <w:t>-</w:t>
      </w:r>
      <w:r>
        <w:rPr>
          <w:rFonts w:ascii="Arial" w:cs="Arial" w:eastAsia="Arial" w:hAnsi="Arial"/>
          <w:sz w:val="16"/>
          <w:szCs w:val="16"/>
          <w:i w:val="1"/>
          <w:iCs w:val="1"/>
          <w:color w:val="auto"/>
        </w:rPr>
        <w:t>ended December 31, 2022, filed on March 21, 2023</w:t>
      </w:r>
      <w:r>
        <w:rPr>
          <w:rFonts w:ascii="Arial" w:cs="Arial" w:eastAsia="Arial" w:hAnsi="Arial"/>
          <w:sz w:val="16"/>
          <w:szCs w:val="16"/>
          <w:i w:val="1"/>
          <w:iCs w:val="1"/>
          <w:color w:val="auto"/>
          <w:highlight w:val="white"/>
        </w:rPr>
        <w:t xml:space="preserve"> and the MD&amp;A for three-month period ended June 30, 2023. The Company has also assumed that no significant events occur outside of Bitfarms’ normal course of business. Although the Company has attempted to identify important factors that could cause actual results to differ materially from those </w:t>
      </w:r>
      <w:r>
        <w:rPr>
          <w:rFonts w:ascii="Arial" w:cs="Arial" w:eastAsia="Arial" w:hAnsi="Arial"/>
          <w:sz w:val="16"/>
          <w:szCs w:val="16"/>
          <w:i w:val="1"/>
          <w:iCs w:val="1"/>
          <w:color w:val="auto"/>
        </w:rPr>
        <w:t>expressed in forward-looking</w:t>
      </w:r>
      <w:r>
        <w:rPr>
          <w:rFonts w:ascii="Arial" w:cs="Arial" w:eastAsia="Arial" w:hAnsi="Arial"/>
          <w:sz w:val="16"/>
          <w:szCs w:val="16"/>
          <w:i w:val="1"/>
          <w:iCs w:val="1"/>
          <w:color w:val="auto"/>
          <w:highlight w:val="white"/>
        </w:rPr>
        <w:t xml:space="preserve"> </w:t>
      </w:r>
      <w:r>
        <w:rPr>
          <w:rFonts w:ascii="Arial" w:cs="Arial" w:eastAsia="Arial" w:hAnsi="Arial"/>
          <w:sz w:val="16"/>
          <w:szCs w:val="16"/>
          <w:i w:val="1"/>
          <w:iCs w:val="1"/>
          <w:color w:val="auto"/>
        </w:rPr>
        <w:t>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124460</wp:posOffset>
            </wp:positionV>
            <wp:extent cx="25400"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Noor Dar</w:t>
      </w:r>
    </w:p>
    <w:p>
      <w:pPr>
        <w:spacing w:after="0" w:line="9" w:lineRule="exact"/>
        <w:rPr>
          <w:sz w:val="20"/>
          <w:szCs w:val="20"/>
          <w:color w:val="auto"/>
        </w:rPr>
      </w:pPr>
    </w:p>
    <w:p>
      <w:pPr>
        <w:ind w:right="9060" w:firstLine="8"/>
        <w:spacing w:after="0" w:line="323" w:lineRule="auto"/>
        <w:tabs>
          <w:tab w:leader="none" w:pos="14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1 516-270-4009 mediarelations@bitfarms.com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ectPr>
          <w:pgSz w:w="11900" w:h="16882" w:orient="portrait"/>
          <w:cols w:equalWidth="0" w:num="1">
            <w:col w:w="11240"/>
          </w:cols>
          <w:pgMar w:left="320" w:top="908" w:right="339" w:bottom="0" w:gutter="0" w:footer="0" w:header="0"/>
        </w:sectPr>
      </w:pPr>
    </w:p>
    <w:bookmarkStart w:id="86" w:name="page87"/>
    <w:bookmarkEnd w:id="86"/>
    <w:p>
      <w:pPr>
        <w:ind w:left="100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57"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528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w w:val="97"/>
              </w:rPr>
              <w:t>Bitfarms Ltd. Consolidated Financial &amp; Operational Results</w:t>
            </w: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9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1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Six months ended June 30,</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60" w:type="dxa"/>
            <w:vAlign w:val="bottom"/>
          </w:tcPr>
          <w:p>
            <w:pPr>
              <w:spacing w:after="0" w:line="195" w:lineRule="exact"/>
              <w:rPr>
                <w:sz w:val="20"/>
                <w:szCs w:val="20"/>
                <w:color w:val="auto"/>
              </w:rPr>
            </w:pPr>
            <w:r>
              <w:rPr>
                <w:rFonts w:ascii="Arial" w:cs="Arial" w:eastAsia="Arial" w:hAnsi="Arial"/>
                <w:sz w:val="18"/>
                <w:szCs w:val="18"/>
                <w:color w:val="auto"/>
              </w:rPr>
              <w:t>(U.S.$ in thousands except where</w:t>
            </w:r>
          </w:p>
        </w:tc>
        <w:tc>
          <w:tcPr>
            <w:tcW w:w="10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40" w:type="dxa"/>
            <w:vAlign w:val="bottom"/>
          </w:tcPr>
          <w:p>
            <w:pPr>
              <w:spacing w:after="0"/>
              <w:rPr>
                <w:sz w:val="16"/>
                <w:szCs w:val="16"/>
                <w:color w:val="auto"/>
              </w:rPr>
            </w:pPr>
          </w:p>
        </w:tc>
        <w:tc>
          <w:tcPr>
            <w:tcW w:w="960" w:type="dxa"/>
            <w:vAlign w:val="bottom"/>
            <w:vMerge w:val="restart"/>
          </w:tcPr>
          <w:p>
            <w:pPr>
              <w:jc w:val="right"/>
              <w:ind w:right="110"/>
              <w:spacing w:after="0"/>
              <w:rPr>
                <w:sz w:val="20"/>
                <w:szCs w:val="20"/>
                <w:color w:val="auto"/>
              </w:rPr>
            </w:pPr>
            <w:r>
              <w:rPr>
                <w:rFonts w:ascii="Arial" w:cs="Arial" w:eastAsia="Arial" w:hAnsi="Arial"/>
                <w:sz w:val="18"/>
                <w:szCs w:val="18"/>
                <w:color w:val="auto"/>
                <w:w w:val="94"/>
              </w:rPr>
              <w:t>$ Change</w:t>
            </w: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color w:val="auto"/>
                <w:w w:val="90"/>
              </w:rPr>
              <w:t>% Change</w:t>
            </w:r>
          </w:p>
        </w:tc>
        <w:tc>
          <w:tcPr>
            <w:tcW w:w="10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indicated)</w:t>
            </w:r>
          </w:p>
        </w:tc>
        <w:tc>
          <w:tcPr>
            <w:tcW w:w="10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9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 Change</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 Change</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35,479</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41,815</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(6,336)</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65,529</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82,144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revenues</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41,519</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32,311</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9,208</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28%</w:t>
            </w: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79,922</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55,603</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24,319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(loss) profit</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(6,040)</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9,504</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(15,544)</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w:t>
            </w: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(14,393)</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26,541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0"/>
        </w:trPr>
        <w:tc>
          <w:tcPr>
            <w:tcW w:w="2960" w:type="dxa"/>
            <w:vAlign w:val="bottom"/>
            <w:tcBorders>
              <w:bottom w:val="single" w:sz="8" w:color="auto"/>
            </w:tcBorders>
          </w:tcPr>
          <w:p>
            <w:pPr>
              <w:spacing w:after="0" w:line="270" w:lineRule="exact"/>
              <w:rPr>
                <w:sz w:val="20"/>
                <w:szCs w:val="20"/>
                <w:color w:val="auto"/>
              </w:rPr>
            </w:pPr>
            <w:r>
              <w:rPr>
                <w:rFonts w:ascii="Arial" w:cs="Arial" w:eastAsia="Arial" w:hAnsi="Arial"/>
                <w:sz w:val="18"/>
                <w:szCs w:val="18"/>
                <w:color w:val="auto"/>
              </w:rPr>
              <w:t xml:space="preserve">Gross margin </w:t>
            </w:r>
            <w:r>
              <w:rPr>
                <w:rFonts w:ascii="Arial" w:cs="Arial" w:eastAsia="Arial" w:hAnsi="Arial"/>
                <w:sz w:val="29"/>
                <w:szCs w:val="29"/>
                <w:color w:val="auto"/>
                <w:vertAlign w:val="superscript"/>
              </w:rPr>
              <w:t>(1)</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8"/>
              </w:rPr>
              <w:t>General and administrative expenses</w:t>
            </w:r>
          </w:p>
        </w:tc>
        <w:tc>
          <w:tcPr>
            <w:tcW w:w="10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9,155</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15,392</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(6,237)</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17,515</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29,235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w w:val="99"/>
              </w:rPr>
              <w:t>Realized loss on disposition of digital</w:t>
            </w:r>
          </w:p>
        </w:tc>
        <w:tc>
          <w:tcPr>
            <w:tcW w:w="10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assets</w:t>
            </w:r>
          </w:p>
        </w:tc>
        <w:tc>
          <w:tcPr>
            <w:tcW w:w="1080" w:type="dxa"/>
            <w:vAlign w:val="bottom"/>
            <w:vMerge w:val="continue"/>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77,880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(77,880)</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1060" w:type="dxa"/>
            <w:vAlign w:val="bottom"/>
            <w:vMerge w:val="continue"/>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77,914</w:t>
            </w:r>
          </w:p>
        </w:tc>
        <w:tc>
          <w:tcPr>
            <w:tcW w:w="920" w:type="dxa"/>
            <w:vAlign w:val="bottom"/>
          </w:tcPr>
          <w:p>
            <w:pPr>
              <w:jc w:val="right"/>
              <w:spacing w:after="0"/>
              <w:rPr>
                <w:sz w:val="20"/>
                <w:szCs w:val="20"/>
                <w:color w:val="auto"/>
              </w:rPr>
            </w:pPr>
            <w:r>
              <w:rPr>
                <w:rFonts w:ascii="Arial" w:cs="Arial" w:eastAsia="Arial" w:hAnsi="Arial"/>
                <w:sz w:val="18"/>
                <w:szCs w:val="18"/>
                <w:color w:val="auto"/>
              </w:rPr>
              <w:t>(77,914)</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(Reversal of) revaluation loss on</w:t>
            </w:r>
          </w:p>
        </w:tc>
        <w:tc>
          <w:tcPr>
            <w:tcW w:w="10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(2,695)</w:t>
            </w: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digital assets</w:t>
            </w:r>
          </w:p>
        </w:tc>
        <w:tc>
          <w:tcPr>
            <w:tcW w:w="108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70,475</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(70,475)</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106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66,773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w w:val="98"/>
              </w:rPr>
              <w:t>(Gain) loss on disposition of property,</w:t>
            </w:r>
          </w:p>
        </w:tc>
        <w:tc>
          <w:tcPr>
            <w:tcW w:w="10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(7)</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1,559</w:t>
            </w: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plant and equipment</w:t>
            </w:r>
          </w:p>
        </w:tc>
        <w:tc>
          <w:tcPr>
            <w:tcW w:w="1080" w:type="dxa"/>
            <w:vAlign w:val="bottom"/>
            <w:vMerge w:val="continue"/>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948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(955)</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1060" w:type="dxa"/>
            <w:vAlign w:val="bottom"/>
            <w:vMerge w:val="continue"/>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936</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623</w:t>
            </w: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Impairment on short-term prepaid</w:t>
            </w:r>
          </w:p>
        </w:tc>
        <w:tc>
          <w:tcPr>
            <w:tcW w:w="10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 and property, plant and</w:t>
            </w:r>
          </w:p>
        </w:tc>
        <w:tc>
          <w:tcPr>
            <w:tcW w:w="10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9,982</w:t>
            </w:r>
          </w:p>
        </w:tc>
        <w:tc>
          <w:tcPr>
            <w:tcW w:w="104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9,982</w:t>
            </w:r>
          </w:p>
        </w:tc>
        <w:tc>
          <w:tcPr>
            <w:tcW w:w="104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108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9,982</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06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9,982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Impairment on goodwill</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17,900</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(17,900)</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17,900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(25,170)</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(173,091)</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147,921</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(40,754)</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(166,217)</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125,463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2960" w:type="dxa"/>
            <w:vAlign w:val="bottom"/>
            <w:tcBorders>
              <w:bottom w:val="single" w:sz="8" w:color="auto"/>
            </w:tcBorders>
          </w:tcPr>
          <w:p>
            <w:pPr>
              <w:spacing w:after="0" w:line="270" w:lineRule="exact"/>
              <w:rPr>
                <w:sz w:val="20"/>
                <w:szCs w:val="20"/>
                <w:color w:val="auto"/>
              </w:rPr>
            </w:pPr>
            <w:r>
              <w:rPr>
                <w:rFonts w:ascii="Arial" w:cs="Arial" w:eastAsia="Arial" w:hAnsi="Arial"/>
                <w:sz w:val="18"/>
                <w:szCs w:val="18"/>
                <w:color w:val="auto"/>
              </w:rPr>
              <w:t xml:space="preserve">Operating margin </w:t>
            </w:r>
            <w:r>
              <w:rPr>
                <w:rFonts w:ascii="Arial" w:cs="Arial" w:eastAsia="Arial" w:hAnsi="Arial"/>
                <w:sz w:val="29"/>
                <w:szCs w:val="29"/>
                <w:color w:val="auto"/>
                <w:vertAlign w:val="superscript"/>
              </w:rPr>
              <w:t>(1)</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financial income</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(182)</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(11,857)</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11,675</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(12,370)</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(15,940)</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3,570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loss before income taxes</w:t>
            </w: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(24,988)</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(161,234)</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136,246</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(28,384)</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(150,277)</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121,893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recovery</w:t>
            </w: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(94)</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(19,316)</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19,222</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(424)</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(12,878)</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12,454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loss</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(24,894)</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(141,918)</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117,024</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(27,960)</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(137,399)</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109,439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rPr>
              <w:t>Basic and diluted loss per share (in</w:t>
            </w:r>
          </w:p>
        </w:tc>
        <w:tc>
          <w:tcPr>
            <w:tcW w:w="10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(0.10)</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(0.12)</w:t>
            </w: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U.S. dollars)</w:t>
            </w:r>
          </w:p>
        </w:tc>
        <w:tc>
          <w:tcPr>
            <w:tcW w:w="10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(0.70)</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(0.69)</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Change in revaluation surplus - digital</w:t>
            </w:r>
          </w:p>
        </w:tc>
        <w:tc>
          <w:tcPr>
            <w:tcW w:w="10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579</w:t>
            </w:r>
          </w:p>
        </w:tc>
        <w:tc>
          <w:tcPr>
            <w:tcW w:w="104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2,391</w:t>
            </w:r>
          </w:p>
        </w:tc>
        <w:tc>
          <w:tcPr>
            <w:tcW w:w="104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assets, net of tax</w:t>
            </w: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579</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2,391</w:t>
            </w: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Total comprehensive loss, net of tax</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(24,315)</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(141,918)</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117,603</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(25,569)</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(137,399)</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111,830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960" w:type="dxa"/>
            <w:vAlign w:val="bottom"/>
          </w:tcPr>
          <w:p>
            <w:pPr>
              <w:spacing w:after="0" w:line="270" w:lineRule="exact"/>
              <w:rPr>
                <w:sz w:val="20"/>
                <w:szCs w:val="20"/>
                <w:color w:val="auto"/>
              </w:rPr>
            </w:pPr>
            <w:r>
              <w:rPr>
                <w:rFonts w:ascii="Arial" w:cs="Arial" w:eastAsia="Arial" w:hAnsi="Arial"/>
                <w:sz w:val="18"/>
                <w:szCs w:val="18"/>
                <w:color w:val="auto"/>
              </w:rPr>
              <w:t xml:space="preserve">Gross Mining profit </w:t>
            </w:r>
            <w:r>
              <w:rPr>
                <w:rFonts w:ascii="Arial" w:cs="Arial" w:eastAsia="Arial" w:hAnsi="Arial"/>
                <w:sz w:val="29"/>
                <w:szCs w:val="29"/>
                <w:color w:val="auto"/>
                <w:vertAlign w:val="superscript"/>
              </w:rPr>
              <w:t>(2)</w:t>
            </w: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14,329</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27,160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(12,831)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26,514</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57,300</w:t>
            </w:r>
          </w:p>
        </w:tc>
        <w:tc>
          <w:tcPr>
            <w:tcW w:w="920" w:type="dxa"/>
            <w:vAlign w:val="bottom"/>
          </w:tcPr>
          <w:p>
            <w:pPr>
              <w:jc w:val="right"/>
              <w:spacing w:after="0"/>
              <w:rPr>
                <w:sz w:val="20"/>
                <w:szCs w:val="20"/>
                <w:color w:val="auto"/>
              </w:rPr>
            </w:pPr>
            <w:r>
              <w:rPr>
                <w:rFonts w:ascii="Arial" w:cs="Arial" w:eastAsia="Arial" w:hAnsi="Arial"/>
                <w:sz w:val="18"/>
                <w:szCs w:val="18"/>
                <w:color w:val="auto"/>
              </w:rPr>
              <w:t>(30,786)</w:t>
            </w: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(2)</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42%</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42%</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960" w:type="dxa"/>
            <w:vAlign w:val="bottom"/>
          </w:tcPr>
          <w:p>
            <w:pPr>
              <w:spacing w:after="0" w:line="25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(2)</w:t>
            </w: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(3,437)</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(138,831)</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135,394</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15,487</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(111,798)</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127,285</w:t>
            </w: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(2)</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960" w:type="dxa"/>
            <w:vAlign w:val="bottom"/>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(2)</w:t>
            </w: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7,672</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19,703</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(12,031)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14,241</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42,001</w:t>
            </w:r>
          </w:p>
        </w:tc>
        <w:tc>
          <w:tcPr>
            <w:tcW w:w="920" w:type="dxa"/>
            <w:vAlign w:val="bottom"/>
          </w:tcPr>
          <w:p>
            <w:pPr>
              <w:jc w:val="right"/>
              <w:spacing w:after="0"/>
              <w:rPr>
                <w:sz w:val="20"/>
                <w:szCs w:val="20"/>
                <w:color w:val="auto"/>
              </w:rPr>
            </w:pPr>
            <w:r>
              <w:rPr>
                <w:rFonts w:ascii="Arial" w:cs="Arial" w:eastAsia="Arial" w:hAnsi="Arial"/>
                <w:sz w:val="18"/>
                <w:szCs w:val="18"/>
                <w:color w:val="auto"/>
              </w:rPr>
              <w:t>(27,760)</w:t>
            </w: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2960" w:type="dxa"/>
            <w:vAlign w:val="bottom"/>
            <w:tcBorders>
              <w:bottom w:val="single" w:sz="8" w:color="auto"/>
            </w:tcBorders>
            <w:shd w:val="clear" w:color="auto" w:fill="CCEEFF"/>
          </w:tcPr>
          <w:p>
            <w:pPr>
              <w:spacing w:after="0" w:line="270"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(2)</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22%</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960" w:type="dxa"/>
            <w:vAlign w:val="bottom"/>
          </w:tcPr>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8"/>
        <w:spacing w:after="0" w:line="277" w:lineRule="auto"/>
        <w:tabs>
          <w:tab w:leader="none" w:pos="26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Gross margin and Operating margin are supplemental financial ratios; refer to section 9 - </w:t>
      </w:r>
      <w:r>
        <w:rPr>
          <w:rFonts w:ascii="Arial" w:cs="Arial" w:eastAsia="Arial" w:hAnsi="Arial"/>
          <w:sz w:val="18"/>
          <w:szCs w:val="18"/>
          <w:i w:val="1"/>
          <w:iCs w:val="1"/>
          <w:color w:val="auto"/>
        </w:rPr>
        <w:t>Non-IFRS and Other Financial Measures and Ratios</w:t>
      </w:r>
      <w:r>
        <w:rPr>
          <w:rFonts w:ascii="Arial" w:cs="Arial" w:eastAsia="Arial" w:hAnsi="Arial"/>
          <w:sz w:val="18"/>
          <w:szCs w:val="18"/>
          <w:color w:val="auto"/>
        </w:rPr>
        <w:t xml:space="preserve"> of the Company’s MD&amp;A.</w:t>
      </w:r>
    </w:p>
    <w:p>
      <w:pPr>
        <w:spacing w:after="0" w:line="170" w:lineRule="exact"/>
        <w:rPr>
          <w:rFonts w:ascii="Arial" w:cs="Arial" w:eastAsia="Arial" w:hAnsi="Arial"/>
          <w:sz w:val="18"/>
          <w:szCs w:val="18"/>
          <w:color w:val="auto"/>
        </w:rPr>
      </w:pPr>
    </w:p>
    <w:p>
      <w:pPr>
        <w:ind w:firstLine="8"/>
        <w:spacing w:after="0" w:line="277" w:lineRule="auto"/>
        <w:tabs>
          <w:tab w:leader="none" w:pos="26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Gross Mining profit, Gross Mining margin, EBITDA, EBITDA margin, Adjusted EBITDA, and Adjusted EBITDA margin are non-IFRS measures or ratios; refer to section 9 - </w:t>
      </w:r>
      <w:r>
        <w:rPr>
          <w:rFonts w:ascii="Arial" w:cs="Arial" w:eastAsia="Arial" w:hAnsi="Arial"/>
          <w:sz w:val="18"/>
          <w:szCs w:val="18"/>
          <w:i w:val="1"/>
          <w:iCs w:val="1"/>
          <w:color w:val="auto"/>
        </w:rPr>
        <w:t>Non-IFRS and Other Financial Measures and Ratios</w:t>
      </w:r>
      <w:r>
        <w:rPr>
          <w:rFonts w:ascii="Arial" w:cs="Arial" w:eastAsia="Arial" w:hAnsi="Arial"/>
          <w:sz w:val="18"/>
          <w:szCs w:val="18"/>
          <w:color w:val="auto"/>
        </w:rPr>
        <w:t xml:space="preserve"> of the Company’s MD&amp;A.</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10200" w:type="dxa"/>
            <w:vAlign w:val="bottom"/>
            <w:gridSpan w:val="8"/>
          </w:tcPr>
          <w:p>
            <w:pPr>
              <w:ind w:left="1840"/>
              <w:spacing w:after="0"/>
              <w:rPr>
                <w:sz w:val="20"/>
                <w:szCs w:val="20"/>
                <w:color w:val="auto"/>
              </w:rPr>
            </w:pPr>
            <w:r>
              <w:rPr>
                <w:rFonts w:ascii="Arial" w:cs="Arial" w:eastAsia="Arial" w:hAnsi="Arial"/>
                <w:sz w:val="18"/>
                <w:szCs w:val="18"/>
                <w:b w:val="1"/>
                <w:bCs w:val="1"/>
                <w:color w:val="auto"/>
              </w:rPr>
              <w:t>Bitfarms Ltd. Reconciliation of Consolidated Net Income (loss) to EBITDA and Adjusted EBITDA</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9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1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40" w:type="dxa"/>
            <w:vAlign w:val="bottom"/>
          </w:tcPr>
          <w:p>
            <w:pPr>
              <w:spacing w:after="0" w:line="195" w:lineRule="exact"/>
              <w:rPr>
                <w:sz w:val="20"/>
                <w:szCs w:val="20"/>
                <w:color w:val="auto"/>
              </w:rPr>
            </w:pPr>
            <w:r>
              <w:rPr>
                <w:rFonts w:ascii="Arial" w:cs="Arial" w:eastAsia="Arial" w:hAnsi="Arial"/>
                <w:sz w:val="18"/>
                <w:szCs w:val="18"/>
                <w:color w:val="auto"/>
              </w:rPr>
              <w:t>(U.S.$ in thousands except where</w:t>
            </w:r>
          </w:p>
        </w:tc>
        <w:tc>
          <w:tcPr>
            <w:tcW w:w="11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indicated)</w:t>
            </w:r>
          </w:p>
        </w:tc>
        <w:tc>
          <w:tcPr>
            <w:tcW w:w="11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 Change</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0"/>
              </w:rPr>
              <w:t>% Change</w:t>
            </w:r>
          </w:p>
        </w:tc>
        <w:tc>
          <w:tcPr>
            <w:tcW w:w="10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 Change</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 Change</w:t>
            </w:r>
          </w:p>
        </w:tc>
        <w:tc>
          <w:tcPr>
            <w:tcW w:w="0" w:type="dxa"/>
            <w:vAlign w:val="bottom"/>
          </w:tcPr>
          <w:p>
            <w:pPr>
              <w:spacing w:after="0"/>
              <w:rPr>
                <w:sz w:val="1"/>
                <w:szCs w:val="1"/>
                <w:color w:val="auto"/>
              </w:rPr>
            </w:pPr>
          </w:p>
        </w:tc>
      </w:tr>
      <w:tr>
        <w:trPr>
          <w:trHeight w:val="237"/>
        </w:trPr>
        <w:tc>
          <w:tcPr>
            <w:tcW w:w="29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35,479</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41,815</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(6,336)</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65,529</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82,144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6"/>
        </w:trPr>
        <w:tc>
          <w:tcPr>
            <w:tcW w:w="29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loss before income taxes</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(24,988)</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(161,234)</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136,246</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(28,384)</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(150,277)</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121,893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Arial" w:cs="Arial" w:eastAsia="Arial" w:hAnsi="Arial"/>
                <w:sz w:val="18"/>
                <w:szCs w:val="18"/>
                <w:color w:val="auto"/>
              </w:rPr>
              <w:t>Interest expense</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1,023</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4,546</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(3,523)</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(77)%</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2,643</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7,556</w:t>
            </w:r>
          </w:p>
        </w:tc>
        <w:tc>
          <w:tcPr>
            <w:tcW w:w="920" w:type="dxa"/>
            <w:vAlign w:val="bottom"/>
          </w:tcPr>
          <w:p>
            <w:pPr>
              <w:jc w:val="right"/>
              <w:spacing w:after="0"/>
              <w:rPr>
                <w:sz w:val="20"/>
                <w:szCs w:val="20"/>
                <w:color w:val="auto"/>
              </w:rPr>
            </w:pPr>
            <w:r>
              <w:rPr>
                <w:rFonts w:ascii="Arial" w:cs="Arial" w:eastAsia="Arial" w:hAnsi="Arial"/>
                <w:sz w:val="18"/>
                <w:szCs w:val="18"/>
                <w:color w:val="auto"/>
              </w:rPr>
              <w:t>(4,913)</w:t>
            </w: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20,528</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17,857</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2,671</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41,228</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30,923</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10,305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(3,437)</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(138,831)</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135,394</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15,487</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(111,798)</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127,285</w:t>
            </w: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EBITDA margin</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8"/>
                <w:szCs w:val="18"/>
                <w:color w:val="auto"/>
              </w:rPr>
              <w:t>Share-based payment</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2,462</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7,927</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(5,465)</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4,998</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14,032</w:t>
            </w:r>
          </w:p>
        </w:tc>
        <w:tc>
          <w:tcPr>
            <w:tcW w:w="920" w:type="dxa"/>
            <w:vAlign w:val="bottom"/>
          </w:tcPr>
          <w:p>
            <w:pPr>
              <w:jc w:val="right"/>
              <w:spacing w:after="0"/>
              <w:rPr>
                <w:sz w:val="20"/>
                <w:szCs w:val="20"/>
                <w:color w:val="auto"/>
              </w:rPr>
            </w:pPr>
            <w:r>
              <w:rPr>
                <w:rFonts w:ascii="Arial" w:cs="Arial" w:eastAsia="Arial" w:hAnsi="Arial"/>
                <w:sz w:val="18"/>
                <w:szCs w:val="18"/>
                <w:color w:val="auto"/>
              </w:rPr>
              <w:t>(9,034)</w:t>
            </w: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Realized loss on disposition of digital</w:t>
            </w:r>
          </w:p>
        </w:tc>
        <w:tc>
          <w:tcPr>
            <w:tcW w:w="114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14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77,880</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(77,880)</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102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77,914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940" w:type="dxa"/>
            <w:vAlign w:val="bottom"/>
          </w:tcPr>
          <w:p>
            <w:pPr>
              <w:spacing w:after="0" w:line="201" w:lineRule="exact"/>
              <w:rPr>
                <w:sz w:val="20"/>
                <w:szCs w:val="20"/>
                <w:color w:val="auto"/>
              </w:rPr>
            </w:pPr>
            <w:r>
              <w:rPr>
                <w:rFonts w:ascii="Arial" w:cs="Arial" w:eastAsia="Arial" w:hAnsi="Arial"/>
                <w:sz w:val="18"/>
                <w:szCs w:val="18"/>
                <w:color w:val="auto"/>
              </w:rPr>
              <w:t>Impairment on short-term prepaid</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80"/>
              <w:spacing w:after="0"/>
              <w:rPr>
                <w:sz w:val="20"/>
                <w:szCs w:val="20"/>
                <w:color w:val="auto"/>
              </w:rPr>
            </w:pPr>
            <w:r>
              <w:rPr>
                <w:rFonts w:ascii="Arial" w:cs="Arial" w:eastAsia="Arial" w:hAnsi="Arial"/>
                <w:sz w:val="18"/>
                <w:szCs w:val="18"/>
                <w:color w:val="auto"/>
              </w:rPr>
              <w:t>deposits and property, plant and</w:t>
            </w: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9,982</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9,982</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1140" w:type="dxa"/>
            <w:vAlign w:val="bottom"/>
            <w:vMerge w:val="continue"/>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9,982</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1020" w:type="dxa"/>
            <w:vAlign w:val="bottom"/>
            <w:vMerge w:val="continue"/>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9,982</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(Reversal of) revaluation loss on</w:t>
            </w:r>
          </w:p>
        </w:tc>
        <w:tc>
          <w:tcPr>
            <w:tcW w:w="114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(2,695)</w:t>
            </w: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digital assets</w:t>
            </w:r>
          </w:p>
        </w:tc>
        <w:tc>
          <w:tcPr>
            <w:tcW w:w="114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70,475</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(70,475)</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102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66,773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Impairment on goodwill</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17,900</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(17,900)</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17,900</w:t>
            </w:r>
          </w:p>
        </w:tc>
        <w:tc>
          <w:tcPr>
            <w:tcW w:w="920" w:type="dxa"/>
            <w:vAlign w:val="bottom"/>
          </w:tcPr>
          <w:p>
            <w:pPr>
              <w:jc w:val="right"/>
              <w:spacing w:after="0"/>
              <w:rPr>
                <w:sz w:val="20"/>
                <w:szCs w:val="20"/>
                <w:color w:val="auto"/>
              </w:rPr>
            </w:pPr>
            <w:r>
              <w:rPr>
                <w:rFonts w:ascii="Arial" w:cs="Arial" w:eastAsia="Arial" w:hAnsi="Arial"/>
                <w:sz w:val="18"/>
                <w:szCs w:val="18"/>
                <w:color w:val="auto"/>
              </w:rPr>
              <w:t>(17,900)</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on extinguishment of long-term</w:t>
            </w:r>
          </w:p>
        </w:tc>
        <w:tc>
          <w:tcPr>
            <w:tcW w:w="114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(12,835)</w:t>
            </w: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and lease liabilities</w:t>
            </w:r>
          </w:p>
        </w:tc>
        <w:tc>
          <w:tcPr>
            <w:tcW w:w="114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940" w:type="dxa"/>
            <w:vAlign w:val="bottom"/>
          </w:tcPr>
          <w:p>
            <w:pPr>
              <w:spacing w:after="0" w:line="201" w:lineRule="exact"/>
              <w:rPr>
                <w:sz w:val="20"/>
                <w:szCs w:val="20"/>
                <w:color w:val="auto"/>
              </w:rPr>
            </w:pPr>
            <w:r>
              <w:rPr>
                <w:rFonts w:ascii="Arial" w:cs="Arial" w:eastAsia="Arial" w:hAnsi="Arial"/>
                <w:sz w:val="18"/>
                <w:szCs w:val="18"/>
                <w:color w:val="auto"/>
              </w:rPr>
              <w:t>Gain on disposition of marketable</w:t>
            </w:r>
          </w:p>
        </w:tc>
        <w:tc>
          <w:tcPr>
            <w:tcW w:w="11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(4,955)</w:t>
            </w: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(7,126)</w:t>
            </w: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140" w:type="dxa"/>
            <w:vAlign w:val="bottom"/>
            <w:vMerge w:val="continue"/>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(19,705)</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14,750</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1020" w:type="dxa"/>
            <w:vAlign w:val="bottom"/>
            <w:vMerge w:val="continue"/>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(30,642)</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23,516</w:t>
            </w: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financial expenses and other</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3,620</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4,057</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(437)</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6,430</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7,822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7,672</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19,703</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(12,031)</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14,241</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42,001</w:t>
            </w:r>
          </w:p>
        </w:tc>
        <w:tc>
          <w:tcPr>
            <w:tcW w:w="920" w:type="dxa"/>
            <w:vAlign w:val="bottom"/>
          </w:tcPr>
          <w:p>
            <w:pPr>
              <w:jc w:val="right"/>
              <w:spacing w:after="0"/>
              <w:rPr>
                <w:sz w:val="20"/>
                <w:szCs w:val="20"/>
                <w:color w:val="auto"/>
              </w:rPr>
            </w:pPr>
            <w:r>
              <w:rPr>
                <w:rFonts w:ascii="Arial" w:cs="Arial" w:eastAsia="Arial" w:hAnsi="Arial"/>
                <w:sz w:val="18"/>
                <w:szCs w:val="18"/>
                <w:color w:val="auto"/>
              </w:rPr>
              <w:t>(27,760)</w:t>
            </w: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2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22%</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940" w:type="dxa"/>
            <w:vAlign w:val="bottom"/>
          </w:tcPr>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1"/>
        </w:trPr>
        <w:tc>
          <w:tcPr>
            <w:tcW w:w="29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gridSpan w:val="7"/>
          </w:tcPr>
          <w:p>
            <w:pPr>
              <w:ind w:left="2720"/>
              <w:spacing w:after="0"/>
              <w:rPr>
                <w:sz w:val="20"/>
                <w:szCs w:val="20"/>
                <w:color w:val="auto"/>
              </w:rPr>
            </w:pPr>
            <w:r>
              <w:rPr>
                <w:rFonts w:ascii="Arial" w:cs="Arial" w:eastAsia="Arial" w:hAnsi="Arial"/>
                <w:sz w:val="18"/>
                <w:szCs w:val="18"/>
                <w:b w:val="1"/>
                <w:bCs w:val="1"/>
                <w:color w:val="auto"/>
              </w:rPr>
              <w:t>Bitfarms Ltd. Calculation of Gross Mining Profit and Gross Mining Margin</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1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140" w:type="dxa"/>
            <w:vAlign w:val="bottom"/>
          </w:tcPr>
          <w:p>
            <w:pPr>
              <w:spacing w:after="0" w:line="195" w:lineRule="exact"/>
              <w:rPr>
                <w:sz w:val="20"/>
                <w:szCs w:val="20"/>
                <w:color w:val="auto"/>
              </w:rPr>
            </w:pPr>
            <w:r>
              <w:rPr>
                <w:rFonts w:ascii="Arial" w:cs="Arial" w:eastAsia="Arial" w:hAnsi="Arial"/>
                <w:sz w:val="18"/>
                <w:szCs w:val="18"/>
                <w:color w:val="auto"/>
              </w:rPr>
              <w:t>(U.S.$ in thousands except where</w:t>
            </w:r>
          </w:p>
        </w:tc>
        <w:tc>
          <w:tcPr>
            <w:tcW w:w="10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980" w:type="dxa"/>
            <w:vAlign w:val="bottom"/>
          </w:tcPr>
          <w:p>
            <w:pPr>
              <w:spacing w:after="0"/>
              <w:rPr>
                <w:sz w:val="16"/>
                <w:szCs w:val="16"/>
                <w:color w:val="auto"/>
              </w:rPr>
            </w:pPr>
          </w:p>
        </w:tc>
        <w:tc>
          <w:tcPr>
            <w:tcW w:w="98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6"/>
                <w:szCs w:val="16"/>
                <w:color w:val="auto"/>
              </w:rPr>
            </w:pPr>
          </w:p>
        </w:tc>
        <w:tc>
          <w:tcPr>
            <w:tcW w:w="104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960" w:type="dxa"/>
            <w:vAlign w:val="bottom"/>
          </w:tcPr>
          <w:p>
            <w:pPr>
              <w:spacing w:after="0"/>
              <w:rPr>
                <w:sz w:val="16"/>
                <w:szCs w:val="16"/>
                <w:color w:val="auto"/>
              </w:rPr>
            </w:pPr>
          </w:p>
        </w:tc>
        <w:tc>
          <w:tcPr>
            <w:tcW w:w="9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indicated)</w:t>
            </w:r>
          </w:p>
        </w:tc>
        <w:tc>
          <w:tcPr>
            <w:tcW w:w="102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7"/>
              </w:rPr>
              <w:t>% Change</w:t>
            </w:r>
          </w:p>
        </w:tc>
        <w:tc>
          <w:tcPr>
            <w:tcW w:w="10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Change</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 Change</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Gross (loss) profit</w:t>
            </w: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(6,040)</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9,504</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(15,544)</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(164)%</w:t>
            </w: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(14,393)</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26,541</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(40,934)</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Non-Mining revenues (1)</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(1,236)</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(767)</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(469)</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(2,078)</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(1,371)</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Depreciation expense</w:t>
            </w: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20,528</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17,857</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2,671</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41,228</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30,923</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10,305</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Purchases of electrical components and</w:t>
            </w:r>
          </w:p>
        </w:tc>
        <w:tc>
          <w:tcPr>
            <w:tcW w:w="102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622</w:t>
            </w:r>
          </w:p>
        </w:tc>
        <w:tc>
          <w:tcPr>
            <w:tcW w:w="9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946</w:t>
            </w:r>
          </w:p>
        </w:tc>
        <w:tc>
          <w:tcPr>
            <w:tcW w:w="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20" w:type="dxa"/>
            <w:vAlign w:val="bottom"/>
            <w:vMerge w:val="continue"/>
            <w:shd w:val="clear" w:color="auto" w:fill="CCEEFF"/>
          </w:tcPr>
          <w:p>
            <w:pPr>
              <w:spacing w:after="0"/>
              <w:rPr>
                <w:sz w:val="20"/>
                <w:szCs w:val="20"/>
                <w:color w:val="auto"/>
              </w:rPr>
            </w:pP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260</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362</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139%</w:t>
            </w:r>
          </w:p>
        </w:tc>
        <w:tc>
          <w:tcPr>
            <w:tcW w:w="1040" w:type="dxa"/>
            <w:vAlign w:val="bottom"/>
            <w:vMerge w:val="continue"/>
            <w:shd w:val="clear" w:color="auto" w:fill="CCEEFF"/>
          </w:tcPr>
          <w:p>
            <w:pPr>
              <w:spacing w:after="0"/>
              <w:rPr>
                <w:sz w:val="20"/>
                <w:szCs w:val="20"/>
                <w:color w:val="auto"/>
              </w:rPr>
            </w:pP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572</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Electrician salaries and payroll taxes</w:t>
            </w: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455</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306</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149</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w:t>
            </w: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811</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635</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Mining profit</w:t>
            </w:r>
          </w:p>
        </w:tc>
        <w:tc>
          <w:tcPr>
            <w:tcW w:w="10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14,329</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27,160</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(12,831)</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26,514</w:t>
            </w:r>
          </w:p>
        </w:tc>
        <w:tc>
          <w:tcPr>
            <w:tcW w:w="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57,300</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(30,786)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Gross Mining margin</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42%</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3140" w:type="dxa"/>
            <w:vAlign w:val="bottom"/>
          </w:tcPr>
          <w:p>
            <w:pPr>
              <w:spacing w:after="0"/>
              <w:rPr>
                <w:sz w:val="20"/>
                <w:szCs w:val="20"/>
                <w:color w:val="auto"/>
              </w:rPr>
            </w:pPr>
            <w:r>
              <w:rPr>
                <w:rFonts w:ascii="Arial" w:cs="Arial" w:eastAsia="Arial" w:hAnsi="Arial"/>
                <w:sz w:val="18"/>
                <w:szCs w:val="18"/>
                <w:color w:val="auto"/>
                <w:w w:val="99"/>
              </w:rPr>
              <w:t>(1) Non-Mining revenues reconciliation:</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1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Three months ended June 30,</w:t>
            </w: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140" w:type="dxa"/>
            <w:vAlign w:val="bottom"/>
          </w:tcPr>
          <w:p>
            <w:pPr>
              <w:spacing w:after="0" w:line="195" w:lineRule="exact"/>
              <w:rPr>
                <w:sz w:val="20"/>
                <w:szCs w:val="20"/>
                <w:color w:val="auto"/>
              </w:rPr>
            </w:pPr>
            <w:r>
              <w:rPr>
                <w:rFonts w:ascii="Arial" w:cs="Arial" w:eastAsia="Arial" w:hAnsi="Arial"/>
                <w:sz w:val="18"/>
                <w:szCs w:val="18"/>
                <w:color w:val="auto"/>
              </w:rPr>
              <w:t>(U.S.$ in thousands except where</w:t>
            </w:r>
          </w:p>
        </w:tc>
        <w:tc>
          <w:tcPr>
            <w:tcW w:w="10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980" w:type="dxa"/>
            <w:vAlign w:val="bottom"/>
          </w:tcPr>
          <w:p>
            <w:pPr>
              <w:spacing w:after="0"/>
              <w:rPr>
                <w:sz w:val="16"/>
                <w:szCs w:val="16"/>
                <w:color w:val="auto"/>
              </w:rPr>
            </w:pPr>
          </w:p>
        </w:tc>
        <w:tc>
          <w:tcPr>
            <w:tcW w:w="98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6"/>
                <w:szCs w:val="16"/>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960" w:type="dxa"/>
            <w:vAlign w:val="bottom"/>
          </w:tcPr>
          <w:p>
            <w:pPr>
              <w:spacing w:after="0"/>
              <w:rPr>
                <w:sz w:val="16"/>
                <w:szCs w:val="16"/>
                <w:color w:val="auto"/>
              </w:rPr>
            </w:pPr>
          </w:p>
        </w:tc>
        <w:tc>
          <w:tcPr>
            <w:tcW w:w="96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indicated)</w:t>
            </w:r>
          </w:p>
        </w:tc>
        <w:tc>
          <w:tcPr>
            <w:tcW w:w="102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2"/>
              </w:rPr>
              <w:t>% Change</w:t>
            </w:r>
          </w:p>
        </w:tc>
        <w:tc>
          <w:tcPr>
            <w:tcW w:w="10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Change</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 Change</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35,479</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41,815</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(6,336)</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65,529</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82,144</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(16,615)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5"/>
        </w:trPr>
        <w:tc>
          <w:tcPr>
            <w:tcW w:w="3140" w:type="dxa"/>
            <w:vAlign w:val="bottom"/>
          </w:tcPr>
          <w:p>
            <w:pPr>
              <w:spacing w:after="0" w:line="195" w:lineRule="exact"/>
              <w:rPr>
                <w:sz w:val="20"/>
                <w:szCs w:val="20"/>
                <w:color w:val="auto"/>
              </w:rPr>
            </w:pPr>
            <w:r>
              <w:rPr>
                <w:rFonts w:ascii="Arial" w:cs="Arial" w:eastAsia="Arial" w:hAnsi="Arial"/>
                <w:sz w:val="18"/>
                <w:szCs w:val="18"/>
                <w:color w:val="auto"/>
              </w:rPr>
              <w:t>Less Mining related revenues for the</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purpose of calculating gross Mining</w:t>
            </w: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margin:</w:t>
            </w: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Mining revenues</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(34,243)</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(41,048)</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6,805</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(63,451)</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(80,773)</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17,322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Non-Mining revenues</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1,236</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767</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469</w:t>
            </w: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61%</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2,078</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1,371</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649"/>
        </w:trPr>
        <w:tc>
          <w:tcPr>
            <w:tcW w:w="3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1."/>
      <w:numFmt w:val="lowerLetter"/>
      <w:start w:val="1"/>
    </w:lvl>
  </w:abstractNum>
  <w:abstractNum w:abstractNumId="1">
    <w:nsid w:val="354FE9F9"/>
    <w:multiLevelType w:val="hybridMultilevel"/>
    <w:lvl w:ilvl="0">
      <w:lvlJc w:val="left"/>
      <w:lvlText w:val="%1."/>
      <w:numFmt w:val="lowerLetter"/>
      <w:start w:val="2"/>
    </w:lvl>
  </w:abstractNum>
  <w:abstractNum w:abstractNumId="2">
    <w:nsid w:val="15B5AF5C"/>
    <w:multiLevelType w:val="hybridMultilevel"/>
    <w:lvl w:ilvl="0">
      <w:lvlJc w:val="left"/>
      <w:lvlText w:val="%1."/>
      <w:numFmt w:val="lowerLetter"/>
      <w:start w:val="3"/>
    </w:lvl>
  </w:abstractNum>
  <w:abstractNum w:abstractNumId="3">
    <w:nsid w:val="741226BB"/>
    <w:multiLevelType w:val="hybridMultilevel"/>
    <w:lvl w:ilvl="0">
      <w:lvlJc w:val="left"/>
      <w:lvlText w:val="%1."/>
      <w:numFmt w:val="lowerLetter"/>
      <w:start w:val="4"/>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1."/>
      <w:numFmt w:val="lowerRoman"/>
      <w:start w:val="1"/>
    </w:lvl>
  </w:abstractNum>
  <w:abstractNum w:abstractNumId="9">
    <w:nsid w:val="77AE35EB"/>
    <w:multiLevelType w:val="hybridMultilevel"/>
    <w:lvl w:ilvl="0">
      <w:lvlJc w:val="left"/>
      <w:lvlText w:val="%1."/>
      <w:numFmt w:val="lowerRoman"/>
      <w:start w:val="2"/>
    </w:lvl>
  </w:abstractNum>
  <w:abstractNum w:abstractNumId="10">
    <w:nsid w:val="579BE4F1"/>
    <w:multiLevelType w:val="hybridMultilevel"/>
    <w:lvl w:ilvl="0">
      <w:lvlJc w:val="left"/>
      <w:lvlText w:val="%1."/>
      <w:numFmt w:val="lowerRoman"/>
      <w:start w:val="1"/>
    </w:lvl>
  </w:abstractNum>
  <w:abstractNum w:abstractNumId="11">
    <w:nsid w:val="310C50B3"/>
    <w:multiLevelType w:val="hybridMultilevel"/>
    <w:lvl w:ilvl="0">
      <w:lvlJc w:val="left"/>
      <w:lvlText w:val="%1."/>
      <w:numFmt w:val="lowerRoman"/>
      <w:start w:val="2"/>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1."/>
      <w:numFmt w:val="lowerLetter"/>
      <w:start w:val="1"/>
    </w:lvl>
  </w:abstractNum>
  <w:abstractNum w:abstractNumId="15">
    <w:nsid w:val="1DBABF00"/>
    <w:multiLevelType w:val="hybridMultilevel"/>
    <w:lvl w:ilvl="0">
      <w:lvlJc w:val="left"/>
      <w:lvlText w:val="%1."/>
      <w:numFmt w:val="lowerLetter"/>
      <w:start w:val="1"/>
    </w:lvl>
  </w:abstractNum>
  <w:abstractNum w:abstractNumId="16">
    <w:nsid w:val="4AD084E9"/>
    <w:multiLevelType w:val="hybridMultilevel"/>
    <w:lvl w:ilvl="0">
      <w:lvlJc w:val="left"/>
      <w:lvlText w:val="%1."/>
      <w:numFmt w:val="lowerLetter"/>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1."/>
      <w:numFmt w:val="lowerRoman"/>
      <w:start w:val="1"/>
    </w:lvl>
  </w:abstractNum>
  <w:abstractNum w:abstractNumId="19">
    <w:nsid w:val="5DB70AE5"/>
    <w:multiLevelType w:val="hybridMultilevel"/>
    <w:lvl w:ilvl="0">
      <w:lvlJc w:val="left"/>
      <w:lvlText w:val="%1."/>
      <w:numFmt w:val="lowerRoman"/>
      <w:start w:val="2"/>
    </w:lvl>
  </w:abstractNum>
  <w:abstractNum w:abstractNumId="20">
    <w:nsid w:val="100F8FCA"/>
    <w:multiLevelType w:val="hybridMultilevel"/>
    <w:lvl w:ilvl="0">
      <w:lvlJc w:val="left"/>
      <w:lvlText w:val="%1."/>
      <w:numFmt w:val="lowerRoman"/>
      <w:start w:val="3"/>
    </w:lvl>
  </w:abstractNum>
  <w:abstractNum w:abstractNumId="21">
    <w:nsid w:val="6590700B"/>
    <w:multiLevelType w:val="hybridMultilevel"/>
    <w:lvl w:ilvl="0">
      <w:lvlJc w:val="left"/>
      <w:lvlText w:val="%1."/>
      <w:numFmt w:val="lowerLetter"/>
      <w:start w:val="1"/>
    </w:lvl>
  </w:abstractNum>
  <w:abstractNum w:abstractNumId="22">
    <w:nsid w:val="15014ACB"/>
    <w:multiLevelType w:val="hybridMultilevel"/>
    <w:lvl w:ilvl="0">
      <w:lvlJc w:val="left"/>
      <w:lvlText w:val="%1."/>
      <w:numFmt w:val="lowerLetter"/>
      <w:start w:val="2"/>
    </w:lvl>
  </w:abstractNum>
  <w:abstractNum w:abstractNumId="23">
    <w:nsid w:val="5F5E7FD0"/>
    <w:multiLevelType w:val="hybridMultilevel"/>
    <w:lvl w:ilvl="0">
      <w:lvlJc w:val="left"/>
      <w:lvlText w:val="%1."/>
      <w:numFmt w:val="lowerLetter"/>
      <w:start w:val="3"/>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1"/>
      <w:numFmt w:val="bullet"/>
      <w:start w:val="1"/>
    </w:lvl>
  </w:abstractNum>
  <w:abstractNum w:abstractNumId="26">
    <w:nsid w:val="6B94764"/>
    <w:multiLevelType w:val="hybridMultilevel"/>
    <w:lvl w:ilvl="0">
      <w:lvlJc w:val="left"/>
      <w:lvlText w:val="2"/>
      <w:numFmt w:val="bullet"/>
      <w:start w:val="1"/>
    </w:lvl>
  </w:abstractNum>
  <w:abstractNum w:abstractNumId="27">
    <w:nsid w:val="42C296BD"/>
    <w:multiLevelType w:val="hybridMultilevel"/>
    <w:lvl w:ilvl="0">
      <w:lvlJc w:val="left"/>
      <w:lvlText w:val="1"/>
      <w:numFmt w:val="bullet"/>
      <w:start w:val="1"/>
    </w:lvl>
  </w:abstractNum>
  <w:abstractNum w:abstractNumId="28">
    <w:nsid w:val="168E121F"/>
    <w:multiLevelType w:val="hybridMultilevel"/>
    <w:lvl w:ilvl="0">
      <w:lvlJc w:val="left"/>
      <w:lvlText w:val="2"/>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1"/>
      <w:numFmt w:val="bullet"/>
      <w:start w:val="1"/>
    </w:lvl>
  </w:abstractNum>
  <w:abstractNum w:abstractNumId="36">
    <w:nsid w:val="BF72B14"/>
    <w:multiLevelType w:val="hybridMultilevel"/>
    <w:lvl w:ilvl="0">
      <w:lvlJc w:val="left"/>
      <w:lvlText w:val="2"/>
      <w:numFmt w:val="bullet"/>
      <w:start w:val="1"/>
    </w:lvl>
  </w:abstractNum>
  <w:abstractNum w:abstractNumId="37">
    <w:nsid w:val="11447B73"/>
    <w:multiLevelType w:val="hybridMultilevel"/>
    <w:lvl w:ilvl="0">
      <w:lvlJc w:val="left"/>
      <w:lvlText w:val="3"/>
      <w:numFmt w:val="bullet"/>
      <w:start w:val="1"/>
    </w:lvl>
  </w:abstractNum>
  <w:abstractNum w:abstractNumId="38">
    <w:nsid w:val="42963E5A"/>
    <w:multiLevelType w:val="hybridMultilevel"/>
    <w:lvl w:ilvl="0">
      <w:lvlJc w:val="left"/>
      <w:lvlText w:val="%1."/>
      <w:numFmt w:val="decimal"/>
      <w:start w:val="5"/>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
      <w:numFmt w:val="bullet"/>
      <w:start w:val="1"/>
    </w:lvl>
  </w:abstractNum>
  <w:abstractNum w:abstractNumId="42">
    <w:nsid w:val="3B0FD379"/>
    <w:multiLevelType w:val="hybridMultilevel"/>
    <w:lvl w:ilvl="0">
      <w:lvlJc w:val="left"/>
      <w:lvlText w:val="%1."/>
      <w:numFmt w:val="upperLetter"/>
      <w:start w:val="1"/>
    </w:lvl>
  </w:abstractNum>
  <w:abstractNum w:abstractNumId="43">
    <w:nsid w:val="68EB2F63"/>
    <w:multiLevelType w:val="hybridMultilevel"/>
    <w:lvl w:ilvl="0">
      <w:lvlJc w:val="left"/>
      <w:lvlText w:val="%1."/>
      <w:numFmt w:val="upperLetter"/>
      <w:start w:val="1"/>
    </w:lvl>
  </w:abstractNum>
  <w:abstractNum w:abstractNumId="44">
    <w:nsid w:val="4962813B"/>
    <w:multiLevelType w:val="hybridMultilevel"/>
    <w:lvl w:ilvl="0">
      <w:lvlJc w:val="left"/>
      <w:lvlText w:val="%1."/>
      <w:numFmt w:val="upperLetter"/>
      <w:start w:val="2"/>
    </w:lvl>
  </w:abstractNum>
  <w:abstractNum w:abstractNumId="45">
    <w:nsid w:val="60B6DF70"/>
    <w:multiLevelType w:val="hybridMultilevel"/>
    <w:lvl w:ilvl="0">
      <w:lvlJc w:val="left"/>
      <w:lvlText w:val="%1."/>
      <w:numFmt w:val="upperLetter"/>
      <w:start w:val="2"/>
    </w:lvl>
  </w:abstractNum>
  <w:abstractNum w:abstractNumId="46">
    <w:nsid w:val="6A5EE64"/>
    <w:multiLevelType w:val="hybridMultilevel"/>
    <w:lvl w:ilvl="0">
      <w:lvlJc w:val="left"/>
      <w:lvlText w:val="%1."/>
      <w:numFmt w:val="upperLetter"/>
      <w:start w:val="3"/>
    </w:lvl>
  </w:abstractNum>
  <w:abstractNum w:abstractNumId="47">
    <w:nsid w:val="14330624"/>
    <w:multiLevelType w:val="hybridMultilevel"/>
    <w:lvl w:ilvl="0">
      <w:lvlJc w:val="left"/>
      <w:lvlText w:val="%1."/>
      <w:numFmt w:val="upperLetter"/>
      <w:start w:val="4"/>
    </w:lvl>
  </w:abstractNum>
  <w:abstractNum w:abstractNumId="48">
    <w:nsid w:val="7FFFCA11"/>
    <w:multiLevelType w:val="hybridMultilevel"/>
    <w:lvl w:ilvl="0">
      <w:lvlJc w:val="left"/>
      <w:lvlText w:val="%1."/>
      <w:numFmt w:val="decimal"/>
      <w:start w:val="7"/>
    </w:lvl>
  </w:abstractNum>
  <w:abstractNum w:abstractNumId="49">
    <w:nsid w:val="1A27709E"/>
    <w:multiLevelType w:val="hybridMultilevel"/>
    <w:lvl w:ilvl="0">
      <w:lvlJc w:val="left"/>
      <w:lvlText w:val="1"/>
      <w:numFmt w:val="bullet"/>
      <w:start w:val="1"/>
    </w:lvl>
  </w:abstractNum>
  <w:abstractNum w:abstractNumId="50">
    <w:nsid w:val="71EA1109"/>
    <w:multiLevelType w:val="hybridMultilevel"/>
    <w:lvl w:ilvl="0">
      <w:lvlJc w:val="left"/>
      <w:lvlText w:val="2"/>
      <w:numFmt w:val="bullet"/>
      <w:start w:val="1"/>
    </w:lvl>
  </w:abstractNum>
  <w:abstractNum w:abstractNumId="51">
    <w:nsid w:val="100F59DC"/>
    <w:multiLevelType w:val="hybridMultilevel"/>
    <w:lvl w:ilvl="0">
      <w:lvlJc w:val="left"/>
      <w:lvlText w:val="%1."/>
      <w:numFmt w:val="upperLetter"/>
      <w:start w:val="1"/>
    </w:lvl>
  </w:abstractNum>
  <w:abstractNum w:abstractNumId="52">
    <w:nsid w:val="7FB7E0AA"/>
    <w:multiLevelType w:val="hybridMultilevel"/>
    <w:lvl w:ilvl="0">
      <w:lvlJc w:val="left"/>
      <w:lvlText w:val="1"/>
      <w:numFmt w:val="bullet"/>
      <w:start w:val="1"/>
    </w:lvl>
  </w:abstractNum>
  <w:abstractNum w:abstractNumId="53">
    <w:nsid w:val="6EB5BD4"/>
    <w:multiLevelType w:val="hybridMultilevel"/>
    <w:lvl w:ilvl="0">
      <w:lvlJc w:val="left"/>
      <w:lvlText w:val="2"/>
      <w:numFmt w:val="bullet"/>
      <w:start w:val="1"/>
    </w:lvl>
  </w:abstractNum>
  <w:abstractNum w:abstractNumId="54">
    <w:nsid w:val="6F6DD9AC"/>
    <w:multiLevelType w:val="hybridMultilevel"/>
    <w:lvl w:ilvl="0">
      <w:lvlJc w:val="left"/>
      <w:lvlText w:val="%1."/>
      <w:numFmt w:val="upperLetter"/>
      <w:start w:val="1"/>
    </w:lvl>
  </w:abstractNum>
  <w:abstractNum w:abstractNumId="55">
    <w:nsid w:val="94211F2"/>
    <w:multiLevelType w:val="hybridMultilevel"/>
    <w:lvl w:ilvl="0">
      <w:lvlJc w:val="left"/>
      <w:lvlText w:val="●"/>
      <w:numFmt w:val="bullet"/>
      <w:start w:val="1"/>
    </w:lvl>
  </w:abstractNum>
  <w:abstractNum w:abstractNumId="56">
    <w:nsid w:val="885E1B"/>
    <w:multiLevelType w:val="hybridMultilevel"/>
    <w:lvl w:ilvl="0">
      <w:lvlJc w:val="left"/>
      <w:lvlText w:val="●"/>
      <w:numFmt w:val="bullet"/>
      <w:start w:val="1"/>
    </w:lvl>
  </w:abstractNum>
  <w:abstractNum w:abstractNumId="57">
    <w:nsid w:val="76272110"/>
    <w:multiLevelType w:val="hybridMultilevel"/>
    <w:lvl w:ilvl="0">
      <w:lvlJc w:val="left"/>
      <w:lvlText w:val="●"/>
      <w:numFmt w:val="bullet"/>
      <w:start w:val="1"/>
    </w:lvl>
  </w:abstractNum>
  <w:abstractNum w:abstractNumId="58">
    <w:nsid w:val="4C04A8AF"/>
    <w:multiLevelType w:val="hybridMultilevel"/>
    <w:lvl w:ilvl="0">
      <w:lvlJc w:val="left"/>
      <w:lvlText w:val="●"/>
      <w:numFmt w:val="bullet"/>
      <w:start w:val="1"/>
    </w:lvl>
  </w:abstractNum>
  <w:abstractNum w:abstractNumId="59">
    <w:nsid w:val="1716703B"/>
    <w:multiLevelType w:val="hybridMultilevel"/>
    <w:lvl w:ilvl="0">
      <w:lvlJc w:val="left"/>
      <w:lvlText w:val="%1."/>
      <w:numFmt w:val="upperLetter"/>
      <w:start w:val="3"/>
    </w:lvl>
  </w:abstractNum>
  <w:abstractNum w:abstractNumId="60">
    <w:nsid w:val="14E17E33"/>
    <w:multiLevelType w:val="hybridMultilevel"/>
    <w:lvl w:ilvl="0">
      <w:lvlJc w:val="left"/>
      <w:lvlText w:val="●"/>
      <w:numFmt w:val="bullet"/>
      <w:start w:val="1"/>
    </w:lvl>
    <w:lvl w:ilvl="1">
      <w:lvlJc w:val="left"/>
      <w:lvlText w:val="◦"/>
      <w:numFmt w:val="bullet"/>
      <w:start w:val="1"/>
    </w:lvl>
  </w:abstractNum>
  <w:abstractNum w:abstractNumId="61">
    <w:nsid w:val="3222E7CD"/>
    <w:multiLevelType w:val="hybridMultilevel"/>
    <w:lvl w:ilvl="0">
      <w:lvlJc w:val="left"/>
      <w:lvlText w:val="●"/>
      <w:numFmt w:val="bullet"/>
      <w:start w:val="1"/>
    </w:lvl>
  </w:abstractNum>
  <w:abstractNum w:abstractNumId="62">
    <w:nsid w:val="74DE0EE3"/>
    <w:multiLevelType w:val="hybridMultilevel"/>
    <w:lvl w:ilvl="0">
      <w:lvlJc w:val="left"/>
      <w:lvlText w:val="%1."/>
      <w:numFmt w:val="upperLetter"/>
      <w:start w:val="3"/>
    </w:lvl>
  </w:abstractNum>
  <w:abstractNum w:abstractNumId="63">
    <w:nsid w:val="68EBC550"/>
    <w:multiLevelType w:val="hybridMultilevel"/>
    <w:lvl w:ilvl="0">
      <w:lvlJc w:val="left"/>
      <w:lvlText w:val="●"/>
      <w:numFmt w:val="bullet"/>
      <w:start w:val="1"/>
    </w:lvl>
    <w:lvl w:ilvl="1">
      <w:lvlJc w:val="left"/>
      <w:lvlText w:val="◦"/>
      <w:numFmt w:val="bullet"/>
      <w:start w:val="1"/>
    </w:lvl>
  </w:abstractNum>
  <w:abstractNum w:abstractNumId="64">
    <w:nsid w:val="2DF6D648"/>
    <w:multiLevelType w:val="hybridMultilevel"/>
    <w:lvl w:ilvl="0">
      <w:lvlJc w:val="left"/>
      <w:lvlText w:val="●"/>
      <w:numFmt w:val="bullet"/>
      <w:start w:val="1"/>
    </w:lvl>
  </w:abstractNum>
  <w:abstractNum w:abstractNumId="65">
    <w:nsid w:val="46B7D447"/>
    <w:multiLevelType w:val="hybridMultilevel"/>
    <w:lvl w:ilvl="0">
      <w:lvlJc w:val="left"/>
      <w:lvlText w:val="●"/>
      <w:numFmt w:val="bullet"/>
      <w:start w:val="1"/>
    </w:lvl>
  </w:abstractNum>
  <w:abstractNum w:abstractNumId="66">
    <w:nsid w:val="4A2AC315"/>
    <w:multiLevelType w:val="hybridMultilevel"/>
    <w:lvl w:ilvl="0">
      <w:lvlJc w:val="left"/>
      <w:lvlText w:val="%1."/>
      <w:numFmt w:val="upperLetter"/>
      <w:start w:val="4"/>
    </w:lvl>
  </w:abstractNum>
  <w:abstractNum w:abstractNumId="67">
    <w:nsid w:val="39EE015C"/>
    <w:multiLevelType w:val="hybridMultilevel"/>
    <w:lvl w:ilvl="0">
      <w:lvlJc w:val="left"/>
      <w:lvlText w:val="●"/>
      <w:numFmt w:val="bullet"/>
      <w:start w:val="1"/>
    </w:lvl>
  </w:abstractNum>
  <w:abstractNum w:abstractNumId="68">
    <w:nsid w:val="57FC4FBB"/>
    <w:multiLevelType w:val="hybridMultilevel"/>
    <w:lvl w:ilvl="0">
      <w:lvlJc w:val="left"/>
      <w:lvlText w:val="●"/>
      <w:numFmt w:val="bullet"/>
      <w:start w:val="1"/>
    </w:lvl>
    <w:lvl w:ilvl="1">
      <w:lvlJc w:val="left"/>
      <w:lvlText w:val="◦"/>
      <w:numFmt w:val="bullet"/>
      <w:start w:val="1"/>
    </w:lvl>
  </w:abstractNum>
  <w:abstractNum w:abstractNumId="69">
    <w:nsid w:val="CC1016F"/>
    <w:multiLevelType w:val="hybridMultilevel"/>
    <w:lvl w:ilvl="0">
      <w:lvlJc w:val="left"/>
      <w:lvlText w:val="%1."/>
      <w:numFmt w:val="upperLetter"/>
      <w:start w:val="5"/>
    </w:lvl>
  </w:abstractNum>
  <w:abstractNum w:abstractNumId="70">
    <w:nsid w:val="43F18422"/>
    <w:multiLevelType w:val="hybridMultilevel"/>
    <w:lvl w:ilvl="0">
      <w:lvlJc w:val="left"/>
      <w:lvlText w:val="-"/>
      <w:numFmt w:val="bullet"/>
      <w:start w:val="1"/>
    </w:lvl>
  </w:abstractNum>
  <w:abstractNum w:abstractNumId="71">
    <w:nsid w:val="60EF0119"/>
    <w:multiLevelType w:val="hybridMultilevel"/>
    <w:lvl w:ilvl="0">
      <w:lvlJc w:val="left"/>
      <w:lvlText w:val="%1."/>
      <w:numFmt w:val="decimal"/>
      <w:start w:val="9"/>
    </w:lvl>
  </w:abstractNum>
  <w:abstractNum w:abstractNumId="72">
    <w:nsid w:val="26F324BA"/>
    <w:multiLevelType w:val="hybridMultilevel"/>
    <w:lvl w:ilvl="0">
      <w:lvlJc w:val="left"/>
      <w:lvlText w:val="%1."/>
      <w:numFmt w:val="upperLetter"/>
      <w:start w:val="1"/>
    </w:lvl>
  </w:abstractNum>
  <w:abstractNum w:abstractNumId="73">
    <w:nsid w:val="7F01579B"/>
    <w:multiLevelType w:val="hybridMultilevel"/>
    <w:lvl w:ilvl="0">
      <w:lvlJc w:val="left"/>
      <w:lvlText w:val="%1."/>
      <w:numFmt w:val="upperLetter"/>
      <w:start w:val="2"/>
    </w:lvl>
  </w:abstractNum>
  <w:abstractNum w:abstractNumId="74">
    <w:nsid w:val="49DA307D"/>
    <w:multiLevelType w:val="hybridMultilevel"/>
    <w:lvl w:ilvl="0">
      <w:lvlJc w:val="left"/>
      <w:lvlText w:val="●"/>
      <w:numFmt w:val="bullet"/>
      <w:start w:val="1"/>
    </w:lvl>
  </w:abstractNum>
  <w:abstractNum w:abstractNumId="75">
    <w:nsid w:val="7055A5F5"/>
    <w:multiLevelType w:val="hybridMultilevel"/>
    <w:lvl w:ilvl="0">
      <w:lvlJc w:val="left"/>
      <w:lvlText w:val="●"/>
      <w:numFmt w:val="bullet"/>
      <w:start w:val="1"/>
    </w:lvl>
  </w:abstractNum>
  <w:abstractNum w:abstractNumId="76">
    <w:nsid w:val="5FB8370B"/>
    <w:multiLevelType w:val="hybridMultilevel"/>
    <w:lvl w:ilvl="0">
      <w:lvlJc w:val="left"/>
      <w:lvlText w:val="%1."/>
      <w:numFmt w:val="upperLetter"/>
      <w:start w:val="1"/>
    </w:lvl>
  </w:abstractNum>
  <w:abstractNum w:abstractNumId="77">
    <w:nsid w:val="50801EE1"/>
    <w:multiLevelType w:val="hybridMultilevel"/>
    <w:lvl w:ilvl="0">
      <w:lvlJc w:val="left"/>
      <w:lvlText w:val="●"/>
      <w:numFmt w:val="bullet"/>
      <w:start w:val="1"/>
    </w:lvl>
  </w:abstractNum>
  <w:abstractNum w:abstractNumId="78">
    <w:nsid w:val="488AC1A"/>
    <w:multiLevelType w:val="hybridMultilevel"/>
    <w:lvl w:ilvl="0">
      <w:lvlJc w:val="left"/>
      <w:lvlText w:val="●"/>
      <w:numFmt w:val="bullet"/>
      <w:start w:val="1"/>
    </w:lvl>
  </w:abstractNum>
  <w:abstractNum w:abstractNumId="79">
    <w:nsid w:val="5FB8011C"/>
    <w:multiLevelType w:val="hybridMultilevel"/>
    <w:lvl w:ilvl="0">
      <w:lvlJc w:val="left"/>
      <w:lvlText w:val="●"/>
      <w:numFmt w:val="bullet"/>
      <w:start w:val="1"/>
    </w:lvl>
    <w:lvl w:ilvl="1">
      <w:lvlJc w:val="left"/>
      <w:lvlText w:val="◦"/>
      <w:numFmt w:val="bullet"/>
      <w:start w:val="1"/>
    </w:lvl>
  </w:abstractNum>
  <w:abstractNum w:abstractNumId="80">
    <w:nsid w:val="6AA78F7F"/>
    <w:multiLevelType w:val="hybridMultilevel"/>
    <w:lvl w:ilvl="0">
      <w:lvlJc w:val="left"/>
      <w:lvlText w:val="%1."/>
      <w:numFmt w:val="upperLetter"/>
      <w:start w:val="1"/>
    </w:lvl>
  </w:abstractNum>
  <w:abstractNum w:abstractNumId="81">
    <w:nsid w:val="7672BD23"/>
    <w:multiLevelType w:val="hybridMultilevel"/>
    <w:lvl w:ilvl="0">
      <w:lvlJc w:val="left"/>
      <w:lvlText w:val="●"/>
      <w:numFmt w:val="bullet"/>
      <w:start w:val="1"/>
    </w:lvl>
  </w:abstractNum>
  <w:abstractNum w:abstractNumId="82">
    <w:nsid w:val="6FC75AF8"/>
    <w:multiLevelType w:val="hybridMultilevel"/>
    <w:lvl w:ilvl="0">
      <w:lvlJc w:val="left"/>
      <w:lvlText w:val="%1."/>
      <w:numFmt w:val="upperLetter"/>
      <w:start w:val="1"/>
    </w:lvl>
  </w:abstractNum>
  <w:abstractNum w:abstractNumId="83">
    <w:nsid w:val="6A5F7029"/>
    <w:multiLevelType w:val="hybridMultilevel"/>
    <w:lvl w:ilvl="0">
      <w:lvlJc w:val="left"/>
      <w:lvlText w:val="%1."/>
      <w:numFmt w:val="upperLetter"/>
      <w:start w:val="2"/>
    </w:lvl>
  </w:abstractNum>
  <w:abstractNum w:abstractNumId="84">
    <w:nsid w:val="7D5E18F8"/>
    <w:multiLevelType w:val="hybridMultilevel"/>
    <w:lvl w:ilvl="0">
      <w:lvlJc w:val="left"/>
      <w:lvlText w:val="%1."/>
      <w:numFmt w:val="upperLetter"/>
      <w:start w:val="2"/>
    </w:lvl>
  </w:abstractNum>
  <w:abstractNum w:abstractNumId="85">
    <w:nsid w:val="5F3534A4"/>
    <w:multiLevelType w:val="hybridMultilevel"/>
    <w:lvl w:ilvl="0">
      <w:lvlJc w:val="left"/>
      <w:lvlText w:val="(%1)"/>
      <w:numFmt w:val="lowerRoman"/>
      <w:start w:val="1"/>
    </w:lvl>
  </w:abstractNum>
  <w:abstractNum w:abstractNumId="86">
    <w:nsid w:val="73A1821B"/>
    <w:multiLevelType w:val="hybridMultilevel"/>
    <w:lvl w:ilvl="0">
      <w:lvlJc w:val="left"/>
      <w:lvlText w:val="%1."/>
      <w:numFmt w:val="upperLetter"/>
      <w:start w:val="2"/>
    </w:lvl>
  </w:abstractNum>
  <w:abstractNum w:abstractNumId="87">
    <w:nsid w:val="7DE67713"/>
    <w:multiLevelType w:val="hybridMultilevel"/>
    <w:lvl w:ilvl="0">
      <w:lvlJc w:val="left"/>
      <w:lvlText w:val="%1."/>
      <w:numFmt w:val="upperLetter"/>
      <w:start w:val="3"/>
    </w:lvl>
  </w:abstractNum>
  <w:abstractNum w:abstractNumId="88">
    <w:nsid w:val="555C55B5"/>
    <w:multiLevelType w:val="hybridMultilevel"/>
    <w:lvl w:ilvl="0">
      <w:lvlJc w:val="left"/>
      <w:lvlText w:val="%1."/>
      <w:numFmt w:val="upperLetter"/>
      <w:start w:val="5"/>
    </w:lvl>
  </w:abstractNum>
  <w:abstractNum w:abstractNumId="89">
    <w:nsid w:val="3FA62ACA"/>
    <w:multiLevelType w:val="hybridMultilevel"/>
    <w:lvl w:ilvl="0">
      <w:lvlJc w:val="left"/>
      <w:lvlText w:val="%1."/>
      <w:numFmt w:val="upperLetter"/>
      <w:start w:val="1"/>
    </w:lvl>
  </w:abstractNum>
  <w:abstractNum w:abstractNumId="90">
    <w:nsid w:val="14FCE74E"/>
    <w:multiLevelType w:val="hybridMultilevel"/>
    <w:lvl w:ilvl="0">
      <w:lvlJc w:val="left"/>
      <w:lvlText w:val="%1."/>
      <w:numFmt w:val="upperLetter"/>
      <w:start w:val="1"/>
    </w:lvl>
    <w:lvl w:ilvl="1">
      <w:lvlJc w:val="left"/>
      <w:lvlText w:val="●"/>
      <w:numFmt w:val="bullet"/>
      <w:start w:val="1"/>
    </w:lvl>
  </w:abstractNum>
  <w:abstractNum w:abstractNumId="91">
    <w:nsid w:val="6A3DD3E8"/>
    <w:multiLevelType w:val="hybridMultilevel"/>
    <w:lvl w:ilvl="0">
      <w:lvlJc w:val="left"/>
      <w:lvlText w:val="%1."/>
      <w:numFmt w:val="upperLetter"/>
      <w:start w:val="1"/>
    </w:lvl>
  </w:abstractNum>
  <w:abstractNum w:abstractNumId="92">
    <w:nsid w:val="71C91298"/>
    <w:multiLevelType w:val="hybridMultilevel"/>
    <w:lvl w:ilvl="0">
      <w:lvlJc w:val="left"/>
      <w:lvlText w:val="%1)"/>
      <w:numFmt w:val="lowerRoman"/>
      <w:start w:val="1"/>
    </w:lvl>
  </w:abstractNum>
  <w:abstractNum w:abstractNumId="93">
    <w:nsid w:val="9DAF632"/>
    <w:multiLevelType w:val="hybridMultilevel"/>
    <w:lvl w:ilvl="0">
      <w:lvlJc w:val="left"/>
      <w:lvlText w:val="%1."/>
      <w:numFmt w:val="upperLetter"/>
      <w:start w:val="2"/>
    </w:lvl>
  </w:abstractNum>
  <w:abstractNum w:abstractNumId="94">
    <w:nsid w:val="53299938"/>
    <w:multiLevelType w:val="hybridMultilevel"/>
    <w:lvl w:ilvl="0">
      <w:lvlJc w:val="left"/>
      <w:lvlText w:val="%1."/>
      <w:numFmt w:val="upperLetter"/>
      <w:start w:val="3"/>
    </w:lvl>
  </w:abstractNum>
  <w:abstractNum w:abstractNumId="95">
    <w:nsid w:val="1FBFE8E0"/>
    <w:multiLevelType w:val="hybridMultilevel"/>
    <w:lvl w:ilvl="0">
      <w:lvlJc w:val="left"/>
      <w:lvlText w:val="%1."/>
      <w:numFmt w:val="upperLetter"/>
      <w:start w:val="4"/>
    </w:lvl>
  </w:abstractNum>
  <w:abstractNum w:abstractNumId="96">
    <w:nsid w:val="5092CA79"/>
    <w:multiLevelType w:val="hybridMultilevel"/>
    <w:lvl w:ilvl="0">
      <w:lvlJc w:val="left"/>
      <w:lvlText w:val="%1."/>
      <w:numFmt w:val="upperLetter"/>
      <w:start w:val="1"/>
    </w:lvl>
  </w:abstractNum>
  <w:abstractNum w:abstractNumId="97">
    <w:nsid w:val="1D545C4D"/>
    <w:multiLevelType w:val="hybridMultilevel"/>
    <w:lvl w:ilvl="0">
      <w:lvlJc w:val="left"/>
      <w:lvlText w:val="%1."/>
      <w:numFmt w:val="upperLetter"/>
      <w:start w:val="2"/>
    </w:lvl>
  </w:abstractNum>
  <w:abstractNum w:abstractNumId="98">
    <w:nsid w:val="59ADEA3D"/>
    <w:multiLevelType w:val="hybridMultilevel"/>
    <w:lvl w:ilvl="0">
      <w:lvlJc w:val="left"/>
      <w:lvlText w:val="%1."/>
      <w:numFmt w:val="upperLetter"/>
      <w:start w:val="3"/>
    </w:lvl>
  </w:abstractNum>
  <w:abstractNum w:abstractNumId="99">
    <w:nsid w:val="288F1A34"/>
    <w:multiLevelType w:val="hybridMultilevel"/>
    <w:lvl w:ilvl="0">
      <w:lvlJc w:val="left"/>
      <w:lvlText w:val="(%1)"/>
      <w:numFmt w:val="lowerRoman"/>
      <w:start w:val="3"/>
    </w:lvl>
  </w:abstractNum>
  <w:abstractNum w:abstractNumId="100">
    <w:nsid w:val="2A155DBC"/>
    <w:multiLevelType w:val="hybridMultilevel"/>
    <w:lvl w:ilvl="0">
      <w:lvlJc w:val="left"/>
      <w:lvlText w:val="●"/>
      <w:numFmt w:val="bullet"/>
      <w:start w:val="1"/>
    </w:lvl>
  </w:abstractNum>
  <w:abstractNum w:abstractNumId="101">
    <w:nsid w:val="1D9F6E5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2">
    <w:nsid w:val="97E1B4E"/>
    <w:multiLevelType w:val="hybridMultilevel"/>
    <w:lvl w:ilvl="0">
      <w:lvlJc w:val="left"/>
      <w:lvlText w:val="%1."/>
      <w:numFmt w:val="decimal"/>
      <w:start w:val="6"/>
    </w:lvl>
  </w:abstractNum>
  <w:abstractNum w:abstractNumId="103">
    <w:nsid w:val="5108827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4">
    <w:nsid w:val="1CA0C5FA"/>
    <w:multiLevelType w:val="hybridMultilevel"/>
    <w:lvl w:ilvl="0">
      <w:lvlJc w:val="left"/>
      <w:lvlText w:val="%1."/>
      <w:numFmt w:val="decimal"/>
      <w:start w:val="6"/>
    </w:lvl>
  </w:abstractNum>
  <w:abstractNum w:abstractNumId="105">
    <w:nsid w:val="53584BCB"/>
    <w:multiLevelType w:val="hybridMultilevel"/>
    <w:lvl w:ilvl="0">
      <w:lvlJc w:val="left"/>
      <w:lvlText w:val="●"/>
      <w:numFmt w:val="bullet"/>
      <w:start w:val="1"/>
    </w:lvl>
  </w:abstractNum>
  <w:abstractNum w:abstractNumId="106">
    <w:nsid w:val="415E286C"/>
    <w:multiLevelType w:val="hybridMultilevel"/>
    <w:lvl w:ilvl="0">
      <w:lvlJc w:val="left"/>
      <w:lvlText w:val="●"/>
      <w:numFmt w:val="bullet"/>
      <w:start w:val="1"/>
    </w:lvl>
  </w:abstractNum>
  <w:abstractNum w:abstractNumId="107">
    <w:nsid w:val="7C58FD05"/>
    <w:multiLevelType w:val="hybridMultilevel"/>
    <w:lvl w:ilvl="0">
      <w:lvlJc w:val="left"/>
      <w:lvlText w:val="●"/>
      <w:numFmt w:val="bullet"/>
      <w:start w:val="1"/>
    </w:lvl>
  </w:abstractNum>
  <w:abstractNum w:abstractNumId="108">
    <w:nsid w:val="23D86AAC"/>
    <w:multiLevelType w:val="hybridMultilevel"/>
    <w:lvl w:ilvl="0">
      <w:lvlJc w:val="left"/>
      <w:lvlText w:val="●"/>
      <w:numFmt w:val="bullet"/>
      <w:start w:val="1"/>
    </w:lvl>
    <w:lvl w:ilvl="1">
      <w:lvlJc w:val="left"/>
      <w:lvlText w:val="●"/>
      <w:numFmt w:val="bullet"/>
      <w:start w:val="1"/>
    </w:lvl>
  </w:abstractNum>
  <w:abstractNum w:abstractNumId="109">
    <w:nsid w:val="45E6D486"/>
    <w:multiLevelType w:val="hybridMultilevel"/>
    <w:lvl w:ilvl="0">
      <w:lvlJc w:val="left"/>
      <w:lvlText w:val="*"/>
      <w:numFmt w:val="bullet"/>
      <w:start w:val="1"/>
    </w:lvl>
  </w:abstractNum>
  <w:abstractNum w:abstractNumId="110">
    <w:nsid w:val="5C10FE21"/>
    <w:multiLevelType w:val="hybridMultilevel"/>
    <w:lvl w:ilvl="0">
      <w:lvlJc w:val="left"/>
      <w:lvlText w:val="**"/>
      <w:numFmt w:val="bullet"/>
      <w:start w:val="1"/>
    </w:lvl>
  </w:abstractNum>
  <w:abstractNum w:abstractNumId="111">
    <w:nsid w:val="E7FFA2B"/>
    <w:multiLevelType w:val="hybridMultilevel"/>
    <w:lvl w:ilvl="0">
      <w:lvlJc w:val="left"/>
      <w:lvlText w:val="***"/>
      <w:numFmt w:val="bullet"/>
      <w:start w:val="1"/>
    </w:lvl>
  </w:abstractNum>
  <w:abstractNum w:abstractNumId="112">
    <w:nsid w:val="3C5991AA"/>
    <w:multiLevelType w:val="hybridMultilevel"/>
    <w:lvl w:ilvl="0">
      <w:lvlJc w:val="left"/>
      <w:lvlText w:val="****"/>
      <w:numFmt w:val="bullet"/>
      <w:start w:val="1"/>
    </w:lvl>
  </w:abstractNum>
  <w:abstractNum w:abstractNumId="113">
    <w:nsid w:val="4BD8591A"/>
    <w:multiLevelType w:val="hybridMultilevel"/>
    <w:lvl w:ilvl="0">
      <w:lvlJc w:val="left"/>
      <w:lvlText w:val="●"/>
      <w:numFmt w:val="bullet"/>
      <w:start w:val="1"/>
    </w:lvl>
  </w:abstractNum>
  <w:abstractNum w:abstractNumId="114">
    <w:nsid w:val="78DF6A55"/>
    <w:multiLevelType w:val="hybridMultilevel"/>
    <w:lvl w:ilvl="0">
      <w:lvlJc w:val="left"/>
      <w:lvlText w:val="+"/>
      <w:numFmt w:val="bullet"/>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jpe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jpe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 Type="http://schemas.openxmlformats.org/officeDocument/2006/relationships/hyperlink" Target="https://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2023-08-08T06:28:32Z</dcterms:created>
  <dcterms:modified xsi:type="dcterms:W3CDTF">2023-08-08T06:28:32Z</dcterms:modified>
</cp:coreProperties>
</file>