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January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2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8, 2024,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8, 2024</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156845</wp:posOffset>
            </wp:positionV>
            <wp:extent cx="203136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Appoints Tracy Krumme as Senior Vice President, Head of Investor Relations</w:t>
      </w:r>
    </w:p>
    <w:p>
      <w:pPr>
        <w:spacing w:after="0" w:line="232" w:lineRule="exact"/>
        <w:rPr>
          <w:sz w:val="20"/>
          <w:szCs w:val="20"/>
          <w:color w:val="auto"/>
        </w:rPr>
      </w:pPr>
    </w:p>
    <w:p>
      <w:pPr>
        <w:jc w:val="both"/>
        <w:ind w:left="20" w:hanging="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(January 8, 2024) </w:t>
      </w:r>
      <w:r>
        <w:rPr>
          <w:rFonts w:ascii="Times New Roman" w:cs="Times New Roman" w:eastAsia="Times New Roman" w:hAnsi="Times New Roman"/>
          <w:sz w:val="18"/>
          <w:szCs w:val="18"/>
          <w:color w:val="auto"/>
        </w:rPr>
        <w:t>- Bitfarms Ltd. (NASDAQ: BITF//TSX: BITF), a global vertically integrated Bitcoin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it has appointed Tracy Krumme as Senior Vice President, Head of Investor Relations.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Krumme has more than 30 years of leadership experience in investor relations, financial communications, investment banking, and equity research. She has led investor relations at several public companies, including PPD, Inc. (now part of Thermo Fisher Scientific Inc.), Nuance Communications Inc. (now part of Microsoft Corp.), Luxoft (now part of DXC Technology Company), and NCR Corp, where she was instrumental in driving shareholder value, global visibility, and prominence. She most recently led the pre-IPO process at Galderma SA (Zug, Switzerland) and has held positions as an equity research analyst at Sandler O’Neill + Partners, L.P., an investment strategist at Prudential Securities, and an investment banker at Kidder, Peabody International in London.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have Tracy join our team,” said CEO Geoffrey Morphy. “In addition to her extensive investor relations and capital markets experience, Tracy has an established reputation among the investment community. I am confident that her strategic acumen and proven track record will make her highly effective in this role. We look forward to her contributions as we continue to execute on our strategic initiatives and elevate our profile among the investment community.”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Ms. Krumme stated, “I am impressed by the strength of Bitfarms’ international management team and am thrilled to join the Company at this important stage in its development. With a robust balance sheet and an ongoing transformative fleet upgrade, the Company is poised to significantly enhance fleet energy efficiency ahead of the next Bitcoin Halving. I look forward to engaging with investors and analysts to foster relationships and effectively communicate Bitfarms’ compelling growth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-10795</wp:posOffset>
            </wp:positionV>
            <wp:extent cx="7123430" cy="2606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60604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publicly traded (NASDAQ/TSX: BITF)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11 farms in production, one in expansion, and two in development, in four countries: Canada, the United States, Paraguay, and Argentina. Powered by predominantly environmentally friendly hydro-electric and long-term power contracts, Bitfarms is committed to using sustainable,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23430" cy="2194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2194560"/>
                    </a:xfrm>
                    <a:prstGeom prst="rect">
                      <a:avLst/>
                    </a:prstGeom>
                    <a:noFill/>
                  </pic:spPr>
                </pic:pic>
              </a:graphicData>
            </a:graphic>
          </wp:anchor>
        </w:drawing>
      </w:r>
    </w:p>
    <w:p>
      <w:pPr>
        <w:spacing w:after="0" w:line="20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9"/>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 xml:space="preserve">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w:t>
      </w:r>
      <w:r>
        <w:rPr>
          <w:rFonts w:ascii="Times New Roman" w:cs="Times New Roman" w:eastAsia="Times New Roman" w:hAnsi="Times New Roman"/>
          <w:sz w:val="18"/>
          <w:szCs w:val="18"/>
          <w:i w:val="1"/>
          <w:iCs w:val="1"/>
          <w:color w:val="auto"/>
        </w:rPr>
        <w:t>The statements and information in this release regarding the ability to enhance the business of the Company through adding additional</w:t>
      </w:r>
      <w:r>
        <w:rPr>
          <w:rFonts w:ascii="Times New Roman" w:cs="Times New Roman" w:eastAsia="Times New Roman" w:hAnsi="Times New Roman"/>
          <w:sz w:val="18"/>
          <w:szCs w:val="18"/>
          <w:i w:val="1"/>
          <w:iCs w:val="1"/>
          <w:color w:val="auto"/>
          <w:highlight w:val="white"/>
        </w:rPr>
        <w:t xml:space="preserve"> </w:t>
      </w:r>
      <w:r>
        <w:rPr>
          <w:rFonts w:ascii="Times New Roman" w:cs="Times New Roman" w:eastAsia="Times New Roman" w:hAnsi="Times New Roman"/>
          <w:sz w:val="18"/>
          <w:szCs w:val="18"/>
          <w:i w:val="1"/>
          <w:iCs w:val="1"/>
          <w:color w:val="auto"/>
        </w:rPr>
        <w:t xml:space="preserve">resources to investor relations programs, and other statements regarding future growth, plans and objectives of the Company are forward-looking information. </w:t>
      </w: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w:t>
      </w:r>
      <w:r>
        <w:rPr>
          <w:rFonts w:ascii="Times New Roman" w:cs="Times New Roman" w:eastAsia="Times New Roman" w:hAnsi="Times New Roman"/>
          <w:sz w:val="18"/>
          <w:szCs w:val="18"/>
          <w:i w:val="1"/>
          <w:iCs w:val="1"/>
          <w:color w:val="auto"/>
        </w:rPr>
        <w:t xml:space="preserve"> events or performance (often but not always using phrases such as “expects”, or “does not expect”, “is expected”, “anticipates” or “does not anticipate”, “plans”, “budget”, “scheduled”, “forecasts”, “estimates”, “prospects”, “believes” or “intends” or variations of such words and phrases or stating that </w:t>
      </w:r>
      <w:r>
        <w:rPr>
          <w:rFonts w:ascii="Times New Roman" w:cs="Times New Roman" w:eastAsia="Times New Roman" w:hAnsi="Times New Roman"/>
          <w:sz w:val="18"/>
          <w:szCs w:val="18"/>
          <w:i w:val="1"/>
          <w:iCs w:val="1"/>
          <w:color w:val="auto"/>
          <w:highlight w:val="white"/>
        </w:rPr>
        <w:t>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ind w:left="20" w:hanging="9"/>
        <w:spacing w:after="0" w:line="252" w:lineRule="auto"/>
        <w:rPr>
          <w:sz w:val="20"/>
          <w:szCs w:val="20"/>
          <w:color w:val="auto"/>
        </w:rPr>
      </w:pPr>
      <w:r>
        <w:rPr>
          <w:rFonts w:ascii="Times New Roman" w:cs="Times New Roman" w:eastAsia="Times New Roman" w:hAnsi="Times New Roman"/>
          <w:sz w:val="18"/>
          <w:szCs w:val="18"/>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2022, filed on March 21, 2023.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 (LHA)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2024-01-08T15:04:21Z</dcterms:created>
  <dcterms:modified xsi:type="dcterms:W3CDTF">2024-01-08T15:04:21Z</dcterms:modified>
</cp:coreProperties>
</file>