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13, 2021</w:t>
      </w:r>
    </w:p>
    <w:p>
      <w:pPr>
        <w:spacing w:after="0" w:line="225"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Canada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7379</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(Province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Identification Number, if applicable)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King Street East, Suite 902, Toronto, Ontario, M5C 1C4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0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ind w:left="4500"/>
        <w:spacing w:after="0" w:line="205" w:lineRule="auto"/>
        <w:rPr>
          <w:sz w:val="20"/>
          <w:szCs w:val="20"/>
          <w:color w:val="auto"/>
        </w:rPr>
      </w:pPr>
      <w:r>
        <w:rPr>
          <w:rFonts w:ascii="Arial" w:cs="Arial" w:eastAsia="Arial" w:hAnsi="Arial"/>
          <w:sz w:val="18"/>
          <w:szCs w:val="18"/>
          <w:b w:val="1"/>
          <w:bCs w:val="1"/>
          <w:color w:val="auto"/>
        </w:rPr>
        <w:t>122 E. 42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 in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4760" w:type="dxa"/>
            <w:vAlign w:val="bottom"/>
          </w:tcPr>
          <w:p>
            <w:pPr>
              <w:ind w:left="660"/>
              <w:spacing w:after="0"/>
              <w:rPr>
                <w:sz w:val="20"/>
                <w:szCs w:val="20"/>
                <w:color w:val="auto"/>
              </w:rPr>
            </w:pPr>
            <w:r>
              <w:rPr>
                <w:rFonts w:ascii="Arial" w:cs="Arial" w:eastAsia="Arial" w:hAnsi="Arial"/>
                <w:sz w:val="18"/>
                <w:szCs w:val="18"/>
                <w:b w:val="1"/>
                <w:bCs w:val="1"/>
                <w:color w:val="auto"/>
              </w:rPr>
              <w:t>Copies to:</w:t>
            </w:r>
          </w:p>
        </w:tc>
      </w:tr>
      <w:tr>
        <w:trPr>
          <w:trHeight w:val="216"/>
        </w:trPr>
        <w:tc>
          <w:tcPr>
            <w:tcW w:w="2900" w:type="dxa"/>
            <w:vAlign w:val="bottom"/>
          </w:tcPr>
          <w:p>
            <w:pPr>
              <w:jc w:val="center"/>
              <w:ind w:right="530"/>
              <w:spacing w:after="0"/>
              <w:rPr>
                <w:sz w:val="20"/>
                <w:szCs w:val="20"/>
                <w:color w:val="auto"/>
              </w:rPr>
            </w:pPr>
            <w:r>
              <w:rPr>
                <w:rFonts w:ascii="Arial" w:cs="Arial" w:eastAsia="Arial" w:hAnsi="Arial"/>
                <w:sz w:val="18"/>
                <w:szCs w:val="18"/>
                <w:b w:val="1"/>
                <w:bCs w:val="1"/>
                <w:color w:val="auto"/>
                <w:w w:val="96"/>
              </w:rPr>
              <w:t>Mark D. Wood</w:t>
            </w:r>
          </w:p>
        </w:tc>
        <w:tc>
          <w:tcPr>
            <w:tcW w:w="476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Dennis Peterson</w:t>
            </w:r>
          </w:p>
        </w:tc>
      </w:tr>
      <w:tr>
        <w:trPr>
          <w:trHeight w:val="220"/>
        </w:trPr>
        <w:tc>
          <w:tcPr>
            <w:tcW w:w="290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Alyse A. Sagalchik</w:t>
            </w:r>
          </w:p>
        </w:tc>
        <w:tc>
          <w:tcPr>
            <w:tcW w:w="4760" w:type="dxa"/>
            <w:vAlign w:val="bottom"/>
          </w:tcPr>
          <w:p>
            <w:pPr>
              <w:jc w:val="center"/>
              <w:ind w:left="2850"/>
              <w:spacing w:after="0"/>
              <w:rPr>
                <w:sz w:val="20"/>
                <w:szCs w:val="20"/>
                <w:color w:val="auto"/>
              </w:rPr>
            </w:pPr>
            <w:r>
              <w:rPr>
                <w:rFonts w:ascii="Arial" w:cs="Arial" w:eastAsia="Arial" w:hAnsi="Arial"/>
                <w:sz w:val="18"/>
                <w:szCs w:val="18"/>
                <w:color w:val="auto"/>
                <w:w w:val="92"/>
              </w:rPr>
              <w:t>Peterson McVicar LLP</w:t>
            </w:r>
          </w:p>
        </w:tc>
      </w:tr>
      <w:tr>
        <w:trPr>
          <w:trHeight w:val="216"/>
        </w:trPr>
        <w:tc>
          <w:tcPr>
            <w:tcW w:w="2900" w:type="dxa"/>
            <w:vAlign w:val="bottom"/>
          </w:tcPr>
          <w:p>
            <w:pPr>
              <w:jc w:val="center"/>
              <w:ind w:right="550"/>
              <w:spacing w:after="0"/>
              <w:rPr>
                <w:sz w:val="20"/>
                <w:szCs w:val="20"/>
                <w:color w:val="auto"/>
              </w:rPr>
            </w:pPr>
            <w:r>
              <w:rPr>
                <w:rFonts w:ascii="Arial" w:cs="Arial" w:eastAsia="Arial" w:hAnsi="Arial"/>
                <w:sz w:val="18"/>
                <w:szCs w:val="18"/>
                <w:color w:val="auto"/>
                <w:w w:val="92"/>
              </w:rPr>
              <w:t>Katten Muchin Rosenman LLP</w:t>
            </w:r>
          </w:p>
        </w:tc>
        <w:tc>
          <w:tcPr>
            <w:tcW w:w="4760" w:type="dxa"/>
            <w:vAlign w:val="bottom"/>
          </w:tcPr>
          <w:p>
            <w:pPr>
              <w:jc w:val="center"/>
              <w:ind w:left="2870"/>
              <w:spacing w:after="0"/>
              <w:rPr>
                <w:sz w:val="20"/>
                <w:szCs w:val="20"/>
                <w:color w:val="auto"/>
              </w:rPr>
            </w:pPr>
            <w:r>
              <w:rPr>
                <w:rFonts w:ascii="Arial" w:cs="Arial" w:eastAsia="Arial" w:hAnsi="Arial"/>
                <w:sz w:val="18"/>
                <w:szCs w:val="18"/>
                <w:color w:val="auto"/>
                <w:w w:val="91"/>
              </w:rPr>
              <w:t>18 King St. E., Suite 902</w:t>
            </w:r>
          </w:p>
        </w:tc>
      </w:tr>
      <w:tr>
        <w:trPr>
          <w:trHeight w:val="216"/>
        </w:trPr>
        <w:tc>
          <w:tcPr>
            <w:tcW w:w="2900" w:type="dxa"/>
            <w:vAlign w:val="bottom"/>
          </w:tcPr>
          <w:p>
            <w:pPr>
              <w:jc w:val="center"/>
              <w:ind w:right="530"/>
              <w:spacing w:after="0"/>
              <w:rPr>
                <w:sz w:val="20"/>
                <w:szCs w:val="20"/>
                <w:color w:val="auto"/>
              </w:rPr>
            </w:pPr>
            <w:r>
              <w:rPr>
                <w:rFonts w:ascii="Arial" w:cs="Arial" w:eastAsia="Arial" w:hAnsi="Arial"/>
                <w:sz w:val="18"/>
                <w:szCs w:val="18"/>
                <w:color w:val="auto"/>
                <w:w w:val="90"/>
              </w:rPr>
              <w:t>525 W. Monroe Street</w:t>
            </w:r>
          </w:p>
        </w:tc>
        <w:tc>
          <w:tcPr>
            <w:tcW w:w="4760" w:type="dxa"/>
            <w:vAlign w:val="bottom"/>
          </w:tcPr>
          <w:p>
            <w:pPr>
              <w:jc w:val="center"/>
              <w:ind w:left="2870"/>
              <w:spacing w:after="0"/>
              <w:rPr>
                <w:sz w:val="20"/>
                <w:szCs w:val="20"/>
                <w:color w:val="auto"/>
              </w:rPr>
            </w:pPr>
            <w:r>
              <w:rPr>
                <w:rFonts w:ascii="Arial" w:cs="Arial" w:eastAsia="Arial" w:hAnsi="Arial"/>
                <w:sz w:val="18"/>
                <w:szCs w:val="18"/>
                <w:color w:val="auto"/>
                <w:w w:val="93"/>
              </w:rPr>
              <w:t>Toronto, ON M5C 1C4</w:t>
            </w:r>
          </w:p>
        </w:tc>
      </w:tr>
      <w:tr>
        <w:trPr>
          <w:trHeight w:val="216"/>
        </w:trPr>
        <w:tc>
          <w:tcPr>
            <w:tcW w:w="2900" w:type="dxa"/>
            <w:vAlign w:val="bottom"/>
          </w:tcPr>
          <w:p>
            <w:pPr>
              <w:jc w:val="center"/>
              <w:ind w:right="530"/>
              <w:spacing w:after="0"/>
              <w:rPr>
                <w:sz w:val="20"/>
                <w:szCs w:val="20"/>
                <w:color w:val="auto"/>
              </w:rPr>
            </w:pPr>
            <w:r>
              <w:rPr>
                <w:rFonts w:ascii="Arial" w:cs="Arial" w:eastAsia="Arial" w:hAnsi="Arial"/>
                <w:sz w:val="18"/>
                <w:szCs w:val="18"/>
                <w:color w:val="auto"/>
                <w:w w:val="93"/>
              </w:rPr>
              <w:t>Chicago, IL 60661</w:t>
            </w:r>
          </w:p>
        </w:tc>
        <w:tc>
          <w:tcPr>
            <w:tcW w:w="4760" w:type="dxa"/>
            <w:vAlign w:val="bottom"/>
          </w:tcPr>
          <w:p>
            <w:pPr>
              <w:jc w:val="center"/>
              <w:ind w:left="2850"/>
              <w:spacing w:after="0"/>
              <w:rPr>
                <w:sz w:val="20"/>
                <w:szCs w:val="20"/>
                <w:color w:val="auto"/>
              </w:rPr>
            </w:pPr>
            <w:r>
              <w:rPr>
                <w:rFonts w:ascii="Arial" w:cs="Arial" w:eastAsia="Arial" w:hAnsi="Arial"/>
                <w:sz w:val="18"/>
                <w:szCs w:val="18"/>
                <w:color w:val="auto"/>
                <w:w w:val="92"/>
              </w:rPr>
              <w:t>(647) 259-1790</w:t>
            </w:r>
          </w:p>
        </w:tc>
      </w:tr>
      <w:tr>
        <w:trPr>
          <w:trHeight w:val="230"/>
        </w:trPr>
        <w:tc>
          <w:tcPr>
            <w:tcW w:w="2900" w:type="dxa"/>
            <w:vAlign w:val="bottom"/>
          </w:tcPr>
          <w:p>
            <w:pPr>
              <w:jc w:val="center"/>
              <w:ind w:right="530"/>
              <w:spacing w:after="0"/>
              <w:rPr>
                <w:sz w:val="20"/>
                <w:szCs w:val="20"/>
                <w:color w:val="auto"/>
              </w:rPr>
            </w:pPr>
            <w:r>
              <w:rPr>
                <w:rFonts w:ascii="Arial" w:cs="Arial" w:eastAsia="Arial" w:hAnsi="Arial"/>
                <w:sz w:val="18"/>
                <w:szCs w:val="18"/>
                <w:color w:val="auto"/>
                <w:w w:val="90"/>
              </w:rPr>
              <w:t>(312) 902-5200</w:t>
            </w:r>
          </w:p>
        </w:tc>
        <w:tc>
          <w:tcPr>
            <w:tcW w:w="4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soon as practicable after this Registration Statement becomes effective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Province of Ontario, Canada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jurisdiction regulating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shall become effective (check appropriate box below):</w:t>
      </w:r>
    </w:p>
    <w:p>
      <w:pPr>
        <w:spacing w:after="0" w:line="192" w:lineRule="exact"/>
        <w:rPr>
          <w:sz w:val="24"/>
          <w:szCs w:val="24"/>
          <w:color w:val="auto"/>
        </w:rPr>
      </w:pPr>
    </w:p>
    <w:p>
      <w:pPr>
        <w:ind w:left="660" w:hanging="652"/>
        <w:spacing w:after="0" w:line="239" w:lineRule="exact"/>
        <w:tabs>
          <w:tab w:leader="none" w:pos="336"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upon filing with the Commission, pursuant to Rule 467(a) (if in connection with an offering being made contemporaneously in the United States and Canada).</w:t>
      </w:r>
    </w:p>
    <w:p>
      <w:pPr>
        <w:spacing w:after="0" w:line="197"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at some future date (check the appropriate box below)</w:t>
      </w:r>
    </w:p>
    <w:p>
      <w:pPr>
        <w:spacing w:after="0" w:line="252" w:lineRule="exact"/>
        <w:rPr>
          <w:sz w:val="24"/>
          <w:szCs w:val="24"/>
          <w:color w:val="auto"/>
        </w:rPr>
      </w:pPr>
    </w:p>
    <w:tbl>
      <w:tblPr>
        <w:tblLayout w:type="fixed"/>
        <w:tblInd w:w="340" w:type="dxa"/>
        <w:tblCellMar>
          <w:top w:w="0" w:type="dxa"/>
          <w:left w:w="0" w:type="dxa"/>
          <w:bottom w:w="0" w:type="dxa"/>
          <w:right w:w="0" w:type="dxa"/>
        </w:tblCellMar>
      </w:tblPr>
      <w:tr>
        <w:trPr>
          <w:trHeight w:val="283"/>
        </w:trPr>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1.</w:t>
            </w:r>
          </w:p>
        </w:tc>
        <w:tc>
          <w:tcPr>
            <w:tcW w:w="3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80"/>
              <w:spacing w:after="0"/>
              <w:rPr>
                <w:sz w:val="20"/>
                <w:szCs w:val="20"/>
                <w:color w:val="auto"/>
              </w:rPr>
            </w:pPr>
            <w:r>
              <w:rPr>
                <w:rFonts w:ascii="Arial" w:cs="Arial" w:eastAsia="Arial" w:hAnsi="Arial"/>
                <w:sz w:val="18"/>
                <w:szCs w:val="18"/>
                <w:color w:val="auto"/>
                <w:w w:val="94"/>
              </w:rPr>
              <w:t>pursuant to Rule 467(b) on (</w:t>
            </w:r>
          </w:p>
        </w:tc>
        <w:tc>
          <w:tcPr>
            <w:tcW w:w="8120" w:type="dxa"/>
            <w:vAlign w:val="bottom"/>
          </w:tcPr>
          <w:p>
            <w:pPr>
              <w:ind w:left="40"/>
              <w:spacing w:after="0"/>
              <w:rPr>
                <w:sz w:val="20"/>
                <w:szCs w:val="20"/>
                <w:color w:val="auto"/>
              </w:rPr>
            </w:pPr>
            <w:r>
              <w:rPr>
                <w:rFonts w:ascii="Arial" w:cs="Arial" w:eastAsia="Arial" w:hAnsi="Arial"/>
                <w:sz w:val="18"/>
                <w:szCs w:val="18"/>
                <w:color w:val="auto"/>
              </w:rPr>
              <w:t>) at (  ) (designate a time not sooner than 7 calendar days after filing).</w:t>
            </w:r>
          </w:p>
        </w:tc>
      </w:tr>
      <w:tr>
        <w:trPr>
          <w:trHeight w:val="425"/>
        </w:trPr>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2.</w:t>
            </w:r>
          </w:p>
        </w:tc>
        <w:tc>
          <w:tcPr>
            <w:tcW w:w="3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80"/>
              <w:spacing w:after="0"/>
              <w:rPr>
                <w:sz w:val="20"/>
                <w:szCs w:val="20"/>
                <w:color w:val="auto"/>
              </w:rPr>
            </w:pPr>
            <w:r>
              <w:rPr>
                <w:rFonts w:ascii="Arial" w:cs="Arial" w:eastAsia="Arial" w:hAnsi="Arial"/>
                <w:sz w:val="18"/>
                <w:szCs w:val="18"/>
                <w:color w:val="auto"/>
                <w:w w:val="94"/>
              </w:rPr>
              <w:t>pursuant to Rule 467(b) on (</w:t>
            </w:r>
          </w:p>
        </w:tc>
        <w:tc>
          <w:tcPr>
            <w:tcW w:w="8120" w:type="dxa"/>
            <w:vAlign w:val="bottom"/>
          </w:tcPr>
          <w:p>
            <w:pPr>
              <w:ind w:left="100"/>
              <w:spacing w:after="0"/>
              <w:rPr>
                <w:sz w:val="20"/>
                <w:szCs w:val="20"/>
                <w:color w:val="auto"/>
              </w:rPr>
            </w:pPr>
            <w:r>
              <w:rPr>
                <w:rFonts w:ascii="Arial" w:cs="Arial" w:eastAsia="Arial" w:hAnsi="Arial"/>
                <w:sz w:val="18"/>
                <w:szCs w:val="18"/>
                <w:color w:val="auto"/>
                <w:w w:val="92"/>
              </w:rPr>
              <w:t>) at (  ) (designate a time 7 calendar days or sooner after filing) because the securities regulatory authority in</w:t>
            </w:r>
          </w:p>
        </w:tc>
      </w:tr>
      <w:tr>
        <w:trPr>
          <w:trHeight w:val="230"/>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rPr>
              <w:t>the review jurisdiction has issued a receipt or notification of clearance on (  ).</w:t>
            </w:r>
          </w:p>
        </w:tc>
      </w:tr>
    </w:tbl>
    <w:p>
      <w:pPr>
        <w:spacing w:after="0" w:line="196" w:lineRule="exact"/>
        <w:rPr>
          <w:sz w:val="24"/>
          <w:szCs w:val="24"/>
          <w:color w:val="auto"/>
        </w:rPr>
      </w:pPr>
    </w:p>
    <w:p>
      <w:pPr>
        <w:ind w:left="980" w:hanging="648"/>
        <w:spacing w:after="0" w:line="239" w:lineRule="exact"/>
        <w:tabs>
          <w:tab w:leader="none" w:pos="656"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9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after the filing of the next amendment to this Form (if preliminary material is being filed).</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125095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72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060" w:type="dxa"/>
            <w:vAlign w:val="bottom"/>
            <w:gridSpan w:val="2"/>
          </w:tcPr>
          <w:p>
            <w:pPr>
              <w:ind w:left="100"/>
              <w:spacing w:after="0"/>
              <w:rPr>
                <w:sz w:val="20"/>
                <w:szCs w:val="20"/>
                <w:color w:val="auto"/>
              </w:rPr>
            </w:pPr>
            <w:r>
              <w:rPr>
                <w:rFonts w:ascii="Arial" w:cs="Arial" w:eastAsia="Arial" w:hAnsi="Arial"/>
                <w:sz w:val="18"/>
                <w:szCs w:val="18"/>
                <w:b w:val="1"/>
                <w:bCs w:val="1"/>
                <w:color w:val="auto"/>
              </w:rPr>
              <w:t>CALCULATION OF REGISTRATION FEE</w:t>
            </w:r>
          </w:p>
        </w:tc>
        <w:tc>
          <w:tcPr>
            <w:tcW w:w="16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4"/>
        </w:trPr>
        <w:tc>
          <w:tcPr>
            <w:tcW w:w="38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4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4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44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40" w:type="dxa"/>
            <w:vAlign w:val="bottom"/>
          </w:tcPr>
          <w:p>
            <w:pPr>
              <w:ind w:left="1400"/>
              <w:spacing w:after="0"/>
              <w:rPr>
                <w:sz w:val="20"/>
                <w:szCs w:val="20"/>
                <w:color w:val="auto"/>
              </w:rPr>
            </w:pPr>
            <w:r>
              <w:rPr>
                <w:rFonts w:ascii="Arial" w:cs="Arial" w:eastAsia="Arial" w:hAnsi="Arial"/>
                <w:sz w:val="18"/>
                <w:szCs w:val="18"/>
                <w:b w:val="1"/>
                <w:bCs w:val="1"/>
                <w:color w:val="auto"/>
              </w:rPr>
              <w:t>Amount to be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Per Unit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Offering Price (1)</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w w:val="90"/>
              </w:rPr>
              <w:t>Title of Each Class of Securities to be Registered</w:t>
            </w:r>
          </w:p>
        </w:tc>
        <w:tc>
          <w:tcPr>
            <w:tcW w:w="2640" w:type="dxa"/>
            <w:vAlign w:val="bottom"/>
          </w:tcPr>
          <w:p>
            <w:pPr>
              <w:ind w:left="1380"/>
              <w:spacing w:after="0"/>
              <w:rPr>
                <w:sz w:val="20"/>
                <w:szCs w:val="20"/>
                <w:color w:val="auto"/>
              </w:rPr>
            </w:pPr>
            <w:r>
              <w:rPr>
                <w:rFonts w:ascii="Arial" w:cs="Arial" w:eastAsia="Arial" w:hAnsi="Arial"/>
                <w:sz w:val="18"/>
                <w:szCs w:val="18"/>
                <w:b w:val="1"/>
                <w:bCs w:val="1"/>
                <w:color w:val="auto"/>
              </w:rPr>
              <w:t>Registered (1)</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(1)(2)</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Registration Fee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Shares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Share Purchase Contracts</w:t>
      </w:r>
    </w:p>
    <w:p>
      <w:pPr>
        <w:spacing w:after="0"/>
        <w:tabs>
          <w:tab w:leader="none" w:pos="5000" w:val="left"/>
          <w:tab w:leader="none" w:pos="7420" w:val="left"/>
          <w:tab w:leader="none" w:pos="7940" w:val="left"/>
          <w:tab w:leader="none" w:pos="9560" w:val="left"/>
          <w:tab w:leader="none" w:pos="10620" w:val="left"/>
        </w:tabs>
        <w:rPr>
          <w:sz w:val="20"/>
          <w:szCs w:val="20"/>
          <w:color w:val="auto"/>
        </w:rPr>
      </w:pPr>
      <w:r>
        <w:rPr>
          <w:rFonts w:ascii="Arial" w:cs="Arial" w:eastAsia="Arial" w:hAnsi="Arial"/>
          <w:sz w:val="30"/>
          <w:szCs w:val="30"/>
          <w:color w:val="auto"/>
          <w:vertAlign w:val="superscript"/>
        </w:rPr>
        <w:t>Total</w:t>
      </w:r>
      <w:r>
        <w:rPr>
          <w:sz w:val="20"/>
          <w:szCs w:val="20"/>
          <w:color w:val="auto"/>
        </w:rPr>
        <w:tab/>
      </w:r>
      <w:r>
        <w:rPr>
          <w:rFonts w:ascii="Arial" w:cs="Arial" w:eastAsia="Arial" w:hAnsi="Arial"/>
          <w:sz w:val="16"/>
          <w:szCs w:val="16"/>
          <w:u w:val="single" w:color="auto"/>
          <w:color w:val="auto"/>
        </w:rPr>
        <w:t>US $  500,000,000</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u w:val="single" w:color="auto"/>
          <w:color w:val="auto"/>
        </w:rPr>
        <w:t>US $  500,000,000</w:t>
      </w:r>
      <w:r>
        <w:rPr>
          <w:sz w:val="20"/>
          <w:szCs w:val="20"/>
          <w:color w:val="auto"/>
        </w:rPr>
        <w:tab/>
      </w:r>
      <w:r>
        <w:rPr>
          <w:rFonts w:ascii="Arial" w:cs="Arial" w:eastAsia="Arial" w:hAnsi="Arial"/>
          <w:sz w:val="18"/>
          <w:szCs w:val="18"/>
          <w:color w:val="auto"/>
        </w:rPr>
        <w:t>US $</w:t>
      </w:r>
      <w:r>
        <w:rPr>
          <w:sz w:val="20"/>
          <w:szCs w:val="20"/>
          <w:color w:val="auto"/>
        </w:rPr>
        <w:tab/>
      </w:r>
      <w:r>
        <w:rPr>
          <w:rFonts w:ascii="Arial" w:cs="Arial" w:eastAsia="Arial" w:hAnsi="Arial"/>
          <w:sz w:val="16"/>
          <w:szCs w:val="16"/>
          <w:color w:val="auto"/>
        </w:rPr>
        <w:t>54,550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90" w:lineRule="exact"/>
        <w:rPr>
          <w:sz w:val="20"/>
          <w:szCs w:val="20"/>
          <w:color w:val="auto"/>
        </w:rPr>
      </w:pPr>
    </w:p>
    <w:p>
      <w:pPr>
        <w:jc w:val="both"/>
        <w:ind w:left="340" w:hanging="332"/>
        <w:spacing w:after="0" w:line="27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There are being registered under this Registration Statement such indeterminate number of common shares, warrants, subscription receipts, units, debt securities and share purchase contracts of Bitfarms Ltd. (the “</w:t>
      </w:r>
      <w:r>
        <w:rPr>
          <w:rFonts w:ascii="Arial" w:cs="Arial" w:eastAsia="Arial" w:hAnsi="Arial"/>
          <w:sz w:val="17"/>
          <w:szCs w:val="17"/>
          <w:b w:val="1"/>
          <w:bCs w:val="1"/>
          <w:color w:val="auto"/>
        </w:rPr>
        <w:t>Registrant</w:t>
      </w:r>
      <w:r>
        <w:rPr>
          <w:rFonts w:ascii="Arial" w:cs="Arial" w:eastAsia="Arial" w:hAnsi="Arial"/>
          <w:sz w:val="17"/>
          <w:szCs w:val="17"/>
          <w:color w:val="auto"/>
        </w:rPr>
        <w:t>”) as shall have an aggregate initial offering price not to exceed US$500,000,000 (or its equivalent thereof in Canadian dollars). The proposed maximum initial offering price per security will be determined, from time to time, by the Registrant in connection with the sale of the securities under this Registration Statement.</w:t>
      </w:r>
    </w:p>
    <w:p>
      <w:pPr>
        <w:spacing w:after="0" w:line="167" w:lineRule="exact"/>
        <w:rPr>
          <w:rFonts w:ascii="Arial" w:cs="Arial" w:eastAsia="Arial" w:hAnsi="Arial"/>
          <w:sz w:val="17"/>
          <w:szCs w:val="17"/>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457(o)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Registration Statement shall become effective as provided in Rule 467 under the Securities Act of 1933 or such date as the Commission, acting pursuant to Section 8(a) of the Act,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TO BE DELIVERED TO OFFEREES OR PURCHASERS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FF0000"/>
        </w:rPr>
        <w:t>This short form prospectus is a base shelf prospectus. This short form base shelf prospectus has been filed under legislation in each of the provinces and territories of Canada, that permits certain information about these securities to be determined after this short form base shelf prospectus has become final and that permits the omission from this short form base shelf prospectus of that information. The legislation requires the delivery to purchasers of a prospectus supplement containing the omitted information within a specified period of time after agreeing to purchase any of these securities, except in respect of any sales pursuant to an “at-the-market” distribution as contemplated by National Instrument 44-102 – Shelf Distributions.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Information contained herein is subject to completion or amendment. This prospectus shall not constitute an offer to sell or the solicitation of an offer to buy, nor shall there be any sale of securities in any state in which such offer, solicitation or sale would be unlawful prior to registration or qualification under the securities laws of any such state.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Information has been incorporated by reference in this short form base shelf prospectus from documents filed with the securities commissions or similar authorities in Canada. Copies of the documents incorporated herein by reference may be obtained on request without charge from the Chief Financial Officer of Bitfarms Ltd. at 18 King St. E, Suite 902, Toronto, ON M5C 1C4 (Telephone 647 259-1790), and are also available electronically at www.sedar.com.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 FORM BASE SHELF PROSPECTUS</w:t>
      </w:r>
    </w:p>
    <w:p>
      <w:pPr>
        <w:spacing w:after="0" w:line="229"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u w:val="single" w:color="auto"/>
          <w:color w:val="auto"/>
        </w:rPr>
        <w:t>New Issue and/or Secondary Offering</w:t>
      </w:r>
      <w:r>
        <w:rPr>
          <w:sz w:val="20"/>
          <w:szCs w:val="20"/>
          <w:color w:val="auto"/>
        </w:rPr>
        <w:tab/>
      </w:r>
      <w:r>
        <w:rPr>
          <w:rFonts w:ascii="Arial" w:cs="Arial" w:eastAsia="Arial" w:hAnsi="Arial"/>
          <w:sz w:val="16"/>
          <w:szCs w:val="16"/>
          <w:color w:val="auto"/>
        </w:rPr>
        <w:t>August 12,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154305</wp:posOffset>
            </wp:positionV>
            <wp:extent cx="252031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US$500,000,000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Receipts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Purchase Contracts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short form base shelf prospectus relates to the offering for sale from time to time, during the 25-month period that this prospectus, including any amendments hereto, remains effective, of the securities of Bitfarms Ltd.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Bitfarms</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xml:space="preserve">”) listed above in one or more series or issuances, with a total offering price of such securities, in the aggregate, of up to </w:t>
      </w:r>
      <w:r>
        <w:rPr>
          <w:rFonts w:ascii="Arial" w:cs="Arial" w:eastAsia="Arial" w:hAnsi="Arial"/>
          <w:sz w:val="17"/>
          <w:szCs w:val="17"/>
          <w:b w:val="1"/>
          <w:bCs w:val="1"/>
          <w:color w:val="auto"/>
        </w:rPr>
        <w:t>US$500,000,000</w:t>
      </w:r>
      <w:r>
        <w:rPr>
          <w:rFonts w:ascii="Arial" w:cs="Arial" w:eastAsia="Arial" w:hAnsi="Arial"/>
          <w:sz w:val="17"/>
          <w:szCs w:val="17"/>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common shares of the Company (“</w:t>
      </w:r>
      <w:r>
        <w:rPr>
          <w:rFonts w:ascii="Arial" w:cs="Arial" w:eastAsia="Arial" w:hAnsi="Arial"/>
          <w:sz w:val="17"/>
          <w:szCs w:val="17"/>
          <w:b w:val="1"/>
          <w:bCs w:val="1"/>
          <w:color w:val="auto"/>
        </w:rPr>
        <w:t>Common Shares</w:t>
      </w:r>
      <w:r>
        <w:rPr>
          <w:rFonts w:ascii="Arial" w:cs="Arial" w:eastAsia="Arial" w:hAnsi="Arial"/>
          <w:sz w:val="17"/>
          <w:szCs w:val="17"/>
          <w:color w:val="auto"/>
        </w:rPr>
        <w:t>”) are listed for trading on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under the trading symbol “BITF” and on the TSX Venture Exchange (the “</w:t>
      </w:r>
      <w:r>
        <w:rPr>
          <w:rFonts w:ascii="Arial" w:cs="Arial" w:eastAsia="Arial" w:hAnsi="Arial"/>
          <w:sz w:val="17"/>
          <w:szCs w:val="17"/>
          <w:b w:val="1"/>
          <w:bCs w:val="1"/>
          <w:color w:val="auto"/>
        </w:rPr>
        <w:t>TSXV</w:t>
      </w:r>
      <w:r>
        <w:rPr>
          <w:rFonts w:ascii="Arial" w:cs="Arial" w:eastAsia="Arial" w:hAnsi="Arial"/>
          <w:sz w:val="17"/>
          <w:szCs w:val="17"/>
          <w:color w:val="auto"/>
        </w:rPr>
        <w:t>”) under the trading symbol “BITF”. On August 11, 2021, being the last complete trading day prior to the date hereof, the closing price of the Common Shares on the TSXV and Nasdaq was C$8.83 and US$7.08, respectively.</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Arial" w:cs="Arial" w:eastAsia="Arial" w:hAnsi="Arial"/>
          <w:sz w:val="16"/>
          <w:szCs w:val="16"/>
          <w:b w:val="1"/>
          <w:bCs w:val="1"/>
          <w:color w:val="auto"/>
        </w:rPr>
        <w:t>There is currently no market through which the</w:t>
      </w:r>
    </w:p>
    <w:p>
      <w:pPr>
        <w:jc w:val="both"/>
        <w:spacing w:after="0" w:line="302" w:lineRule="auto"/>
        <w:rPr>
          <w:sz w:val="20"/>
          <w:szCs w:val="20"/>
          <w:color w:val="auto"/>
        </w:rPr>
      </w:pPr>
      <w:r>
        <w:rPr>
          <w:rFonts w:ascii="Arial" w:cs="Arial" w:eastAsia="Arial" w:hAnsi="Arial"/>
          <w:sz w:val="16"/>
          <w:szCs w:val="16"/>
          <w:b w:val="1"/>
          <w:bCs w:val="1"/>
          <w:color w:val="auto"/>
        </w:rPr>
        <w:t>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7"/>
          <w:szCs w:val="17"/>
          <w:b w:val="1"/>
          <w:bCs w:val="1"/>
          <w:color w:val="auto"/>
        </w:rPr>
        <w:t>Prospective investors should be aware that the acquisition of the Company’s securities described herein may have tax consequences in both Canada and/or the United States. This prospectus or any applicable prospectus supplement may not describe these tax consequences fully. Such consequences for investors who are resident in, or citizens of, the United States may not be described fully in the applicable prospectus supplement. You should read the tax discussion in any applicable prospectus supplement with respect to any particular offering and consult your own tax advisor with respect to your own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underwriter has been involved in the preparation of this prospectus or performed any review of the contents of this prospectus.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Arial" w:cs="Arial" w:eastAsia="Arial" w:hAnsi="Arial"/>
          <w:sz w:val="17"/>
          <w:szCs w:val="17"/>
          <w:b w:val="1"/>
          <w:bCs w:val="1"/>
          <w:color w:val="auto"/>
        </w:rPr>
        <w:t>NI 44-102</w:t>
      </w:r>
      <w:r>
        <w:rPr>
          <w:rFonts w:ascii="Arial" w:cs="Arial" w:eastAsia="Arial" w:hAnsi="Arial"/>
          <w:sz w:val="17"/>
          <w:szCs w:val="17"/>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TSXV, the Nasdaq, or other existing trading markets for the Securities, and as set forth in a prospectus supplement for such purpose.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Arial" w:cs="Arial" w:eastAsia="Arial" w:hAnsi="Arial"/>
          <w:sz w:val="18"/>
          <w:szCs w:val="18"/>
          <w:b w:val="1"/>
          <w:bCs w:val="1"/>
          <w:i w:val="1"/>
          <w:iCs w:val="1"/>
          <w:color w:val="auto"/>
        </w:rPr>
        <w:t>SECONDARY OFFERING BY SELLING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SECURITYHOLDERS”</w:t>
      </w:r>
      <w:r>
        <w:rPr>
          <w:rFonts w:ascii="Arial" w:cs="Arial" w:eastAsia="Arial" w:hAnsi="Arial"/>
          <w:sz w:val="18"/>
          <w:szCs w:val="18"/>
          <w:b w:val="1"/>
          <w:bCs w:val="1"/>
          <w:color w:val="auto"/>
        </w:rPr>
        <w:t>.</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w:t>
      </w:r>
    </w:p>
    <w:p>
      <w:pPr>
        <w:spacing w:after="0" w:line="4" w:lineRule="exact"/>
        <w:rPr>
          <w:sz w:val="20"/>
          <w:szCs w:val="20"/>
          <w:color w:val="auto"/>
        </w:rPr>
      </w:pPr>
    </w:p>
    <w:p>
      <w:pPr>
        <w:jc w:val="both"/>
        <w:ind w:firstLine="8"/>
        <w:spacing w:after="0" w:line="267" w:lineRule="auto"/>
        <w:tabs>
          <w:tab w:leader="none" w:pos="317"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Arial" w:cs="Arial" w:eastAsia="Arial" w:hAnsi="Arial"/>
          <w:sz w:val="17"/>
          <w:szCs w:val="17"/>
          <w:b w:val="1"/>
          <w:bCs w:val="1"/>
          <w:color w:val="auto"/>
        </w:rPr>
        <w:t>Selling Securityholders</w:t>
      </w:r>
      <w:r>
        <w:rPr>
          <w:rFonts w:ascii="Arial" w:cs="Arial" w:eastAsia="Arial" w:hAnsi="Arial"/>
          <w:sz w:val="17"/>
          <w:szCs w:val="17"/>
          <w:color w:val="auto"/>
        </w:rPr>
        <w:t>” and each a “</w:t>
      </w:r>
      <w:r>
        <w:rPr>
          <w:rFonts w:ascii="Arial" w:cs="Arial" w:eastAsia="Arial" w:hAnsi="Arial"/>
          <w:sz w:val="17"/>
          <w:szCs w:val="17"/>
          <w:b w:val="1"/>
          <w:bCs w:val="1"/>
          <w:color w:val="auto"/>
        </w:rPr>
        <w:t>Selling Securityholder</w:t>
      </w:r>
      <w:r>
        <w:rPr>
          <w:rFonts w:ascii="Arial" w:cs="Arial" w:eastAsia="Arial" w:hAnsi="Arial"/>
          <w:sz w:val="17"/>
          <w:szCs w:val="17"/>
          <w:color w:val="auto"/>
        </w:rPr>
        <w:t>”). See “</w:t>
      </w:r>
      <w:r>
        <w:rPr>
          <w:rFonts w:ascii="Arial" w:cs="Arial" w:eastAsia="Arial" w:hAnsi="Arial"/>
          <w:sz w:val="17"/>
          <w:szCs w:val="17"/>
          <w:i w:val="1"/>
          <w:iCs w:val="1"/>
          <w:color w:val="auto"/>
        </w:rPr>
        <w:t>SECONDARY OFFERING BY SELLING</w:t>
      </w:r>
      <w:r>
        <w:rPr>
          <w:rFonts w:ascii="Arial" w:cs="Arial" w:eastAsia="Arial" w:hAnsi="Arial"/>
          <w:sz w:val="17"/>
          <w:szCs w:val="17"/>
          <w:color w:val="auto"/>
        </w:rPr>
        <w:t xml:space="preserve"> </w:t>
      </w:r>
      <w:r>
        <w:rPr>
          <w:rFonts w:ascii="Arial" w:cs="Arial" w:eastAsia="Arial" w:hAnsi="Arial"/>
          <w:sz w:val="17"/>
          <w:szCs w:val="17"/>
          <w:i w:val="1"/>
          <w:iCs w:val="1"/>
          <w:color w:val="auto"/>
        </w:rPr>
        <w:t>SECURITYHOLDERS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17"/>
          <w:szCs w:val="17"/>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One of the Company’s material subsidiaries, namely Bitfarms Ltd. (Israel), is incorporated under the laws of Israel and some of the Company’s directors and officers, namely: Emiliano Joel Grodzki, Nicolas Bonta, Andres Finkielsztain, and Jeffrey Lucas reside outside of Canada and have appointed the Company at its registered office set forth below as their agent for service of process in Canada.</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THESE SECURITIES HAVE NOT BEEN APPROVED OR DISAPPROVED BY THE UNITED STATES SECURITIES AND EXCHANGE COMMISSION (THE “SEC”) NOR ANY STATE SECURITIES COMMISSION OR REGULATORY AUTHORITY NOR HAS THE SEC OR ANY STATE SECURITIES COMMISSION PASSED UPON THE ACCURACY OR ADEQUACY OF THIS PROSPECTUS. ANY REPRESENTATION TO THE CONTRARY IS A CRIMINAL OFFENSE.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located at 18 King St. E, Suite 902, Toronto, ON M5C 1C4.</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6"/>
          </w:tcPr>
          <w:p>
            <w:pPr>
              <w:ind w:left="48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ABOUT THIS PROSPECTUS</w:t>
              </w:r>
            </w:hyperlink>
          </w:p>
        </w:tc>
        <w:tc>
          <w:tcPr>
            <w:tcW w:w="6380" w:type="dxa"/>
            <w:vAlign w:val="bottom"/>
            <w:tcBorders>
              <w:bottom w:val="single" w:sz="8" w:color="CCEEFF"/>
            </w:tcBorders>
            <w:gridSpan w:val="1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8620" w:type="dxa"/>
            <w:vAlign w:val="bottom"/>
            <w:gridSpan w:val="2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CAUTIONARY NOTE REGARDING FORWARD-LOOKING STATEMENTS</w:t>
              </w:r>
            </w:hyperlink>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DOCUMENTS INCORPORATED BY REFERENCE</w:t>
              </w:r>
            </w:hyperlink>
          </w:p>
        </w:tc>
        <w:tc>
          <w:tcPr>
            <w:tcW w:w="470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4</w:t>
            </w:r>
          </w:p>
        </w:tc>
      </w:tr>
      <w:tr>
        <w:trPr>
          <w:trHeight w:val="175"/>
        </w:trPr>
        <w:tc>
          <w:tcPr>
            <w:tcW w:w="8620" w:type="dxa"/>
            <w:vAlign w:val="bottom"/>
            <w:gridSpan w:val="28"/>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CURRENCY PRESENTATION AND EXCHANGE RATE INFORMATION</w:t>
              </w:r>
            </w:hyperlink>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DOCUMENTS FILED AS PART OF THE REGISTRATION STATEMENT</w:t>
              </w:r>
            </w:hyperlink>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8620" w:type="dxa"/>
            <w:vAlign w:val="bottom"/>
            <w:gridSpan w:val="28"/>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AVAILABLE INFORMATION</w:t>
              </w:r>
            </w:hyperlink>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THE COMPANY</w:t>
              </w:r>
            </w:hyperlink>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128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PROMOTERS</w:t>
              </w:r>
            </w:hyperlink>
          </w:p>
        </w:tc>
        <w:tc>
          <w:tcPr>
            <w:tcW w:w="7340" w:type="dxa"/>
            <w:vAlign w:val="bottom"/>
            <w:tcBorders>
              <w:top w:val="single" w:sz="8" w:color="CCEEFF"/>
            </w:tcBorders>
            <w:gridSpan w:val="2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14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SECONDARY OFFERING BY SELLING SECURITYHOLDERS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14</w:t>
            </w:r>
          </w:p>
        </w:tc>
      </w:tr>
      <w:tr>
        <w:trPr>
          <w:trHeight w:val="176"/>
        </w:trPr>
        <w:tc>
          <w:tcPr>
            <w:tcW w:w="486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376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8"/>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CONSOLIDATED CAPITALIZATION</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PRIOR SALES</w:t>
              </w:r>
            </w:hyperlink>
          </w:p>
        </w:tc>
        <w:tc>
          <w:tcPr>
            <w:tcW w:w="7480" w:type="dxa"/>
            <w:vAlign w:val="bottom"/>
            <w:tcBorders>
              <w:bottom w:val="single" w:sz="8" w:color="CCEEFF"/>
            </w:tcBorders>
            <w:gridSpan w:val="2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8620" w:type="dxa"/>
            <w:vAlign w:val="bottom"/>
            <w:gridSpan w:val="28"/>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TRADING PRICE AND VOLUME</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EARNINGS COVERAGE</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8"/>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SHARE CAPITAL</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5580" w:type="dxa"/>
            <w:vAlign w:val="bottom"/>
            <w:tcBorders>
              <w:bottom w:val="single" w:sz="8" w:color="CCEEFF"/>
            </w:tcBorders>
            <w:gridSpan w:val="12"/>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8620" w:type="dxa"/>
            <w:vAlign w:val="bottom"/>
            <w:gridSpan w:val="28"/>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WARRANTS</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8"/>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UNITS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8"/>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SUBSCRIPTION RECEIPTS</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SHARE PURCHASE CONTRACTS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35</w:t>
            </w:r>
          </w:p>
        </w:tc>
      </w:tr>
      <w:tr>
        <w:trPr>
          <w:trHeight w:val="176"/>
        </w:trPr>
        <w:tc>
          <w:tcPr>
            <w:tcW w:w="418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PLAN OF DISTRIBUTION</w:t>
              </w:r>
            </w:hyperlink>
          </w:p>
        </w:tc>
        <w:tc>
          <w:tcPr>
            <w:tcW w:w="4440" w:type="dxa"/>
            <w:vAlign w:val="bottom"/>
            <w:tcBorders>
              <w:top w:val="single" w:sz="8" w:color="CCEEFF"/>
            </w:tcBorders>
            <w:gridSpan w:val="6"/>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CERTAIN INCOME TAX CONSIDERATIONS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37</w:t>
            </w:r>
          </w:p>
        </w:tc>
      </w:tr>
      <w:tr>
        <w:trPr>
          <w:trHeight w:val="176"/>
        </w:trPr>
        <w:tc>
          <w:tcPr>
            <w:tcW w:w="350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51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AUDITORS, TRANSFER AGENT AND REGISTRAR</w:t>
              </w:r>
            </w:hyperlink>
          </w:p>
        </w:tc>
        <w:tc>
          <w:tcPr>
            <w:tcW w:w="456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38</w:t>
            </w:r>
          </w:p>
        </w:tc>
      </w:tr>
      <w:tr>
        <w:trPr>
          <w:trHeight w:val="175"/>
        </w:trPr>
        <w:tc>
          <w:tcPr>
            <w:tcW w:w="8620" w:type="dxa"/>
            <w:vAlign w:val="bottom"/>
            <w:gridSpan w:val="28"/>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AGENTS FOR SERVICE OF PROCESS</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EXEMPTIONS UNDER SECURITIES LAWS</w:t>
              </w:r>
            </w:hyperlink>
          </w:p>
        </w:tc>
        <w:tc>
          <w:tcPr>
            <w:tcW w:w="520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4780" w:type="dxa"/>
            <w:vAlign w:val="bottom"/>
            <w:tcBorders>
              <w:bottom w:val="single" w:sz="8" w:color="0000EE"/>
            </w:tcBorders>
            <w:gridSpan w:val="23"/>
          </w:tcPr>
          <w:p>
            <w:pPr>
              <w:spacing w:after="0" w:line="17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STATUTORY RIGHTS OF WITHDRAWAL AND RESCISSION</w:t>
              </w:r>
            </w:hyperlink>
          </w:p>
        </w:tc>
        <w:tc>
          <w:tcPr>
            <w:tcW w:w="3840" w:type="dxa"/>
            <w:vAlign w:val="bottom"/>
            <w:gridSpan w:val="5"/>
          </w:tcPr>
          <w:p>
            <w:pPr>
              <w:spacing w:after="0"/>
              <w:rPr>
                <w:sz w:val="15"/>
                <w:szCs w:val="15"/>
                <w:color w:val="auto"/>
              </w:rPr>
            </w:pP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39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future price of cryptocurrencies, such as Bitcoin and the other types of digital assets which Bitfarms and its subsidiaries mine, hold and trade;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intended use of net proceeds from the sale of its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securities the Company intends to issue;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pricing for services and solutions in the businesses of the Company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liquidity and market price of the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expectations regarding the sufficiency of its capital resources and requirements for additional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decrease of the market price of the Common Shares if the Company’s shareholders sell substantial amounts of Common Shares;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future sales or issuances of equity securities diluting voting power and reducing future earnings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absence of a market through which the Company’s securities, other than Common Shares, may be sold;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governmental laws and regulations; and</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outbreak as a global pandemic.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or in the United States through EDGAR at the website of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Other material factors or assumptions that were applied in formulating the forward-looking statements contained herein include or relate to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and economic conditions affecting the Company’s operations in their current state, including, general levels of economic activity, regulations, taxes and interest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profitably generate cryptocurrencies;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successfully acquire and maintain required regulatory licenses and qualifications;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historical prices of cryptocurrencies;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emerging cryptocurrency and blockchain markets and sectors;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maintain good business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manage and integrate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identify, hire and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raise sufficient debt or equity financing to support the Company’s continued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does not suffer a material impact or disruption from a cybersecurity incident, cyber-attack or theft of digital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maintenance and development of cryptocurrency mining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growth in usage and in the blockchain for various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development of a stable public infrastructure, with the necessary speed, data capacity and security required to operate blockchain networks;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absence of adverse regulation or law;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absence of material changes in the legislative, regulatory or operating framework for the Company’s existing and anticipated business.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limited operating history.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capital needs and uncertainty of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price fluctuations.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for the Company to manage its planned growth and expansion.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Possibility of cessation of monetization of cryptocurrencies.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history of de-centralized financial system.</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obsolescence and difficulty in obtaining hardware.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volatility of cryptocurrencies.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Bitcoin Halving Events.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Cryptocurrency network difficulty and impact of increased global computing power.</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 risks.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profits/losses and production revenues/expenses.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Cryptocurrency exchanges are new and mostly unregulated.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Discretion regarding use by the Company of available funds.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regulations.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liability.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development of existing and planned facilities.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non-availability of insurance.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of widespread use of cryptocurrency.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COVID-19 pandemic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 looking statements.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Discretion over use of proceeds.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Absence of a public market for certain of the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Unsecured debt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 of changes in interest rates on debt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 of fluctuations in foreign currency markets on debt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Trading price of Common Shares and volatility.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on these and other factors is discussed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and in the documents incorporated by reference herein including in the 2020 MD&amp;A (as defined herein) under the headings “Financial Instruments and Risks” and “Other Risks” and in the 2020 AIF (as defined herein) under the heading “Risk Factors”, as may be modified or superseded by other subsequently filed documents that are also incorporated or deemed to be incorporated by reference in this prospectus.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has been incorporated by reference in this short form base shelf prospectus from documents filed with the securities commissions or similar authorities in Canada and filed with, or furnished to, the SEC.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Copies of the documents incorporated herein by reference may be obtained on request without charge from the Chief Financial Officer of Bitfarms at 18 King St. E, Suite 902, Toronto, ON M5C 1C4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Arial" w:cs="Arial" w:eastAsia="Arial" w:hAnsi="Arial"/>
          <w:sz w:val="18"/>
          <w:szCs w:val="18"/>
          <w:b w:val="1"/>
          <w:bCs w:val="1"/>
          <w:color w:val="auto"/>
        </w:rPr>
        <w:t>SEDAR</w:t>
      </w:r>
      <w:r>
        <w:rPr>
          <w:rFonts w:ascii="Arial" w:cs="Arial" w:eastAsia="Arial" w:hAnsi="Arial"/>
          <w:sz w:val="18"/>
          <w:szCs w:val="18"/>
          <w:color w:val="auto"/>
        </w:rPr>
        <w:t>”) at www.sedar.com or in the United States through EDGAR at the website of the SEC at www.sec.gov. The filings of the Company available on the Company’s website, SEDAR and EDGAR are not incorporated by reference in this prospectus except as specifically set out herein. .</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spacing w:after="0" w:line="166" w:lineRule="exact"/>
        <w:rPr>
          <w:sz w:val="20"/>
          <w:szCs w:val="20"/>
          <w:color w:val="auto"/>
        </w:rPr>
      </w:pPr>
    </w:p>
    <w:p>
      <w:pPr>
        <w:ind w:left="660" w:right="2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annual information form for the year ended December 31, 2020, dated as at April 7, 2021 and filed on April 7, 2021 (the “</w:t>
      </w:r>
      <w:r>
        <w:rPr>
          <w:rFonts w:ascii="Arial" w:cs="Arial" w:eastAsia="Arial" w:hAnsi="Arial"/>
          <w:sz w:val="18"/>
          <w:szCs w:val="18"/>
          <w:b w:val="1"/>
          <w:bCs w:val="1"/>
          <w:color w:val="auto"/>
        </w:rPr>
        <w:t>2020</w:t>
      </w:r>
      <w:r>
        <w:rPr>
          <w:rFonts w:ascii="Arial" w:cs="Arial" w:eastAsia="Arial" w:hAnsi="Arial"/>
          <w:sz w:val="18"/>
          <w:szCs w:val="18"/>
          <w:color w:val="auto"/>
        </w:rPr>
        <w:t xml:space="preserve"> </w:t>
      </w:r>
      <w:r>
        <w:rPr>
          <w:rFonts w:ascii="Arial" w:cs="Arial" w:eastAsia="Arial" w:hAnsi="Arial"/>
          <w:sz w:val="18"/>
          <w:szCs w:val="18"/>
          <w:b w:val="1"/>
          <w:bCs w:val="1"/>
          <w:color w:val="auto"/>
        </w:rPr>
        <w:t>AIF</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audited consolidated financial statements for the years ended December 31, 2020 and 2019 the notes thereto and the independent auditors’ reports thereon, filed on April 13, 2021 (the “</w:t>
      </w:r>
      <w:r>
        <w:rPr>
          <w:rFonts w:ascii="Arial" w:cs="Arial" w:eastAsia="Arial" w:hAnsi="Arial"/>
          <w:sz w:val="18"/>
          <w:szCs w:val="18"/>
          <w:b w:val="1"/>
          <w:bCs w:val="1"/>
          <w:color w:val="auto"/>
        </w:rPr>
        <w:t>2020 Annual Financial Statements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annual management’s discussion and analysis for the year ended December 31, 2020, dated as at March 24, 2021 and filed on March 25, 2021 (the “</w:t>
      </w:r>
      <w:r>
        <w:rPr>
          <w:rFonts w:ascii="Arial" w:cs="Arial" w:eastAsia="Arial" w:hAnsi="Arial"/>
          <w:sz w:val="18"/>
          <w:szCs w:val="18"/>
          <w:b w:val="1"/>
          <w:bCs w:val="1"/>
          <w:color w:val="auto"/>
        </w:rPr>
        <w:t>2020 MD&amp;A</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circular dated January 2, 2020 with respect to a special meeting of shareholders (“</w:t>
      </w:r>
      <w:r>
        <w:rPr>
          <w:rFonts w:ascii="Arial" w:cs="Arial" w:eastAsia="Arial" w:hAnsi="Arial"/>
          <w:sz w:val="18"/>
          <w:szCs w:val="18"/>
          <w:b w:val="1"/>
          <w:bCs w:val="1"/>
          <w:color w:val="auto"/>
        </w:rPr>
        <w:t>Shareholders</w:t>
      </w:r>
      <w:r>
        <w:rPr>
          <w:rFonts w:ascii="Arial" w:cs="Arial" w:eastAsia="Arial" w:hAnsi="Arial"/>
          <w:sz w:val="18"/>
          <w:szCs w:val="18"/>
          <w:color w:val="auto"/>
        </w:rPr>
        <w:t>”) held on February 4, 2020, filed on January 13, 2020;</w:t>
      </w:r>
    </w:p>
    <w:p>
      <w:pPr>
        <w:spacing w:after="0" w:line="16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January 4, 2021 relating to the announcement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January 7, 2021 relating to the closing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January 11, 2021 relating to the announcement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closing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resignation of Mathieu Vachon as Chief Information Officer and a Director of the Company;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February 4, 2021 relating to the corporate update of the Company’s computing power expansion and other activity;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February 8, 2021 relating to the announcement of a brokered private placement in the United States for aggregate gross proceeds of C$40,000,000;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February 10, 2021 relating to the closing of a brokered private placement in the United States for aggregate gross proceeds of C$40,000,000;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February 18, 2021 relating to the installation of cryptocurrency mining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328" w:hanging="328"/>
        <w:spacing w:after="0"/>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material change report dated February 23, 2021 relating to the update of the Company’s operating hash rate and full repayment of term loan;</w:t>
      </w:r>
    </w:p>
    <w:p>
      <w:pPr>
        <w:spacing w:after="0" w:line="153" w:lineRule="exact"/>
        <w:rPr>
          <w:rFonts w:ascii="Arial" w:cs="Arial" w:eastAsia="Arial" w:hAnsi="Arial"/>
          <w:sz w:val="16"/>
          <w:szCs w:val="16"/>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March 2, 2021 relating to the purchase of cryptocurrency mining equipment;</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March 12, 2021 relating to the entering into a marketing and consulting agreement with CORE IR;</w:t>
      </w:r>
    </w:p>
    <w:p>
      <w:pPr>
        <w:spacing w:after="0" w:line="13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March 24, 2021 relating to the entering into of a hosting agreement with Blockware Solutions LLC and Blockware Mining LLC in the United States;</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March 25, 2021 relating to the filing of the 2020 Annual Financial Statements;</w:t>
      </w:r>
    </w:p>
    <w:p>
      <w:pPr>
        <w:spacing w:after="0" w:line="13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April 1, 2021 relating to the appointment of Mr. Darcy Donelle as Vice President of Corporate Development and the grant of stock options;</w:t>
      </w:r>
    </w:p>
    <w:p>
      <w:pPr>
        <w:spacing w:after="0" w:line="7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April 16, 2021 relating to the acquisition of equipment, its cryptocurrency inventory, and the application to list the Company’s common shares on the Nasdaq Stock Market;</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April 19, 2021 relating to the Company’s expansion project in South America;</w:t>
      </w:r>
    </w:p>
    <w:p>
      <w:pPr>
        <w:spacing w:after="0" w:line="13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April 23, 2021 relating to the Company’s acquisition of 2,465 Whatsminer M30S Bitcoin mining machines through its strategic partnership with Foundry Digital LLC;</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April 26, 2021 relating to the Company’s update of its expansion plans in the Province of Quebec;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May 6, 2021 relating to the purchase of 6,600 S19j Pro Antminers;</w:t>
      </w:r>
    </w:p>
    <w:p>
      <w:pPr>
        <w:spacing w:after="0" w:line="13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May 7, 2021 relating to the approval of the Company’s application to list the Common Shares on the Nasdaq Global Market®;</w:t>
      </w:r>
    </w:p>
    <w:p>
      <w:pPr>
        <w:spacing w:after="0" w:line="75"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May 12, 2021 relating to the Company’s strategic relationship with MicroBT, one of the leading manufacturers of Bitcoin mining equipment in the world;</w:t>
      </w:r>
    </w:p>
    <w:p>
      <w:pPr>
        <w:spacing w:after="0" w:line="7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May 17, 2021 relating to the announcement of a brokered private placement in the United States for aggregate gross proceeds of C$75,000,000;</w:t>
      </w:r>
    </w:p>
    <w:p>
      <w:pPr>
        <w:spacing w:after="0" w:line="7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May 20, 2021 relating to the closing of a brokered private placement in the United States for aggregate gross proceeds of C$75,000,000;</w:t>
      </w:r>
    </w:p>
    <w:p>
      <w:pPr>
        <w:spacing w:after="0" w:line="71"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management’s discussion and analysis for the three months ended March 31, 2021 and filed on May 26, 2021 (the “</w:t>
      </w:r>
      <w:r>
        <w:rPr>
          <w:rFonts w:ascii="Arial" w:cs="Arial" w:eastAsia="Arial" w:hAnsi="Arial"/>
          <w:sz w:val="18"/>
          <w:szCs w:val="18"/>
          <w:b w:val="1"/>
          <w:bCs w:val="1"/>
          <w:color w:val="auto"/>
        </w:rPr>
        <w:t>2021 Q1</w:t>
      </w:r>
      <w:r>
        <w:rPr>
          <w:rFonts w:ascii="Arial" w:cs="Arial" w:eastAsia="Arial" w:hAnsi="Arial"/>
          <w:sz w:val="18"/>
          <w:szCs w:val="18"/>
          <w:color w:val="auto"/>
        </w:rPr>
        <w:t xml:space="preserve"> </w:t>
      </w:r>
      <w:r>
        <w:rPr>
          <w:rFonts w:ascii="Arial" w:cs="Arial" w:eastAsia="Arial" w:hAnsi="Arial"/>
          <w:sz w:val="18"/>
          <w:szCs w:val="18"/>
          <w:b w:val="1"/>
          <w:bCs w:val="1"/>
          <w:color w:val="auto"/>
        </w:rPr>
        <w:t>Interim MD&amp;A</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Company’s unaudited interim consolidated financial statements for the three months ended March 31, 2021 and filed on May 26, 2021;</w:t>
      </w:r>
    </w:p>
    <w:p>
      <w:pPr>
        <w:spacing w:after="0" w:line="142" w:lineRule="exact"/>
        <w:rPr>
          <w:rFonts w:ascii="Arial" w:cs="Arial" w:eastAsia="Arial" w:hAnsi="Arial"/>
          <w:sz w:val="17"/>
          <w:szCs w:val="17"/>
          <w:color w:val="auto"/>
        </w:rPr>
      </w:pPr>
    </w:p>
    <w:p>
      <w:pPr>
        <w:ind w:left="328" w:hanging="328"/>
        <w:spacing w:after="0"/>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material change report dated May 26, 2021 relating to the Company’s report on the results of its first quarter of the 2021 financial year;</w:t>
      </w:r>
    </w:p>
    <w:p>
      <w:pPr>
        <w:spacing w:after="0" w:line="145" w:lineRule="exact"/>
        <w:rPr>
          <w:rFonts w:ascii="Arial" w:cs="Arial" w:eastAsia="Arial" w:hAnsi="Arial"/>
          <w:sz w:val="17"/>
          <w:szCs w:val="17"/>
          <w:color w:val="auto"/>
        </w:rPr>
      </w:pPr>
    </w:p>
    <w:p>
      <w:pPr>
        <w:ind w:left="328" w:hanging="328"/>
        <w:spacing w:after="0" w:line="197" w:lineRule="auto"/>
        <w:tabs>
          <w:tab w:leader="none" w:pos="328" w:val="left"/>
        </w:tabs>
        <w:numPr>
          <w:ilvl w:val="0"/>
          <w:numId w:val="10"/>
        </w:numPr>
        <w:rPr>
          <w:rFonts w:ascii="Arial" w:cs="Arial" w:eastAsia="Arial" w:hAnsi="Arial"/>
          <w:sz w:val="34"/>
          <w:szCs w:val="34"/>
          <w:color w:val="auto"/>
          <w:vertAlign w:val="superscript"/>
        </w:rPr>
      </w:pPr>
      <w:r>
        <w:rPr>
          <w:rFonts w:ascii="Arial" w:cs="Arial" w:eastAsia="Arial" w:hAnsi="Arial"/>
          <w:sz w:val="17"/>
          <w:szCs w:val="17"/>
          <w:color w:val="auto"/>
        </w:rPr>
        <w:t>the material change report dated May 28, 2021 relating to the announcement of the Company’s mining and deposit into custody of its 1000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Bitcoin;</w:t>
      </w:r>
    </w:p>
    <w:p>
      <w:pPr>
        <w:spacing w:after="0" w:line="108" w:lineRule="exact"/>
        <w:rPr>
          <w:rFonts w:ascii="Arial" w:cs="Arial" w:eastAsia="Arial" w:hAnsi="Arial"/>
          <w:sz w:val="34"/>
          <w:szCs w:val="34"/>
          <w:color w:val="auto"/>
          <w:vertAlign w:val="superscript"/>
        </w:rPr>
      </w:pPr>
    </w:p>
    <w:p>
      <w:pPr>
        <w:ind w:left="328" w:hanging="328"/>
        <w:spacing w:after="0" w:line="308"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material change report dated June 3, 2021 relating to the appointment of Jeffrey Lucas as Chief Financial Officer, effective as of June 14, 2021, and the promotion of certain members of management of the Company and the grant of options to purchase Common Shares;</w:t>
      </w:r>
    </w:p>
    <w:p>
      <w:pPr>
        <w:spacing w:after="0" w:line="47" w:lineRule="exact"/>
        <w:rPr>
          <w:rFonts w:ascii="Arial" w:cs="Arial" w:eastAsia="Arial" w:hAnsi="Arial"/>
          <w:sz w:val="17"/>
          <w:szCs w:val="17"/>
          <w:color w:val="auto"/>
        </w:rPr>
      </w:pPr>
    </w:p>
    <w:p>
      <w:pPr>
        <w:ind w:left="328" w:hanging="328"/>
        <w:spacing w:after="0" w:line="282"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circular dated April 28, 2021 with respect to an annual general and special meeting of Shareholders (the “</w:t>
      </w:r>
      <w:r>
        <w:rPr>
          <w:rFonts w:ascii="Arial" w:cs="Arial" w:eastAsia="Arial" w:hAnsi="Arial"/>
          <w:sz w:val="18"/>
          <w:szCs w:val="18"/>
          <w:b w:val="1"/>
          <w:bCs w:val="1"/>
          <w:color w:val="auto"/>
        </w:rPr>
        <w:t>2021 Meeting</w:t>
      </w:r>
      <w:r>
        <w:rPr>
          <w:rFonts w:ascii="Arial" w:cs="Arial" w:eastAsia="Arial" w:hAnsi="Arial"/>
          <w:sz w:val="18"/>
          <w:szCs w:val="18"/>
          <w:color w:val="auto"/>
        </w:rPr>
        <w:t>”) to be held on June 25, 2021, filed on June 4, 2021;</w:t>
      </w:r>
    </w:p>
    <w:p>
      <w:pPr>
        <w:spacing w:after="0" w:line="71"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June 9, 2021 relating to the receipt and deployment of the previously announced 1,500 M31S+ Miners and the approval of the listing of the Common Shares on the Nasdaq Global Market® listing;</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June 10, 2021 relating to an update to the Company’s Bitcoin production;</w:t>
      </w:r>
    </w:p>
    <w:p>
      <w:pPr>
        <w:spacing w:after="0" w:line="13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change report dated June 18, 2021 relating to the commencement of the trading of the Company’s common shares on the Nasdaq Stock Market on June 21, 2021;</w:t>
      </w:r>
    </w:p>
    <w:p>
      <w:pPr>
        <w:spacing w:after="0" w:line="200" w:lineRule="exact"/>
        <w:rPr>
          <w:sz w:val="20"/>
          <w:szCs w:val="20"/>
          <w:color w:val="auto"/>
        </w:rPr>
      </w:pPr>
    </w:p>
    <w:p>
      <w:pPr>
        <w:spacing w:after="0" w:line="3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1" w:name="page12"/>
    <w:bookmarkEnd w:id="11"/>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material change report dated June 23, 2021 relating to a reminder to Shareholders of the 2021 Meeting;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material change report dated June 30, 2021 relating to the grant of Options (as defined hereinbelow) and restricted share units to certain officers, directors, and directors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material change report dated July 14, 2021 relating to a cryptocurrency production update;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material change report dated August 5, 2021 relating to an update to the Company’s Bitcoin production.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high, low, average and closing rates for the U.S. dollar in terms of Canadian dollars for each of the financial periods indicated below, as quoted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of Canada,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Three Months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ended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9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00" w:type="dxa"/>
            <w:vAlign w:val="bottom"/>
            <w:gridSpan w:val="2"/>
          </w:tcPr>
          <w:p>
            <w:pPr>
              <w:jc w:val="right"/>
              <w:ind w:right="150"/>
              <w:spacing w:after="0"/>
              <w:rPr>
                <w:sz w:val="20"/>
                <w:szCs w:val="20"/>
                <w:color w:val="auto"/>
              </w:rPr>
            </w:pPr>
            <w:r>
              <w:rPr>
                <w:rFonts w:ascii="Arial" w:cs="Arial" w:eastAsia="Arial" w:hAnsi="Arial"/>
                <w:sz w:val="18"/>
                <w:szCs w:val="18"/>
                <w:color w:val="auto"/>
                <w:w w:val="96"/>
              </w:rPr>
              <w:t>(expressed in Canadian dollars)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1.2828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1.4496</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1.4496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Low</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1.2455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1.2970</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1.2718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1.2660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1.3449</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Closing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1.2575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1.4187</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1.2732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On August 11, 2021, the daily exchange rate for the U.S. dollar in terms of Canadian dollars, as quoted by the Bank of Canada, was $1.00 = C$1.2506.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documents have been, or will be, filed with the SEC as part of the Registration Statement, of which this prospectus forms a part: (1) the documents listed under “</w:t>
      </w:r>
      <w:r>
        <w:rPr>
          <w:rFonts w:ascii="Arial" w:cs="Arial" w:eastAsia="Arial" w:hAnsi="Arial"/>
          <w:sz w:val="18"/>
          <w:szCs w:val="18"/>
          <w:i w:val="1"/>
          <w:iCs w:val="1"/>
          <w:color w:val="auto"/>
        </w:rPr>
        <w:t>DOCUMENTS INCORPORATED BY REFERENCE</w:t>
      </w:r>
      <w:r>
        <w:rPr>
          <w:rFonts w:ascii="Arial" w:cs="Arial" w:eastAsia="Arial" w:hAnsi="Arial"/>
          <w:sz w:val="18"/>
          <w:szCs w:val="18"/>
          <w:color w:val="auto"/>
        </w:rPr>
        <w:t>”; (2) the consent of Kost Forer Gabby &amp; Kasierer; (3) the consent of PricewaterhouseCoopers LLP; (4) powers of attorney from certain of the Company’s directors and officers; and (5) the forms of senior and subordinated indenture relating to the debt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“Risk Factors”, as well as the documents incorporated by reference into this prospectus and the applicable prospectus supplement, before making an investment decision.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was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on October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registered and head office located at 18 King St. E, Suite 902, Toronto, ON M5C 1C4.</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Company’s Common Shares are listed for trading on the Nasdaq under the trading symbol (“</w:t>
      </w:r>
      <w:r>
        <w:rPr>
          <w:rFonts w:ascii="Arial" w:cs="Arial" w:eastAsia="Arial" w:hAnsi="Arial"/>
          <w:sz w:val="18"/>
          <w:szCs w:val="18"/>
          <w:b w:val="1"/>
          <w:bCs w:val="1"/>
          <w:color w:val="auto"/>
        </w:rPr>
        <w:t>BITF</w:t>
      </w:r>
      <w:r>
        <w:rPr>
          <w:rFonts w:ascii="Arial" w:cs="Arial" w:eastAsia="Arial" w:hAnsi="Arial"/>
          <w:sz w:val="18"/>
          <w:szCs w:val="18"/>
          <w:color w:val="auto"/>
        </w:rPr>
        <w:t>”) and on the TSXV under the trading symbol “BITF”.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 principal material subsidiaries of the Company as of the date 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380" w:type="dxa"/>
            <w:vAlign w:val="bottom"/>
          </w:tcPr>
          <w:p>
            <w:pPr>
              <w:ind w:left="1240"/>
              <w:spacing w:after="0"/>
              <w:rPr>
                <w:sz w:val="20"/>
                <w:szCs w:val="20"/>
                <w:color w:val="auto"/>
              </w:rPr>
            </w:pPr>
            <w:r>
              <w:rPr>
                <w:rFonts w:ascii="Arial" w:cs="Arial" w:eastAsia="Arial" w:hAnsi="Arial"/>
                <w:sz w:val="18"/>
                <w:szCs w:val="18"/>
                <w:b w:val="1"/>
                <w:bCs w:val="1"/>
                <w:color w:val="auto"/>
              </w:rPr>
              <w:t>Jurisdiction</w:t>
            </w:r>
          </w:p>
        </w:tc>
        <w:tc>
          <w:tcPr>
            <w:tcW w:w="100" w:type="dxa"/>
            <w:vAlign w:val="bottom"/>
          </w:tcPr>
          <w:p>
            <w:pPr>
              <w:spacing w:after="0"/>
              <w:rPr>
                <w:sz w:val="20"/>
                <w:szCs w:val="20"/>
                <w:color w:val="auto"/>
              </w:rPr>
            </w:pPr>
          </w:p>
        </w:tc>
        <w:tc>
          <w:tcPr>
            <w:tcW w:w="3360" w:type="dxa"/>
            <w:vAlign w:val="bottom"/>
          </w:tcPr>
          <w:p>
            <w:pPr>
              <w:ind w:left="1240"/>
              <w:spacing w:after="0"/>
              <w:rPr>
                <w:sz w:val="20"/>
                <w:szCs w:val="20"/>
                <w:color w:val="auto"/>
              </w:rPr>
            </w:pPr>
            <w:r>
              <w:rPr>
                <w:rFonts w:ascii="Arial" w:cs="Arial" w:eastAsia="Arial" w:hAnsi="Arial"/>
                <w:sz w:val="18"/>
                <w:szCs w:val="18"/>
                <w:b w:val="1"/>
                <w:bCs w:val="1"/>
                <w:color w:val="auto"/>
              </w:rPr>
              <w:t>Assets Held</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Bitfarms Ltd.</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Backbone Hosting Solutions Inc.</w:t>
            </w:r>
          </w:p>
        </w:tc>
        <w:tc>
          <w:tcPr>
            <w:tcW w:w="3380" w:type="dxa"/>
            <w:vAlign w:val="bottom"/>
          </w:tcPr>
          <w:p>
            <w:pPr>
              <w:spacing w:after="0"/>
              <w:rPr>
                <w:sz w:val="20"/>
                <w:szCs w:val="20"/>
                <w:color w:val="auto"/>
              </w:rPr>
            </w:pPr>
            <w:r>
              <w:rPr>
                <w:rFonts w:ascii="Arial" w:cs="Arial" w:eastAsia="Arial" w:hAnsi="Arial"/>
                <w:sz w:val="18"/>
                <w:szCs w:val="18"/>
                <w:color w:val="auto"/>
              </w:rPr>
              <w:t>Canada</w:t>
            </w:r>
          </w:p>
        </w:tc>
        <w:tc>
          <w:tcPr>
            <w:tcW w:w="3460" w:type="dxa"/>
            <w:vAlign w:val="bottom"/>
            <w:gridSpan w:val="2"/>
          </w:tcPr>
          <w:p>
            <w:pPr>
              <w:ind w:left="100"/>
              <w:spacing w:after="0"/>
              <w:rPr>
                <w:sz w:val="20"/>
                <w:szCs w:val="20"/>
                <w:color w:val="auto"/>
              </w:rPr>
            </w:pPr>
            <w:r>
              <w:rPr>
                <w:rFonts w:ascii="Arial" w:cs="Arial" w:eastAsia="Arial" w:hAnsi="Arial"/>
                <w:sz w:val="18"/>
                <w:szCs w:val="18"/>
                <w:color w:val="auto"/>
              </w:rPr>
              <w:t>Computer equipment, cryptocurrency</w:t>
            </w: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9159-9290 Québec Inc. (operating under the name “Volta</w:t>
            </w: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Quebec</w:t>
            </w:r>
          </w:p>
        </w:tc>
        <w:tc>
          <w:tcPr>
            <w:tcW w:w="34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Provides professional electrical services to</w:t>
            </w:r>
          </w:p>
        </w:tc>
      </w:tr>
      <w:tr>
        <w:trPr>
          <w:trHeight w:val="216"/>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Électronique Inc.”)</w:t>
            </w:r>
          </w:p>
        </w:tc>
        <w:tc>
          <w:tcPr>
            <w:tcW w:w="33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Backbone Hosting Solutions Inc. and outside</w:t>
            </w:r>
          </w:p>
        </w:tc>
      </w:tr>
      <w:tr>
        <w:trPr>
          <w:trHeight w:val="230"/>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customers</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Summary Description of the Business</w:t>
            </w: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primary business is the mining of cryptocurrency coins and tokens. Backbone Hosting Solutions Inc. (“</w:t>
      </w:r>
      <w:r>
        <w:rPr>
          <w:rFonts w:ascii="Arial" w:cs="Arial" w:eastAsia="Arial" w:hAnsi="Arial"/>
          <w:sz w:val="18"/>
          <w:szCs w:val="18"/>
          <w:b w:val="1"/>
          <w:bCs w:val="1"/>
          <w:color w:val="auto"/>
        </w:rPr>
        <w:t>Backbone</w:t>
      </w:r>
      <w:r>
        <w:rPr>
          <w:rFonts w:ascii="Arial" w:cs="Arial" w:eastAsia="Arial" w:hAnsi="Arial"/>
          <w:sz w:val="18"/>
          <w:szCs w:val="18"/>
          <w:color w:val="auto"/>
        </w:rPr>
        <w:t>”) owns and operates server farms, comprised of computers (each herein referred to as, a “</w:t>
      </w:r>
      <w:r>
        <w:rPr>
          <w:rFonts w:ascii="Arial" w:cs="Arial" w:eastAsia="Arial" w:hAnsi="Arial"/>
          <w:sz w:val="18"/>
          <w:szCs w:val="18"/>
          <w:b w:val="1"/>
          <w:bCs w:val="1"/>
          <w:color w:val="auto"/>
        </w:rPr>
        <w:t>Miner</w:t>
      </w:r>
      <w:r>
        <w:rPr>
          <w:rFonts w:ascii="Arial" w:cs="Arial" w:eastAsia="Arial" w:hAnsi="Arial"/>
          <w:sz w:val="18"/>
          <w:szCs w:val="18"/>
          <w:color w:val="auto"/>
        </w:rPr>
        <w:t>”) primarily configured for the purpose of validating transactions on cryptocurrency network blockchains, and predominately the Bitcoin network blockchain. Backbone’s server farms currently mine Bitcoin and in the past have also mined Litecoin, Bitcoin Cash, Dash and Ethereum. Income is earned from the cryptocurrencies rewarded for validating a “block” of transactions and from the transaction fees it receives in return for securing and processing transactions (herein referred to as, “</w:t>
      </w:r>
      <w:r>
        <w:rPr>
          <w:rFonts w:ascii="Arial" w:cs="Arial" w:eastAsia="Arial" w:hAnsi="Arial"/>
          <w:sz w:val="18"/>
          <w:szCs w:val="18"/>
          <w:b w:val="1"/>
          <w:bCs w:val="1"/>
          <w:color w:val="auto"/>
        </w:rPr>
        <w:t>Mining</w:t>
      </w:r>
      <w:r>
        <w:rPr>
          <w:rFonts w:ascii="Arial" w:cs="Arial" w:eastAsia="Arial" w:hAnsi="Arial"/>
          <w:sz w:val="18"/>
          <w:szCs w:val="18"/>
          <w:color w:val="auto"/>
        </w:rPr>
        <w:t>”). Backbone exchanges cryptocurrencies mined into U.S. dollars, as needed, through reputable cryptocurrency trading platforms. In the description of the business of the Company in this short form base shelf prospectus:</w:t>
      </w:r>
    </w:p>
    <w:p>
      <w:pPr>
        <w:spacing w:after="0" w:line="18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Bitcoin</w:t>
      </w:r>
      <w:r>
        <w:rPr>
          <w:rFonts w:ascii="Arial" w:cs="Arial" w:eastAsia="Arial" w:hAnsi="Arial"/>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shall refer to the new bitcoins that are awarded by the Blockchain network to eligible cryptocurrency Miners for each block they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successfully mine. The current block reward is 6.25 Bitcoin per block;</w:t>
      </w:r>
    </w:p>
    <w:p>
      <w:pPr>
        <w:spacing w:after="0" w:line="162"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b w:val="1"/>
          <w:bCs w:val="1"/>
          <w:color w:val="auto"/>
        </w:rPr>
        <w:t xml:space="preserve">“Blockchain” </w:t>
      </w:r>
      <w:r>
        <w:rPr>
          <w:rFonts w:ascii="Arial" w:cs="Arial" w:eastAsia="Arial" w:hAnsi="Arial"/>
          <w:sz w:val="16"/>
          <w:szCs w:val="16"/>
          <w:color w:val="auto"/>
        </w:rPr>
        <w:t>shall refer to a cloud-based public ledger that exists on computers that participate on the network globally. The Blockchain grows</w:t>
      </w:r>
      <w:r>
        <w:rPr>
          <w:rFonts w:ascii="Arial" w:cs="Arial" w:eastAsia="Arial" w:hAnsi="Arial"/>
          <w:sz w:val="16"/>
          <w:szCs w:val="16"/>
          <w:b w:val="1"/>
          <w:bCs w:val="1"/>
          <w:color w:val="auto"/>
        </w:rPr>
        <w:t xml:space="preserve"> </w:t>
      </w:r>
      <w:r>
        <w:rPr>
          <w:rFonts w:ascii="Arial" w:cs="Arial" w:eastAsia="Arial" w:hAnsi="Arial"/>
          <w:sz w:val="16"/>
          <w:szCs w:val="16"/>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54"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“Hash” </w:t>
      </w:r>
      <w:r>
        <w:rPr>
          <w:rFonts w:ascii="Arial" w:cs="Arial" w:eastAsia="Arial" w:hAnsi="Arial"/>
          <w:sz w:val="18"/>
          <w:szCs w:val="18"/>
          <w:color w:val="auto"/>
        </w:rPr>
        <w:t>shall refer to a function that converts or maps an input of letters and numbers into an encrypted output of a fixed length, which outputs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often referred to as hashes. A hash is created using an algorithm. The algorithm used in the validation of Bitcoin transactions is the SHA-256 algorithm.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b w:val="1"/>
          <w:bCs w:val="1"/>
          <w:color w:val="auto"/>
        </w:rPr>
        <w:t xml:space="preserve">“Hashrate” </w:t>
      </w:r>
      <w:r>
        <w:rPr>
          <w:rFonts w:ascii="Arial" w:cs="Arial" w:eastAsia="Arial" w:hAnsi="Arial"/>
          <w:sz w:val="16"/>
          <w:szCs w:val="16"/>
          <w:color w:val="auto"/>
        </w:rPr>
        <w:t>shall refer to the number of hash operations performed per second and is a measure of computing power in Mining cryptocurrency;</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Mining Pool</w:t>
      </w:r>
      <w:r>
        <w:rPr>
          <w:rFonts w:ascii="Arial" w:cs="Arial" w:eastAsia="Arial" w:hAnsi="Arial"/>
          <w:sz w:val="18"/>
          <w:szCs w:val="18"/>
          <w:color w:val="auto"/>
        </w:rPr>
        <w:t>” shall refer to a group of cryptocurrency Miners who pool their computational resources, or Hashrate, in order to increase the probability of finding a block on the Bitcoin Blockchain. Mining pools administer regular payouts to mitigate the risk of Miners operating for a prolonged period of time without finding a block; and</w:t>
      </w:r>
    </w:p>
    <w:p>
      <w:pPr>
        <w:spacing w:after="0" w:line="17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shall refer to a megawatt, which is 1,000 kilowatts of electricity and, in the industry of cryptocurrency mining, is typically a reference to the number of megawatts of electricity per hour that is available for use.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operates through two operating corporate subsidiaries and reportable segments: Backbone and 9159-9290 Quebec Inc. (Volta Electrique, “</w:t>
      </w:r>
      <w:r>
        <w:rPr>
          <w:rFonts w:ascii="Arial" w:cs="Arial" w:eastAsia="Arial" w:hAnsi="Arial"/>
          <w:sz w:val="18"/>
          <w:szCs w:val="18"/>
          <w:b w:val="1"/>
          <w:bCs w:val="1"/>
          <w:color w:val="auto"/>
        </w:rPr>
        <w:t>Volta</w:t>
      </w:r>
      <w:r>
        <w:rPr>
          <w:rFonts w:ascii="Arial" w:cs="Arial" w:eastAsia="Arial" w:hAnsi="Arial"/>
          <w:sz w:val="18"/>
          <w:szCs w:val="18"/>
          <w:color w:val="auto"/>
        </w:rPr>
        <w:t>”). Backbone owns and operates server farms, comprised of Miners designed for the purpose of validating transactions, primarily on the Bitcoin Blockchain. The Miners operate 24 hours a day and revenue is earned from Block Rewards and transaction fees issued in the form of cryptocurrencies by the Bitcoin network to a Mining Pool from which the Company receives cryptocurrencies in return for contributing its hashrate which the Mining Pool uses to validate transactions (referred to as “</w:t>
      </w:r>
      <w:r>
        <w:rPr>
          <w:rFonts w:ascii="Arial" w:cs="Arial" w:eastAsia="Arial" w:hAnsi="Arial"/>
          <w:sz w:val="18"/>
          <w:szCs w:val="18"/>
          <w:b w:val="1"/>
          <w:bCs w:val="1"/>
          <w:color w:val="auto"/>
        </w:rPr>
        <w:t>Mining</w:t>
      </w:r>
      <w:r>
        <w:rPr>
          <w:rFonts w:ascii="Arial" w:cs="Arial" w:eastAsia="Arial" w:hAnsi="Arial"/>
          <w:sz w:val="18"/>
          <w:szCs w:val="18"/>
          <w:color w:val="auto"/>
        </w:rPr>
        <w: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five server farm facilities in Québec, Canada, with electrical infrastructure capacity of 69 MW for Mining Bitcoin. The Company has contracts securing an aggregate of 160 MW of hydro-electric green energy in Quebec. In addition, Bitfarms owns proprietary software that is used to control, manage, report and secure mining operations. The software scans and reports the location, computing power and temperature of all Miners at regular intervals to allow the Company to monitor performance and ensure Miners are operating at maximum capacity and up-time.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Volta assists the Company in building and maintaining its server farms, while also providing electrician services to both commercial and residential customers in Québec.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operating and maintenance expenses are primarily composed of electricity to power its computing equipment as well as cooling and lighting and other aspects of operating computer equipment. Other site expenses include leasing costs for the facilities, personnel salaries, internet access, equipment maintenance and software optimization, and facility security, maintenance and management.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facilities are strategically located in geographical locations where electricity costs are low due to an abundance of green energy such as hydro power.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estimated working capital of the Company at June 30, 2021 is approximately $75 million. The Company raised capital in 2021 through four private placement financings and the exercise of outstanding warrants. The increase in the Company’s working capital through 2021 is also attributable to a significant increase in the price of Bitcoin relative to prior years. As of the date hereof, the Company holds over 1,800 Bitcoins.</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Company’s cash operating expenditures are estimated to approximate $36 million for the next 12 months, or about $3 million per month based on approximately $2 million per month for energy costs of the Company’s Quebec infrastructure of 69 MW at the contractual energy price of approximately $0.04 USD/KwH, facilities expense of approximately $0.1 million per month, cash compensation expense of approximately $0.4 million per month and the balance for recurring professional fees and other ongoing general and administrative expenses of approximately $0.5 million per month. Offsetting the impact to the Company’s working capital of the cash operating expenditures are the generation of Bitcoin from operations. In the most recently completed month, July 2021, the Company generated 391 Bitcoin with value at July 31 ,2021, of approximately $16.3 million. The Company’s existing operations are contributing positively to the Company’s working capital position and will allow it to continue operations for the foreseeable future, under current Bitcoin price and difficulty conditions. As described under </w:t>
      </w:r>
      <w:r>
        <w:rPr>
          <w:rFonts w:ascii="Arial" w:cs="Arial" w:eastAsia="Arial" w:hAnsi="Arial"/>
          <w:sz w:val="16"/>
          <w:szCs w:val="16"/>
          <w:i w:val="1"/>
          <w:iCs w:val="1"/>
          <w:color w:val="auto"/>
        </w:rPr>
        <w:t>“USE OF PROCEEDS”</w:t>
      </w:r>
      <w:r>
        <w:rPr>
          <w:rFonts w:ascii="Arial" w:cs="Arial" w:eastAsia="Arial" w:hAnsi="Arial"/>
          <w:sz w:val="16"/>
          <w:szCs w:val="16"/>
          <w:color w:val="auto"/>
        </w:rPr>
        <w:t xml:space="preserve">, the Company’s planned capital expenditures over the next 18 months are anticipated to be approximately $315 million to $345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Arial" w:cs="Arial" w:eastAsia="Arial" w:hAnsi="Arial"/>
          <w:sz w:val="16"/>
          <w:szCs w:val="16"/>
          <w:i w:val="1"/>
          <w:iCs w:val="1"/>
          <w:color w:val="auto"/>
        </w:rPr>
        <w:t>“USE OF PROCEEDS – Business Objectives and Milestones”</w:t>
      </w:r>
      <w:r>
        <w:rPr>
          <w:rFonts w:ascii="Arial" w:cs="Arial" w:eastAsia="Arial" w:hAnsi="Arial"/>
          <w:sz w:val="16"/>
          <w:szCs w:val="16"/>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As of the date of this prospectus, the Company has raised approximately C$155 million in the 2021 financial year through private placements as well as approximately $40 million from the exercise of warrants. In addition, the Company may be able to raise an additional approximately $97 million from the exercise of outstanding warrants to purchase Common Shares. In addition to the foregoing and the proceeds of any financing pursuant to this prospectus, the Company intends to finance its business objectives from equipment finance debt facilities from existing and new lenders to the Company as well as borrowing against, or if necessary, liquidating, its Bitcoin inventory. Liquidating or borrowing against the Company’s Bitcoin inventory will not impact the Company’s operating activities and its revenue stream from ongoing Mining operations.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 detailed information regarding the business of the Company as well as its mining operations can be found in the 2020 AIF under the heading “</w:t>
      </w:r>
      <w:r>
        <w:rPr>
          <w:rFonts w:ascii="Arial" w:cs="Arial" w:eastAsia="Arial" w:hAnsi="Arial"/>
          <w:sz w:val="18"/>
          <w:szCs w:val="18"/>
          <w:i w:val="1"/>
          <w:iCs w:val="1"/>
          <w:color w:val="auto"/>
        </w:rPr>
        <w:t>DESCRIPTION OF THE BUSINESS – Description of the Busines</w:t>
      </w:r>
      <w:r>
        <w:rPr>
          <w:rFonts w:ascii="Arial" w:cs="Arial" w:eastAsia="Arial" w:hAnsi="Arial"/>
          <w:sz w:val="18"/>
          <w:szCs w:val="18"/>
          <w:color w:val="auto"/>
        </w:rPr>
        <w:t>s”, the 2020 MD&amp;A and the Interim MD&amp;A, all of which are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Custody of Crypto Assets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Backbone’s crypto assets, currently Bitcoin, is mined to multi-signature wallets that Backbone controls. Backbone transfers Bitcoin from its multi-signature wallets to external third-party custodians on a regular basis, specifically Gemini Trust Company, LLC (“</w:t>
      </w:r>
      <w:r>
        <w:rPr>
          <w:rFonts w:ascii="Arial" w:cs="Arial" w:eastAsia="Arial" w:hAnsi="Arial"/>
          <w:sz w:val="17"/>
          <w:szCs w:val="17"/>
          <w:b w:val="1"/>
          <w:bCs w:val="1"/>
          <w:color w:val="auto"/>
        </w:rPr>
        <w:t>Gemini Custody</w:t>
      </w:r>
      <w:r>
        <w:rPr>
          <w:rFonts w:ascii="Arial" w:cs="Arial" w:eastAsia="Arial" w:hAnsi="Arial"/>
          <w:sz w:val="17"/>
          <w:szCs w:val="17"/>
          <w:color w:val="auto"/>
        </w:rPr>
        <w:t>”) and Coinbase Custody Trust Company, LLC (“</w:t>
      </w:r>
      <w:r>
        <w:rPr>
          <w:rFonts w:ascii="Arial" w:cs="Arial" w:eastAsia="Arial" w:hAnsi="Arial"/>
          <w:sz w:val="17"/>
          <w:szCs w:val="17"/>
          <w:b w:val="1"/>
          <w:bCs w:val="1"/>
          <w:color w:val="auto"/>
        </w:rPr>
        <w:t>Coinbase Custody</w:t>
      </w:r>
      <w:r>
        <w:rPr>
          <w:rFonts w:ascii="Arial" w:cs="Arial" w:eastAsia="Arial" w:hAnsi="Arial"/>
          <w:sz w:val="17"/>
          <w:szCs w:val="17"/>
          <w:color w:val="auto"/>
        </w:rPr>
        <w:t>”, and together with Gemini Custody, the “</w:t>
      </w:r>
      <w:r>
        <w:rPr>
          <w:rFonts w:ascii="Arial" w:cs="Arial" w:eastAsia="Arial" w:hAnsi="Arial"/>
          <w:sz w:val="17"/>
          <w:szCs w:val="17"/>
          <w:b w:val="1"/>
          <w:bCs w:val="1"/>
          <w:color w:val="auto"/>
        </w:rPr>
        <w:t>Custodians</w:t>
      </w:r>
      <w:r>
        <w:rPr>
          <w:rFonts w:ascii="Arial" w:cs="Arial" w:eastAsia="Arial" w:hAnsi="Arial"/>
          <w:sz w:val="17"/>
          <w:szCs w:val="17"/>
          <w:color w:val="auto"/>
        </w:rPr>
        <w:t>”). Both Gemini Custody and Coinbase Custody are U.S. based fiduciary and qualified custodians under New York Banking Law and are licensed by the State of New York to custody digital assets. Currently, both of the Custodians provide only custodial services to Backbone and do not use sub-custodians at this time. Gemini Trust Company, LLC is a New York State-chartered limited purpose trust company that is authorized under Article III § 96 of the New York Banking Law to provide certain custodial services, and it is a “Qualified Custodian” as defined by the New York Codes, Rules and Regulations Title 23, Part 200.2(n). Coinbase Custody is a fiduciary § 100 of the New York Banking Law and is licensed to custody its clients’ digital assets in trust on their behalf. Coinbase Custody is a qualified custodian for purposes of § 206 (4) -2(d)(6) of the Advisers Act.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early January 2021, the Company implemented a pilot Bitcoin retention program, pursuant to which the Company has added over 1,800 Bitcoin to its balance sheet as of the date hereof. See the 2020 AIF under the heading “</w:t>
      </w:r>
      <w:r>
        <w:rPr>
          <w:rFonts w:ascii="Arial" w:cs="Arial" w:eastAsia="Arial" w:hAnsi="Arial"/>
          <w:sz w:val="17"/>
          <w:szCs w:val="17"/>
          <w:i w:val="1"/>
          <w:iCs w:val="1"/>
          <w:color w:val="auto"/>
        </w:rPr>
        <w:t>Risk Factors – Possibility of Less Frequent or Cessation of Monetization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Cryptocurrencies</w:t>
      </w:r>
      <w:r>
        <w:rPr>
          <w:rFonts w:ascii="Arial" w:cs="Arial" w:eastAsia="Arial" w:hAnsi="Arial"/>
          <w:sz w:val="17"/>
          <w:szCs w:val="17"/>
          <w:color w:val="auto"/>
        </w:rPr>
        <w:t>”. As of the date of this prospectus, the Company currently maintains 100% of its cryptocurrency holdings in custody.</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Gemini Custody maintains an insurance policy of $200 million for its cold storage. Gemini Custody recently announced in excess of $20 billion in cryptocurrencies under custody. As a result, if Gemini Custody were to experience a loss of cryptocurrency assets in excess of $200 million, it is likely that a significant portion of the Company’s cryptocurrency under custody would not be covered by this insurance policy. Coinbase Custody maintains an insurance policy of $255 million for hot, warm and cold storage and recently announced in excess of $90 billion in assets on their platform, of which more than 50% are under custody. As a result, if Coinbase Custody were to experience a loss of cryptocurrency assets in excess of $255 million, it is likely that a significant portion of the Company’s cryptocurrency under custody would not be covered by this insurance policy. The Company is unaware of any security breaches that have occurred involving Gemini Custody or Coinbase Custody which have resulted in crypto assets being lost or stolen. Regardless of efforts made by the Company to securely store and safeguard assets, there can be no assurance that crypto assets will not be defalcated through hacking or other forms of theft. See “</w:t>
      </w:r>
      <w:r>
        <w:rPr>
          <w:rFonts w:ascii="Arial" w:cs="Arial" w:eastAsia="Arial" w:hAnsi="Arial"/>
          <w:sz w:val="17"/>
          <w:szCs w:val="17"/>
          <w:i w:val="1"/>
          <w:iCs w:val="1"/>
          <w:color w:val="auto"/>
        </w:rPr>
        <w:t>SECONDARY OFFERING BY SELLING SECURITYHOLDERS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 and Liquidity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23, 2021, the Company announced that it acquired 2,465 Miners from Foundry Digital LLC. Under the terms of this arrangement, the Company entered into four separate loan agreements for a total of approximately $14.7 million, each repayable in 18 monthly instalments at a stated interest rate of 16.5%, maturing from October 2022 through April 2023. In addition, the Company converted three previously announced finance leases to loans, each repayable in weekly payments maturing from August 2022 through September 2022, with effective interest rates ranging from 18%-22%. The total annual payments for these loans, from the date hereof until their maturity, are approximately $5.6 million, $11.8 million and $0.9 million in 2021, 2022 and 2023,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Update to Cowansville Facility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expansion of the Company’s facility located in Cowansville, Quebec (the “</w:t>
      </w:r>
      <w:r>
        <w:rPr>
          <w:rFonts w:ascii="Arial" w:cs="Arial" w:eastAsia="Arial" w:hAnsi="Arial"/>
          <w:sz w:val="18"/>
          <w:szCs w:val="18"/>
          <w:b w:val="1"/>
          <w:bCs w:val="1"/>
          <w:color w:val="auto"/>
        </w:rPr>
        <w:t>Cowansville Facility</w:t>
      </w:r>
      <w:r>
        <w:rPr>
          <w:rFonts w:ascii="Arial" w:cs="Arial" w:eastAsia="Arial" w:hAnsi="Arial"/>
          <w:sz w:val="18"/>
          <w:szCs w:val="18"/>
          <w:color w:val="auto"/>
        </w:rPr>
        <w:t>”) began in February 2021 with the placing of orders for transformers, racking and other building related materials/items and remains on schedule. As of the date hereof, the Company has spent approximately $1.9 million on the expansion and intends to spend the remaining planned amount of approximately $0.5 million to $1.0 million on further expansion work at the Cowansville Facility.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anticipates completing the remaining work in the third quarter of the 2021 financial year. The total cost of the infrastructure buildout, excluding Miners, is estimated at between $3.0 million and $3.5 million. The Cowansville Facility is expected to operate approximately 17 MW of mining hardware with similar operating margins as the Company’s other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Officers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 2021, the Company announced that Mr. Jeffrey Lucas was appointed as the Chief Financial Officer of the Company effective as of June 14, 2021, Ben Gagnon was appointed as the Chief Mining Officer of the Company effective June 1, 2021, and Nathaniel Port, Director of Finance was named as Senior Vice President of Finance and Accounting effective June 1,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Occupation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21"/>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Director or</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w w:val="94"/>
              </w:rPr>
              <w:t>Name, and Province and</w:t>
            </w:r>
          </w:p>
        </w:tc>
        <w:tc>
          <w:tcPr>
            <w:tcW w:w="6860" w:type="dxa"/>
            <w:vAlign w:val="bottom"/>
            <w:gridSpan w:val="2"/>
            <w:vMerge w:val="restart"/>
          </w:tcPr>
          <w:p>
            <w:pPr>
              <w:ind w:left="1400"/>
              <w:spacing w:after="0"/>
              <w:rPr>
                <w:sz w:val="20"/>
                <w:szCs w:val="20"/>
                <w:color w:val="auto"/>
              </w:rPr>
            </w:pPr>
            <w:r>
              <w:rPr>
                <w:rFonts w:ascii="Arial" w:cs="Arial" w:eastAsia="Arial" w:hAnsi="Arial"/>
                <w:sz w:val="18"/>
                <w:szCs w:val="18"/>
                <w:b w:val="1"/>
                <w:bCs w:val="1"/>
                <w:color w:val="auto"/>
              </w:rPr>
              <w:t>Principal Occupation During the Last Five Years</w:t>
            </w:r>
            <w:r>
              <w:rPr>
                <w:rFonts w:ascii="Arial" w:cs="Arial" w:eastAsia="Arial" w:hAnsi="Arial"/>
                <w:sz w:val="29"/>
                <w:szCs w:val="29"/>
                <w:b w:val="1"/>
                <w:bCs w:val="1"/>
                <w:color w:val="auto"/>
                <w:vertAlign w:val="superscript"/>
              </w:rPr>
              <w:t>(1)</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Officer</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Owned or</w:t>
            </w:r>
          </w:p>
        </w:tc>
        <w:tc>
          <w:tcPr>
            <w:tcW w:w="0" w:type="dxa"/>
            <w:vAlign w:val="bottom"/>
          </w:tcPr>
          <w:p>
            <w:pPr>
              <w:spacing w:after="0"/>
              <w:rPr>
                <w:sz w:val="1"/>
                <w:szCs w:val="1"/>
                <w:color w:val="auto"/>
              </w:rPr>
            </w:pPr>
          </w:p>
        </w:tc>
      </w:tr>
      <w:tr>
        <w:trPr>
          <w:trHeight w:val="277"/>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Country of Residence</w:t>
            </w:r>
          </w:p>
        </w:tc>
        <w:tc>
          <w:tcPr>
            <w:tcW w:w="6860" w:type="dxa"/>
            <w:vAlign w:val="bottom"/>
            <w:gridSpan w:val="2"/>
            <w:vMerge w:val="continue"/>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Since</w:t>
            </w:r>
          </w:p>
        </w:tc>
        <w:tc>
          <w:tcPr>
            <w:tcW w:w="1280" w:type="dxa"/>
            <w:vAlign w:val="bottom"/>
            <w:gridSpan w:val="2"/>
          </w:tcPr>
          <w:p>
            <w:pPr>
              <w:jc w:val="center"/>
              <w:ind w:right="160"/>
              <w:spacing w:after="0" w:line="270" w:lineRule="exact"/>
              <w:rPr>
                <w:sz w:val="20"/>
                <w:szCs w:val="20"/>
                <w:color w:val="auto"/>
              </w:rPr>
            </w:pPr>
            <w:r>
              <w:rPr>
                <w:rFonts w:ascii="Arial" w:cs="Arial" w:eastAsia="Arial" w:hAnsi="Arial"/>
                <w:sz w:val="18"/>
                <w:szCs w:val="18"/>
                <w:b w:val="1"/>
                <w:bCs w:val="1"/>
                <w:color w:val="auto"/>
                <w:w w:val="87"/>
              </w:rPr>
              <w:t>Controlled</w:t>
            </w:r>
            <w:r>
              <w:rPr>
                <w:rFonts w:ascii="Arial" w:cs="Arial" w:eastAsia="Arial" w:hAnsi="Arial"/>
                <w:sz w:val="29"/>
                <w:szCs w:val="29"/>
                <w:b w:val="1"/>
                <w:bCs w:val="1"/>
                <w:color w:val="auto"/>
                <w:w w:val="87"/>
                <w:vertAlign w:val="superscript"/>
              </w:rPr>
              <w:t>(1)</w:t>
            </w:r>
          </w:p>
        </w:tc>
        <w:tc>
          <w:tcPr>
            <w:tcW w:w="0" w:type="dxa"/>
            <w:vAlign w:val="bottom"/>
          </w:tcPr>
          <w:p>
            <w:pPr>
              <w:spacing w:after="0"/>
              <w:rPr>
                <w:sz w:val="1"/>
                <w:szCs w:val="1"/>
                <w:color w:val="auto"/>
              </w:rPr>
            </w:pPr>
          </w:p>
        </w:tc>
      </w:tr>
      <w:tr>
        <w:trPr>
          <w:trHeight w:val="202"/>
        </w:trPr>
        <w:tc>
          <w:tcPr>
            <w:tcW w:w="1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Jeffrey Lucas</w:t>
            </w:r>
          </w:p>
        </w:tc>
        <w:tc>
          <w:tcPr>
            <w:tcW w:w="100" w:type="dxa"/>
            <w:vAlign w:val="bottom"/>
            <w:tcBorders>
              <w:top w:val="single" w:sz="8" w:color="CCEEFF"/>
            </w:tcBorders>
            <w:shd w:val="clear" w:color="auto" w:fill="CCEEFF"/>
          </w:tcPr>
          <w:p>
            <w:pPr>
              <w:spacing w:after="0"/>
              <w:rPr>
                <w:sz w:val="17"/>
                <w:szCs w:val="17"/>
                <w:color w:val="auto"/>
              </w:rPr>
            </w:pPr>
          </w:p>
        </w:tc>
        <w:tc>
          <w:tcPr>
            <w:tcW w:w="67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President and Chief Financial Officer of eMagin Corporation (September 2015 to February</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Massachusetts, USA</w:t>
            </w: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2020); Managing Director of Mackinac Partners (July 2020 to June 2021); Chief Financial</w:t>
            </w: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June 14,</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
        </w:trPr>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60" w:type="dxa"/>
            <w:vAlign w:val="bottom"/>
            <w:gridSpan w:val="2"/>
            <w:shd w:val="clear" w:color="auto" w:fill="CCEEFF"/>
          </w:tcPr>
          <w:p>
            <w:pPr>
              <w:spacing w:after="0" w:line="30" w:lineRule="exact"/>
              <w:rPr>
                <w:sz w:val="20"/>
                <w:szCs w:val="20"/>
                <w:color w:val="auto"/>
              </w:rPr>
            </w:pPr>
            <w:r>
              <w:rPr>
                <w:rFonts w:ascii="Arial" w:cs="Arial" w:eastAsia="Arial" w:hAnsi="Arial"/>
                <w:sz w:val="3"/>
                <w:szCs w:val="3"/>
                <w:color w:val="auto"/>
              </w:rPr>
              <w:t>Officer of Bitfarms Ltd. (June 2021 to present)</w:t>
            </w:r>
          </w:p>
        </w:tc>
        <w:tc>
          <w:tcPr>
            <w:tcW w:w="980" w:type="dxa"/>
            <w:vAlign w:val="bottom"/>
            <w:shd w:val="clear" w:color="auto" w:fill="CCEEFF"/>
          </w:tcPr>
          <w:p>
            <w:pPr>
              <w:jc w:val="center"/>
              <w:spacing w:after="0" w:line="30" w:lineRule="exact"/>
              <w:rPr>
                <w:sz w:val="20"/>
                <w:szCs w:val="20"/>
                <w:color w:val="auto"/>
              </w:rPr>
            </w:pPr>
            <w:r>
              <w:rPr>
                <w:rFonts w:ascii="Arial" w:cs="Arial" w:eastAsia="Arial" w:hAnsi="Arial"/>
                <w:sz w:val="3"/>
                <w:szCs w:val="3"/>
                <w:color w:val="auto"/>
              </w:rPr>
              <w:t>2021</w:t>
            </w:r>
          </w:p>
        </w:tc>
        <w:tc>
          <w:tcPr>
            <w:tcW w:w="120" w:type="dxa"/>
            <w:vAlign w:val="bottom"/>
            <w:shd w:val="clear" w:color="auto" w:fill="CCEEFF"/>
          </w:tcPr>
          <w:p>
            <w:pPr>
              <w:spacing w:after="0"/>
              <w:rPr>
                <w:sz w:val="2"/>
                <w:szCs w:val="2"/>
                <w:color w:val="auto"/>
              </w:rPr>
            </w:pPr>
          </w:p>
        </w:tc>
        <w:tc>
          <w:tcPr>
            <w:tcW w:w="12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2"/>
        </w:trPr>
        <w:tc>
          <w:tcPr>
            <w:tcW w:w="2000" w:type="dxa"/>
            <w:vAlign w:val="bottom"/>
            <w:gridSpan w:val="2"/>
          </w:tcPr>
          <w:p>
            <w:pPr>
              <w:spacing w:after="0" w:line="201" w:lineRule="exact"/>
              <w:rPr>
                <w:sz w:val="20"/>
                <w:szCs w:val="20"/>
                <w:color w:val="auto"/>
              </w:rPr>
            </w:pPr>
            <w:r>
              <w:rPr>
                <w:rFonts w:ascii="Arial" w:cs="Arial" w:eastAsia="Arial" w:hAnsi="Arial"/>
                <w:sz w:val="18"/>
                <w:szCs w:val="18"/>
                <w:color w:val="auto"/>
              </w:rPr>
              <w:t>Ben Gagnon</w:t>
            </w:r>
          </w:p>
        </w:tc>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w w:val="96"/>
              </w:rPr>
              <w:t>Chief Mining Officer of Island Computer Ltd. (September 2015 to December 2019); Chief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Quebec, Canada</w:t>
            </w:r>
          </w:p>
        </w:tc>
        <w:tc>
          <w:tcPr>
            <w:tcW w:w="6860" w:type="dxa"/>
            <w:vAlign w:val="bottom"/>
            <w:gridSpan w:val="2"/>
          </w:tcPr>
          <w:p>
            <w:pPr>
              <w:spacing w:after="0"/>
              <w:rPr>
                <w:sz w:val="20"/>
                <w:szCs w:val="20"/>
                <w:color w:val="auto"/>
              </w:rPr>
            </w:pPr>
            <w:r>
              <w:rPr>
                <w:rFonts w:ascii="Arial" w:cs="Arial" w:eastAsia="Arial" w:hAnsi="Arial"/>
                <w:sz w:val="18"/>
                <w:szCs w:val="18"/>
                <w:color w:val="auto"/>
              </w:rPr>
              <w:t>Technology Officer of Lutech Ltd. (September 2017 to December 2019); Director of</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Business Development of Bitfarms Ltd. (December 2019 to June 2021); Chief Mining</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June 1, 2021</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60" w:type="dxa"/>
            <w:vAlign w:val="bottom"/>
            <w:gridSpan w:val="2"/>
          </w:tcPr>
          <w:p>
            <w:pPr>
              <w:spacing w:after="0" w:line="30" w:lineRule="exact"/>
              <w:rPr>
                <w:sz w:val="20"/>
                <w:szCs w:val="20"/>
                <w:color w:val="auto"/>
              </w:rPr>
            </w:pPr>
            <w:r>
              <w:rPr>
                <w:rFonts w:ascii="Arial" w:cs="Arial" w:eastAsia="Arial" w:hAnsi="Arial"/>
                <w:sz w:val="3"/>
                <w:szCs w:val="3"/>
                <w:color w:val="auto"/>
              </w:rPr>
              <w:t>Officer of Bitfarms Ltd. (June 2021 to present).</w:t>
            </w:r>
          </w:p>
        </w:tc>
        <w:tc>
          <w:tcPr>
            <w:tcW w:w="110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Nathaniel Port</w:t>
            </w: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Associate of Nexia Friedman LLP (May 2014 to March 2018); Director of Finance of</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Quebec, Canada</w:t>
            </w: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Bitfarms Ltd. (April 2018 to June 2021); Senior Vice President of Finance and Accounting of</w:t>
            </w:r>
          </w:p>
        </w:tc>
        <w:tc>
          <w:tcPr>
            <w:tcW w:w="11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6"/>
              </w:rPr>
              <w:t>June 1, 2021</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
        </w:trPr>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60" w:type="dxa"/>
            <w:vAlign w:val="bottom"/>
            <w:gridSpan w:val="2"/>
            <w:shd w:val="clear" w:color="auto" w:fill="CCEEFF"/>
          </w:tcPr>
          <w:p>
            <w:pPr>
              <w:spacing w:after="0" w:line="30" w:lineRule="exact"/>
              <w:rPr>
                <w:sz w:val="20"/>
                <w:szCs w:val="20"/>
                <w:color w:val="auto"/>
              </w:rPr>
            </w:pPr>
            <w:r>
              <w:rPr>
                <w:rFonts w:ascii="Arial" w:cs="Arial" w:eastAsia="Arial" w:hAnsi="Arial"/>
                <w:sz w:val="3"/>
                <w:szCs w:val="3"/>
                <w:color w:val="auto"/>
              </w:rPr>
              <w:t>Bitfarms Ltd. (June 2021 to present).</w:t>
            </w:r>
          </w:p>
        </w:tc>
        <w:tc>
          <w:tcPr>
            <w:tcW w:w="1100" w:type="dxa"/>
            <w:vAlign w:val="bottom"/>
            <w:gridSpan w:val="2"/>
            <w:vMerge w:val="continue"/>
            <w:shd w:val="clear" w:color="auto" w:fill="CCEEFF"/>
          </w:tcPr>
          <w:p>
            <w:pPr>
              <w:spacing w:after="0"/>
              <w:rPr>
                <w:sz w:val="2"/>
                <w:szCs w:val="2"/>
                <w:color w:val="auto"/>
              </w:rPr>
            </w:pPr>
          </w:p>
        </w:tc>
        <w:tc>
          <w:tcPr>
            <w:tcW w:w="12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jc w:val="both"/>
        <w:ind w:left="340" w:hanging="332"/>
        <w:spacing w:after="0" w:line="269"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stock options and warrants. Mr. Lucas holds Options for 1,200,000 Common Shares and 50,000 RSUs.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Gagnon holds Options for 1,340,000 Common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Port holds Options for 476,250 Common Shares.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Jeffrey Lucas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his corporate roles, Mr. Lucas worked in high yield investment banking with L. F. Rothschild and in institutional money management as a securities analyst with Wells Capital Management. He is a Chartered Financial Analyst and received his Certified Public Accountant certification while with PricewaterhouseCoopers as a member of their technology and industrials practices. Mr. Lucas earned an MBA with emphasis on finance from Harvard Business School and a BA in Economics from Tufts University and studied at the London School of Economics.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i w:val="1"/>
          <w:iCs w:val="1"/>
          <w:color w:val="auto"/>
        </w:rPr>
        <w:t>Ben Gagnon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Gagnon has been working in the Bitcoin mining industry since 2015 and brings to the management team of the Company considerable mining and international experience, including the establishment of mining operations in China, Canada, and the United States, as well as founding multiple Bitcoin companies and developing technologies, including mining as a service, negative emissions mining (otherwise referred to as turn-key flare gas mitigation) and immersion cooling technology. Mr. Gagnon joined Bitfarms in December 2019 as Director of Business Development and shortly thereafter he was promoted to Director of Mining Operations, where he played a pivotal role in developing and managing our mining strategy and operations. Mr. Gagnon has a B.Sc. in Economics and International Business from the Kelley School of Business at Indiana University and an M.Sc. in Internet Computing and E-commerce with a specialty in Cyber Security from Hong Kong University.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Nathaniel Port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Port joined Bitfarms in 2018 as one of its earliest employees. He is responsible for Bitfarms’ financial reporting and working capital management and serves as the primary interface with the Company’s auditors. Mr. Port was instrumental in developing Bitfarms’ finance function and contributed significantly towards the Company’s strategic financial objectives. Prior to joining Bitfarms, Mr. Port worked in in public accounting managing audit engagements for clients primarily in the manufacturing and technology sectors. He graduated with distinction from Concordia University’s John Molson School of Business and placed on CPA Canada’s National Honour Roll.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Cease Trade Orders, Bankruptcies, Penalties or Sanctions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None of Messrs. Lucas, Gagnon, or Port are or were within 10 years before the date of this prospectus, a director, chief executive officer or chief financial officer of any company that:</w:t>
      </w:r>
    </w:p>
    <w:p>
      <w:pPr>
        <w:spacing w:after="0" w:line="170"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that person was acting in that capacity, was the subject of a cease trade order or similar order or an order that denied the relevant company access to any exemption under securities legislation for a period of more than 30 consecutive days; or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that person was acting in that capacity, was subject to an event that resulted, after the director or executive officer ceased to be a director or executive officer, in the company being the subject of a cease trade or similar order or an order that denied the relevant company access to any exemption under securities legislation for a period of more than 30 consecutive days.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None of Messrs. Lucas, Gagnon, or Port are or were, as at the date of the prospectus, nor have been within the 10 years before the date of the prospectus:</w:t>
      </w:r>
    </w:p>
    <w:p>
      <w:pPr>
        <w:spacing w:after="0" w:line="248" w:lineRule="exact"/>
        <w:rPr>
          <w:sz w:val="20"/>
          <w:szCs w:val="20"/>
          <w:color w:val="auto"/>
        </w:rPr>
      </w:pPr>
    </w:p>
    <w:p>
      <w:pPr>
        <w:jc w:val="both"/>
        <w:ind w:left="660" w:hanging="328"/>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of the director, executive officer or shareholder;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has been subject to:</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penalties or sanctions imposed by a court relating to securities legislation or by a securities regulatory authority or has entered into a settlement agreement with a securities regulatory authority since December 31, 2000 or before December 31, 2000 the disclosure of which would likely be important to a reasonable security holder in making an investment decision; or</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penalties or sanctions imposed by a court or regulatory body that would likely be considered important to a reasonable securityholder in making an investment decision.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directors of the Company are required by law to act honestly and in good faith with a view to the best interests of The Company and to disclose any interests which they may have in any project or opportunity outside of the Company. If a conflict of interest arises, any director in a conflict will disclose his interest and abstain from voting on such matter at a meeting of the Board of Directors. To the best of the Company’s knowledge, and other than as disclosed in this prospectus, there are no known existing or potential conflicts of interest of Messrs. Lucas, Gagnon, or Port as a result of their outside business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of Management and Others in Material Transactions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disclosed herein and elsewhere in this prospectus, Mr. Lucas does not have any material interest, direct or indirect, in any transactions in which the Company has participated prior to the date of this prospectus that has materially affected or is reasonably expected to materially affect the Company or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16, 2021, the Company announced that it had completed two purchases for an aggregate of 1,996 Miners producing an additional 160 Petahash of computing power. It also announced that it would be rehabilitating its existing equipment and that it intended to pursue a listing on the Nasdaq.</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19, 2021, the Company announced that it had signed a non-binding memorandum of understanding to secure electricity at approximately $0.02 per kWh with the plan to pursue the development of a 60 MW Bitcoin mining facility in Argentina.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April 23, 2021, the Company announced that it had purchased 2,465 Whatsminer M30S Miners through Foundry Digital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26, 2021, the Company announced updates to its expansion plans at the Cowansville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6, 2021, the Company announced that it had purchased 6,600 Miners to increase its computing power by 660 Petahash.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7, 2021, the Company announced Nasdaq had approved its application for the listing of the Common Shares of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17, 2021, the Company announced a C$75 million private placement with certain institutional investors, composed of 14,150,944 Common Shares at a price of C$5.30 per Common Share and Common Share purchase warrants to purchase 10,613,208 Common Shares at an exercise price of US$4.87 for a period of three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May 28, 2021, the Company announced that it had mined its 1,000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Bitcoin for 2021 year to date.</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3, 2021, the Company announced the appointment of Jeffrey Lucas as Chief Financial Officer effective June 14, 2021 as well as the promotion of certain members of management of the Company and the grant of Options to certain individuals.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June 9, 2021, the Company announced an update to its expansion plans as well as an update to its Nasdaq listing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10, 2021, the Company announced an update to its mining production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17, 2021, the Company announced that its Common Shares would commence trading on the Nasdaq on June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30, 2021, the Company announced the grant of Options and RSUs to certain individuals.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14, 2021, the Company announced an update to its mining production operations and the grant of RSUs to a certain individual.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4"/>
          </w:tcPr>
          <w:p>
            <w:pPr>
              <w:jc w:val="right"/>
              <w:ind w:right="2300"/>
              <w:spacing w:after="0"/>
              <w:rPr>
                <w:sz w:val="20"/>
                <w:szCs w:val="20"/>
                <w:color w:val="auto"/>
              </w:rPr>
            </w:pPr>
            <w:r>
              <w:rPr>
                <w:rFonts w:ascii="Arial" w:cs="Arial" w:eastAsia="Arial" w:hAnsi="Arial"/>
                <w:sz w:val="18"/>
                <w:szCs w:val="18"/>
                <w:b w:val="1"/>
                <w:bCs w:val="1"/>
                <w:color w:val="auto"/>
              </w:rPr>
              <w:t>PROMOTERS</w:t>
            </w: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00" w:type="dxa"/>
            <w:vAlign w:val="bottom"/>
            <w:gridSpan w:val="4"/>
          </w:tcPr>
          <w:p>
            <w:pPr>
              <w:spacing w:after="0"/>
              <w:rPr>
                <w:sz w:val="20"/>
                <w:szCs w:val="20"/>
                <w:color w:val="auto"/>
              </w:rPr>
            </w:pPr>
            <w:r>
              <w:rPr>
                <w:rFonts w:ascii="Arial" w:cs="Arial" w:eastAsia="Arial" w:hAnsi="Arial"/>
                <w:sz w:val="18"/>
                <w:szCs w:val="18"/>
                <w:color w:val="auto"/>
              </w:rPr>
              <w:t>The following table sets forth the Promoters of the Company:</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2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Class of Securities Owned</w:t>
            </w:r>
          </w:p>
        </w:tc>
        <w:tc>
          <w:tcPr>
            <w:tcW w:w="10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Quantity of Securities Owned</w:t>
            </w:r>
          </w:p>
        </w:tc>
        <w:tc>
          <w:tcPr>
            <w:tcW w:w="22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 of Class</w:t>
            </w:r>
            <w:r>
              <w:rPr>
                <w:rFonts w:ascii="Arial" w:cs="Arial" w:eastAsia="Arial" w:hAnsi="Arial"/>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r>
      <w:tr>
        <w:trPr>
          <w:trHeight w:val="257"/>
        </w:trPr>
        <w:tc>
          <w:tcPr>
            <w:tcW w:w="2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(1)</w:t>
            </w:r>
          </w:p>
        </w:tc>
        <w:tc>
          <w:tcPr>
            <w:tcW w:w="2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Bitfarms Canada Shares</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11,820,772</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r>
      <w:tr>
        <w:trPr>
          <w:trHeight w:val="257"/>
        </w:trPr>
        <w:tc>
          <w:tcPr>
            <w:tcW w:w="2800" w:type="dxa"/>
            <w:vAlign w:val="bottom"/>
          </w:tcPr>
          <w:p>
            <w:pPr>
              <w:spacing w:after="0" w:line="256" w:lineRule="exact"/>
              <w:rPr>
                <w:sz w:val="20"/>
                <w:szCs w:val="20"/>
                <w:color w:val="auto"/>
              </w:rPr>
            </w:pPr>
            <w:r>
              <w:rPr>
                <w:rFonts w:ascii="Arial" w:cs="Arial" w:eastAsia="Arial" w:hAnsi="Arial"/>
                <w:sz w:val="18"/>
                <w:szCs w:val="18"/>
                <w:color w:val="auto"/>
              </w:rPr>
              <w:t>Nicolas Bonta</w:t>
            </w:r>
            <w:r>
              <w:rPr>
                <w:rFonts w:ascii="Arial" w:cs="Arial" w:eastAsia="Arial" w:hAnsi="Arial"/>
                <w:sz w:val="29"/>
                <w:szCs w:val="29"/>
                <w:color w:val="auto"/>
                <w:vertAlign w:val="superscript"/>
              </w:rPr>
              <w:t>(2)</w:t>
            </w: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Bitfarms Canada Shares</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11,034,506</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22,855,278</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line="25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Grodzki holds 1,354,900 options to purchase Bitfarms Canada Shares at an average price of C$4.64 per Bitfarms Canada Share and 50,000 RSUs (as defined below).</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Bonta holds 1,354,900 options to purchase Bitfarms Canada Shares at an average price of C$4.64 per Bitfarms Canada Share and 50,000 RSUs.</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total of 165,487,977 Bitfarms Canada Shares are issued and outstanding.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Promoters have entered into certain non-arm’s length transactions with Backbone. See the 2020 AIF under the heading “</w:t>
      </w:r>
      <w:r>
        <w:rPr>
          <w:rFonts w:ascii="Arial" w:cs="Arial" w:eastAsia="Arial" w:hAnsi="Arial"/>
          <w:sz w:val="18"/>
          <w:szCs w:val="18"/>
          <w:i w:val="1"/>
          <w:iCs w:val="1"/>
          <w:color w:val="auto"/>
        </w:rPr>
        <w:t>INTEREST OF</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OTHERS IN MATERIAL TRANSACTIONS — Transactions with Related Parties</w:t>
      </w:r>
      <w:r>
        <w:rPr>
          <w:rFonts w:ascii="Arial" w:cs="Arial" w:eastAsia="Arial" w:hAnsi="Arial"/>
          <w:sz w:val="18"/>
          <w:szCs w:val="18"/>
          <w:color w:val="auto"/>
        </w:rPr>
        <w: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No Promoter was within the 10 years before the date of this prospectus a director, CEO, or CFO of a person or company that was subject to an order (as that term is defined in section 10.2(1.1) of Form 51-102F2 – </w:t>
      </w:r>
      <w:r>
        <w:rPr>
          <w:rFonts w:ascii="Arial" w:cs="Arial" w:eastAsia="Arial" w:hAnsi="Arial"/>
          <w:sz w:val="17"/>
          <w:szCs w:val="17"/>
          <w:i w:val="1"/>
          <w:iCs w:val="1"/>
          <w:color w:val="auto"/>
        </w:rPr>
        <w:t>Annual Information Form</w:t>
      </w:r>
      <w:r>
        <w:rPr>
          <w:rFonts w:ascii="Arial" w:cs="Arial" w:eastAsia="Arial" w:hAnsi="Arial"/>
          <w:sz w:val="17"/>
          <w:szCs w:val="17"/>
          <w:color w:val="auto"/>
        </w:rPr>
        <w:t>) while or after that Promoter was acting in that capacity.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SECONDARY OFFERING BY SELLING SECURITYHOLDERS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may be sold under this prospectus by way of a secondary offering by or for the account of Selling Securityholders. The prospectus supplement for or including any offering of Securities by Selling Securityholders will include the following information, to the extent required by applicable securities laws:</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or names of the Selling Securityholders;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or amount of Securities owned, controlled or directed by each Selling Securityholder;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or amount of Securities being distributed for the account of each Selling Securityholder;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Securities are owned by the Selling Securityholders both of record and beneficially, of record only, or beneficially only;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2020 AIF and the 2020 MD&amp;A and annual financial statements, and the related notes. A prospective investor should carefully consider the risk factors set out below along with the other matters set out or incorporated by reference in this prospectus.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Business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Bitfarms Canada’s Cryptocurrency Inventory may be exposed to Cybersecurity Threats and Hacking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Malicious actors may seek to exploit vulnerabilities within cryptocurrency programming codes, such as by attacking the bitcoin network source code, exchange miners, third-party platforms, cold and hot storage locations or software, or by other means. Several errors and defects have been found and corrected, including those that disabled some functionality for users and exposed users’ information. Discovery of flaws in or exploitations of the source code that allow malicious actors to take or create money occur somewhat regularly. For example, hackers have been able to gain unauthorized access to digital wallets and cryptocurrency exchanges, which means that there is a risk that some of all of our cryptocurrency could be lost or stolen.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computer network operated by the Company may further be vulnerable to intrusions by hackers who could interfere with and introduce defects to the mining operation. Private keys which enable holders to transfer funds may also become lost, stolen, destroyed or otherwise compromised resulting in irreversible losses of cryptocurrencies. Any such impact on our private keys could have a material adverse effect on our business, prospects or operations and potentially the value of any bitcoin or other cryptocurrencies we mine or otherwise acquire or hold for our own account.</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the Company uses third party custodians for its cryptocurrency assets. In the event of theft or a cybersecurity attack on its custodians in respect of which the custodians’ insurance is insufficient to satisfy all of its creditors, the Company may not be able to recover part or all of the cryptocurrency under the custody of such custodians, which in each case could result in a material adverse effect on the Company. See “</w:t>
      </w:r>
      <w:r>
        <w:rPr>
          <w:rFonts w:ascii="Arial" w:cs="Arial" w:eastAsia="Arial" w:hAnsi="Arial"/>
          <w:sz w:val="18"/>
          <w:szCs w:val="18"/>
          <w:i w:val="1"/>
          <w:iCs w:val="1"/>
          <w:color w:val="auto"/>
        </w:rPr>
        <w:t>THE COMPANY – Custody of</w:t>
      </w:r>
      <w:r>
        <w:rPr>
          <w:rFonts w:ascii="Arial" w:cs="Arial" w:eastAsia="Arial" w:hAnsi="Arial"/>
          <w:sz w:val="18"/>
          <w:szCs w:val="18"/>
          <w:color w:val="auto"/>
        </w:rPr>
        <w:t xml:space="preserve"> </w:t>
      </w:r>
      <w:r>
        <w:rPr>
          <w:rFonts w:ascii="Arial" w:cs="Arial" w:eastAsia="Arial" w:hAnsi="Arial"/>
          <w:sz w:val="18"/>
          <w:szCs w:val="18"/>
          <w:i w:val="1"/>
          <w:iCs w:val="1"/>
          <w:color w:val="auto"/>
        </w:rPr>
        <w:t>Crypto Assets</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Possibility of Less Frequent or Cessation of Monetization of Cryptocurrencies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early January 2021, the Company announced that it had implemented a pilot program pursuant to which the Company would begin retaining some or all of the Bitcoin it mines. As of the date of this prospectus the Company held approximately 1,800 Bitcoin. While the Company has implemented internal controls and custody arrangements to minimize the risk of loss or theft, ceasing immediate monetization of cryptocurrencies or to monetizing cryptocurrencies less frequently can increase the risk of cryptocurrencies held decreasing in value and the risk of loss or theft of cryptocurrencies.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Limited History of De-Centralized Financial System</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cryptocurrencies to, among other things, buy and sell goods and services and complete transactions, is part of a new and rapidly evolving industry that employs bitcoin assets based upon a computer-generated mathematical and/or cryptographic protocol. Compared with traditional and existing centralized financial systems, the cryptocurrency financial system is relatively new and has only a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 Large-scale acceptance of cryptocurrencies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7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cryptocurrencies as a medium to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and quasi-governmental regulation of cryptocurrencies and their use, or restrictions on or regulation of access to and operation of the network or similar bitcoin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increased consolidation of contributors to the bitcoin blockchain through mining pools;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availability and popularity of other forms or methods of buying and selling goods and services, including new means of using fiat currencies;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the networks supporting cryptocurrencies for developing smart contracts and distributed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cryptocurrencies;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Traditional banks and banking services may limit or refuse the provision of banking services to businesses that supply cryptographic tokens or cryptocurrencies as payment and may refuse to accept money derived from cryptocurrency-related businesses. This may make management of bank accounts held by companies operating in the industry, including the Company difficult.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Related to Technological Obsolescence and Difficulty in Obtaining Hardware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remain competitive, the Company will continue to monitor the state of the technology available and invest in hardware and equipment required for maintaining the Company’s operations. The Company’s hardware and software may become obsolete and require substantial capital to replace. There can be no assurance that mining hardware will be readily available when the need is identified.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Valuation and Price Volatility of Cryptocurrencies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profitability of the Company’s operations will be significantly affected by changes in prices of cryptocurrencies. Cryptocurrency prices are highly volatile, can fluctuate substantially and are affected by numerous factors, many of which are beyond the Company’s control, including hacking, demand, inflation and expectations with respect to the rate of inflation, global or regional political or economic events. If cryptocurrency prices should decline and remain at low market levels for a sustained period while network difficulty does not decrease proportionally, the Company could determine that it is not economically feasible to continue its business activities.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and making their market prices more volatile. As a result, they may be more likely to fluctuate in value due to changing investor confidence in future appreciation (or depreciation) in their market prices, which could adversely affect the value proposition of the Company.</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Volatility may have an impact on the value of the Company’s inventory of currencies. In January 2021, the Company adopted the policy of holding in custody substantially all of its cryptocurrency generated from operations in place of the prior practice of regularly liquidating its cryptocurrency holdings for fiat currency. A significant decline in the value of cryptocurrencies and, in turn, the Company’s inventory of cryptocurrency, would limit the magnitude of the proceeds the Company could generate from liquidating its inventory to meet the financing needs associated with its growth targets.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Bitcoin Halving Events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May 2020, the Bitcoin block reward decreased from 12.5 to 6.25 Bitcoins per block (the “</w:t>
      </w:r>
      <w:r>
        <w:rPr>
          <w:rFonts w:ascii="Arial" w:cs="Arial" w:eastAsia="Arial" w:hAnsi="Arial"/>
          <w:sz w:val="18"/>
          <w:szCs w:val="18"/>
          <w:b w:val="1"/>
          <w:bCs w:val="1"/>
          <w:color w:val="auto"/>
        </w:rPr>
        <w:t>Bitcoin Halving</w:t>
      </w:r>
      <w:r>
        <w:rPr>
          <w:rFonts w:ascii="Arial" w:cs="Arial" w:eastAsia="Arial" w:hAnsi="Arial"/>
          <w:sz w:val="18"/>
          <w:szCs w:val="18"/>
          <w:color w:val="auto"/>
        </w:rPr>
        <w:t>”), and consequently the number of new Bitcoin issued to Miners has been reduced to approximately 900 per day, excluding transaction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Bitcoin Halving had a significant impact on the Company’s profitability. Given that profitability is required for self-acting agents to perform mining to continue to support the validation of transactions, the expected impact of the Bitcoin Halving suggests that market variables of Bitcoin price will adjust over time to ensure that mining remains profitable. The period of market normalization after the Bitcoin Halving to incentivizing profitability levels is unknown.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Management believes that revenue per Terahash will continue to normalize to levels that would allow Miners with competitive electricity pricing, sufficient scale of efficient mining operations, recent generation mining hardware and access to capital to remain profitable. If Bitcoin price and mining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would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next Bitcoin Halving is expected to occur on or around May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Transactional Fees and Demand for Bitcoin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miners receive both rewards of new bitcoin and transaction fees paid in bitcoin by persons engaging in bitcoin transactions on the bitcoin blockchain for being the first to solve bitcoin blocks. As the number of bitcoins awarded for solving a block in a blockchain decreases through the halving events described above, the incentive for miners to continue to contribute to the bitcoin network may transition from a set reward and transaction fees to solely transaction fees. This transition could be accomplished by miners independently electing to record in the blocks they solve only those transactions that include payment of the highest transaction fees. 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Decreased use of and demand for bitcoin may adversely affect its value and result in a reduction in the price of bitcoin and, consequently, the value of our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decentralized nature of the governance of bitcoin systems may lead to ineffective decision making that slows development or prevents a network from overcoming emergent obstacles. Governance of many bitcoin systems is by voluntary consensus and open competition with no clear leadership structure or authority. To the extent lack of clarity in corporate governance of bitcoin systems leads to ineffective decision making that slows development and growth of such cryptocurrencies, the value of our ordinary shares may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Cryptocurrency Network Difficulty and Impact of Increased Global Computing Power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Network difficulty is a measure of how difficult it is to solve the cryptographic hash that is required to validate a block of transactions and earn a cryptocurrency reward from mining. If the network difficulty increased at a significantly higher rate than the Company’s hashrate and the price of cryptocurrency did not increase at the same rate as network difficulty, then the profitability of the Company’s operations would be significantly affected. There can be no assurance that cryptocurrency prices will increase in proportion to the rate of increase of network difficulty as network difficulty is subject to volatility in growth.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Irreversible Nature of Incorrect or Fraudulent Bitcoin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Bitcoin transactions are irrevocable, and stolen or incorrectly transferred cryptocurrencies may be irretrievable. As a result, any incorrectly executed or fraudulent bitcoin transactions could adversely affect our investments and assets.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Bitcoin transactions are not, from an administrative perspective, reversible without the consent and active participation of the recipient of the cryptocurrencies in the transaction. Once a transaction has been verified and recorded in a block that is added to a blockchain, an incorrect transfer of a bitcoin or a theft thereof generally will not be reversible, and we may not have sufficient recourse to recover our losses from any such transfer or theft. It is possible that, through computer or human error, or through theft or criminal action, our bitcoin rewards could be transferred in incorrect amounts or to unauthorized third parties, or to uncontrolled accounts. To the extent that we are unable to recover our losses from such action, error or theft, such events could have a material adverse effect on our business, prospects or operations of and potentially the value of any bitcoin or other cryptocurrencies we mine or otherwise acquire or hold for our own account.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Economic Dependence on Regulated Terms of Service and Electricity Rates Risks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operations are dependent on its ability to maintain reliable and economical sources of power to run its cryptocurrency mining assets. Presently, the Company conducts mining in the Province of Québec. As a result of operations in a single jurisdiction, the Company’s current and future operations, anticipated growth, and sustainability of hydroelectricity at economical prices for the purposes of cryptocurrency mining in the Province of Québec poses certain risks. These risks as well as the supply of electrical power, electricity rates, terms of service and regulatory regime in the Province of Québec are described in the 2020 AIF under the heading “</w:t>
      </w:r>
      <w:r>
        <w:rPr>
          <w:rFonts w:ascii="Arial" w:cs="Arial" w:eastAsia="Arial" w:hAnsi="Arial"/>
          <w:sz w:val="17"/>
          <w:szCs w:val="17"/>
          <w:i w:val="1"/>
          <w:iCs w:val="1"/>
          <w:color w:val="auto"/>
        </w:rPr>
        <w:t>DESCRIPTION OF BUSINESS –Supply of Electrical Power, Electricity Rates, Terms of Service</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Régie de l’Énergie</w:t>
      </w:r>
      <w:r>
        <w:rPr>
          <w:rFonts w:ascii="Arial" w:cs="Arial" w:eastAsia="Arial" w:hAnsi="Arial"/>
          <w:sz w:val="17"/>
          <w:szCs w:val="17"/>
          <w:color w:val="auto"/>
        </w:rPr>
        <w:t>”. These risks may be summarized as follows:</w:t>
      </w:r>
    </w:p>
    <w:p>
      <w:pPr>
        <w:spacing w:after="0" w:line="178" w:lineRule="exact"/>
        <w:rPr>
          <w:sz w:val="20"/>
          <w:szCs w:val="20"/>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Currently, the Company sources its energy from Hydro-Québec, Hydro-Sherbrooke and Hydro-Magog (as those terms are defined in the 2020 AIF). The Province of Québec mandates electrical service providers to supply their customers under an obligation to serve power delivery regime; consequently, the Company believes these power suppliers are reliable. Any suspension of power or failure of electrical networks, however, could result in a material adverse effect on the Company.</w:t>
      </w:r>
    </w:p>
    <w:p>
      <w:pPr>
        <w:spacing w:after="0" w:line="186"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of electricity supplied directly by Hydro-Québec is set by a provincial administrative tribunal, the Régie (as that term is defined in the 2020 AIF). Hydro-Québec supplies power to certain of the Company’s facilities, and to the Municipal Electrical Networks for the Magog and Sherbrooke server farms,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establish a framework for the provision of electricity for cryptocurrency mining in Québec in three Phases:</w:t>
      </w:r>
    </w:p>
    <w:p>
      <w:pPr>
        <w:spacing w:after="0" w:line="19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Phase 1: On July 13, 2018, the Régie provisionally ordered that a new tariff be established for cryptocurrency Miners and on July 19, 2018, the Régie approved a provisional tariff of C$0.15/kWh on cryptocurrency mining facilities built after that date. Under Phase 1, the new tariff cannot be applied to any cryptocurrency contracts entered into prior to June 7, 2018 or facilities constructed prior to July 19, 2018. Therefore, Phase 1 is not expected to have an impact on the Company’s pre-existing operations and secures existing rates until the completion of Phase 3.</w:t>
      </w:r>
    </w:p>
    <w:p>
      <w:pPr>
        <w:spacing w:after="0" w:line="188" w:lineRule="exact"/>
        <w:rPr>
          <w:sz w:val="20"/>
          <w:szCs w:val="20"/>
          <w:color w:val="auto"/>
        </w:rPr>
      </w:pPr>
    </w:p>
    <w:p>
      <w:pPr>
        <w:jc w:val="both"/>
        <w:ind w:left="1300"/>
        <w:spacing w:after="0" w:line="285" w:lineRule="auto"/>
        <w:rPr>
          <w:sz w:val="20"/>
          <w:szCs w:val="20"/>
          <w:color w:val="auto"/>
        </w:rPr>
      </w:pPr>
      <w:r>
        <w:rPr>
          <w:rFonts w:ascii="Arial" w:cs="Arial" w:eastAsia="Arial" w:hAnsi="Arial"/>
          <w:sz w:val="16"/>
          <w:szCs w:val="16"/>
          <w:color w:val="auto"/>
        </w:rPr>
        <w:t>Phase 2: On April 29, 2019, the Régie rendered its decision on Phase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megawatts block based exclusively on economic development and environmental criteria. The Régie rejected Hydro-Québec’s proposal to launch a tariff auction as part of the call for tenders and determined that the applicable tariff of the energy component, in ¢/kWh, will correspond to the M or LG tariff in force, as the case may be. In order for the Company to be able to procure electricity for future Quebec expansion projects (excluding those currently planned by the Company such as the Additional Server Farms (as that term is defined in the 2020 AIF)), it will be required to participate in the call for tenders process which is expected to launch shortly by Hydro-Québec. However, the Régie’s decision also means that the Company’s pre-existing operations at the Current Facilities (as that term is defined in the 2020 AIF) and Additional Server Farms will remain subject to the M or LG tariff in force, as the case may be, and they are exempt from the tender process as well as the provisional tariff of C$0.15/kWh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cryptocurrency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our pre-existing operations at the Current Facilities and Additional Server Farms. A shut down of 95% of operations for the maximum of 300 hours could result in a revenue decrease of approximately 3.4%.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1300"/>
        <w:spacing w:after="0" w:line="255" w:lineRule="auto"/>
        <w:rPr>
          <w:sz w:val="20"/>
          <w:szCs w:val="20"/>
          <w:color w:val="auto"/>
        </w:rPr>
      </w:pPr>
      <w:r>
        <w:rPr>
          <w:rFonts w:ascii="Arial" w:cs="Arial" w:eastAsia="Arial" w:hAnsi="Arial"/>
          <w:sz w:val="18"/>
          <w:szCs w:val="18"/>
          <w:color w:val="auto"/>
        </w:rPr>
        <w:t>Phase 3: On January 28, 2021, the Régie rendered its decision on Phase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2" w:lineRule="exact"/>
        <w:rPr>
          <w:sz w:val="20"/>
          <w:szCs w:val="20"/>
          <w:color w:val="auto"/>
        </w:rPr>
      </w:pPr>
    </w:p>
    <w:p>
      <w:pPr>
        <w:ind w:left="1620" w:right="20" w:hanging="316"/>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existing clients, such as the Company, have already executed agreements with municipal electricity networks with non-firm service (without financial compensation) for at least 300 hours per year;</w:t>
      </w:r>
    </w:p>
    <w:p>
      <w:pPr>
        <w:spacing w:after="0" w:line="170" w:lineRule="exact"/>
        <w:rPr>
          <w:rFonts w:ascii="Arial" w:cs="Arial" w:eastAsia="Arial" w:hAnsi="Arial"/>
          <w:sz w:val="18"/>
          <w:szCs w:val="18"/>
          <w:color w:val="auto"/>
        </w:rPr>
      </w:pPr>
    </w:p>
    <w:p>
      <w:pPr>
        <w:ind w:left="1620" w:right="20" w:hanging="316"/>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0" w:lineRule="exact"/>
        <w:rPr>
          <w:rFonts w:ascii="Arial" w:cs="Arial" w:eastAsia="Arial" w:hAnsi="Arial"/>
          <w:sz w:val="18"/>
          <w:szCs w:val="18"/>
          <w:color w:val="auto"/>
        </w:rPr>
      </w:pPr>
    </w:p>
    <w:p>
      <w:pPr>
        <w:ind w:left="1620" w:hanging="316"/>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In accordance with the Phase 3 decision, it is presently anticipated that the Company’s operations will continue on a non-firm service basis for at least 300 hours per year. The Company has undertaken a challenge to the Phase 3 decision through an administrative review process.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supplied by Hydro-Québec and the Municipal Electrical Networks may be set at Preferential Rates in an effort to encourage investment and development in particular regions. Hydro-Québec and Municipal Electrical Networks (as that term is defined in the 2020 AIF) may offer a discretionary Preferential Rate (as that term is defined in the 2020 AIF) to certain customers, such rate being lower than the rate set by the Régie, notwithstanding that the Hydro-Québec and the Municipal Electric Networks may suffer a financial loss on the supply of electricity to those customers. If a Preferential Rate is changed or no longer available to the Company, its operations and profitability may experience a material adverse effect. In addition, although power is supplied by the Municipal Networks to the Company under the long-term power contracts, the rates in those contracts are adjusted in response to tariff changes imposed by the Régie.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Profits/Losses and Production Revenues/Expenses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development and acquisitions of server farms and the ongoing operation of the existing mining facilities will require additional capital and monthly expenses. The Company’s operating expenses and capital expenditures may increase in subsequent years as needed consultants, personnel and equipment associated with the maintenance of the existing mining facilities and any other mining facilities the Company may acquire are added. There is no assurance that the Company will be successful in obtaining the required financing for these or other purposes, including for general working capital.</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and timing of expenditures will depend on the progress of ongoing development, the results of consultants’ analyses and recommendations, the rate at which operating losses are incurred, the execution of any joint venture agreements with strategic partners, and other factors, many of which are beyond the Company’s control. The Company’s management tested and studied the cryptocurrency marketplace before developing its financial projections. The Company’s forecasts and plans are built upon data available on the profitability of cryptocurrency, a new and unstable field. Despite the Company’s confidence in achieving its projections, it may fail to meet the objectives and milestones set forth in this prospectus. See “</w:t>
      </w:r>
      <w:r>
        <w:rPr>
          <w:rFonts w:ascii="Arial" w:cs="Arial" w:eastAsia="Arial" w:hAnsi="Arial"/>
          <w:sz w:val="18"/>
          <w:szCs w:val="18"/>
          <w:i w:val="1"/>
          <w:iCs w:val="1"/>
          <w:color w:val="auto"/>
        </w:rPr>
        <w:t>USE OF PROCEEDS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 and Milestones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spacing w:after="0" w:line="277" w:lineRule="auto"/>
        <w:rPr>
          <w:sz w:val="20"/>
          <w:szCs w:val="20"/>
          <w:color w:val="auto"/>
        </w:rPr>
      </w:pPr>
      <w:r>
        <w:rPr>
          <w:rFonts w:ascii="Arial" w:cs="Arial" w:eastAsia="Arial" w:hAnsi="Arial"/>
          <w:sz w:val="18"/>
          <w:szCs w:val="18"/>
          <w:b w:val="1"/>
          <w:bCs w:val="1"/>
          <w:i w:val="1"/>
          <w:iCs w:val="1"/>
          <w:color w:val="auto"/>
        </w:rPr>
        <w:t>Cryptocurrency Exchanges and Other Trading Venues are Relatively New and, in Most Cases, Largely Unregulated and May Therefore be More Exposed to Fraud and Failure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that cryptocurrency exchanges or other trading venues are involved in fraud or experience security failures or other operational issues, this could result in a reduction in cryptocurrency prices.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Cryptocurrency market prices depend, directly or indirectly, on the prices set on exchanges and other trading venues, which are new and, in most cases, largely unregulated as compared to established, regulated exchanges for securities, derivatives and other currencies. In the past several years, a number of cryptocurrency exchanges have been closed due to fraud, business failure or security breaches. In many of these instances, the customers of the closed exchanges were not compensated or made whole for the partial or complete losses of their account balances in such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Other Insurance Risks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operations and computing equipment, including its Mining operations, are subject to all of the hazards and risks normally encountered for computing equipment, blockchain and digital asset companies. Such hazards include the loss of computing and Mining equipment resulting from natural disasters, including floods, fires, inclement weather, mudslides, earthquakes, or other similar events beyond the control of the Company or its suppliers, any of which could result in damage to, or destruction of, computing and/or Mining equipment, damage to life or property, environmental damage, and possible legal liability for which the Company may not be insured or is underinsured for. Further, any failure in the Company’s software, including its ability to effectively manage our server farms, could have a material adverse effect on the Company’s business, results of operations and financial condition.</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a risk of serious malfunctions in servers or central processing units and/or their collapse. Backbone works diligently to reduce this risk by employing a team of experts with many years of experience in building and managing data centers. Backbone also employs a “hardware” team, which focuses, among other things, on chip repair and daily evaluation of the technical condition of the server farms that Backbone operates. Backbone owns software (developed by its management) that enables, among other things, control, management and reporting of malfunctions in real time, which enables ongoing control over the operation of the equipment, including its cooling. While malfunctions in central servers, or central processing units can only occur on a specific server farm or part of it or for short periods of time, such server crashes or failures may cause significant economic damage to the Company.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will maintain insurance against risks in the operation of its business and in amounts that it believes to be reasonable, such insurance will contain exclusions and limitations on coverage. If we incur losses that are material, our business, operating results and financial condition could be adversely affected, and we may not have recourse to an insurer. Even in the case of a loss for which that the Company maintains insurance, there is no guarantee that any such insurance coverage will be sufficient or that insurance proceeds will be paid to us.</w:t>
      </w:r>
    </w:p>
    <w:p>
      <w:pPr>
        <w:spacing w:after="0" w:line="17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Hazards associated with high-voltage electricity transmission and industrial operations may result in suspension of our operations or the imposition of civil or criminal penalties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 hazards can cause personal injury and loss of life, severe damage to or destruction of property and equipment and environmental damage, and may result in suspension of operations and the imposition of civil or criminal penalties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Discretion Over Use of Proceeds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Company’s investors may not agree with the manner in which the Company chooses to allocate and spend the net proceeds from an offering. The failure by the Company to apply these funds effectively could have a material adverse effect on the business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b w:val="1"/>
          <w:bCs w:val="1"/>
          <w:i w:val="1"/>
          <w:iCs w:val="1"/>
          <w:color w:val="auto"/>
        </w:rPr>
        <w:t>Absence of a Public Market for Certain of the Securities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Unsecured Debt Securities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Arial" w:cs="Arial" w:eastAsia="Arial" w:hAnsi="Arial"/>
          <w:sz w:val="16"/>
          <w:szCs w:val="16"/>
          <w:i w:val="1"/>
          <w:iCs w:val="1"/>
          <w:color w:val="auto"/>
        </w:rPr>
        <w:t>DESCRIPTION OF DEBT SECURITIES</w:t>
      </w:r>
      <w:r>
        <w:rPr>
          <w:rFonts w:ascii="Arial" w:cs="Arial" w:eastAsia="Arial" w:hAnsi="Arial"/>
          <w:sz w:val="16"/>
          <w:szCs w:val="16"/>
          <w:color w:val="auto"/>
        </w:rPr>
        <w: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Changes in Interest Rates on Debt Securities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Prevailing interest rates will affect the market price or value of any debt securities. The market price or value of any debt securities may decline as prevailing interest rates for comparable debt instruments rise, and increase as prevailing interest rates for comparable debt instruments decline.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Fluctuations in Foreign Currency Markets on Debt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Trading Price of Common Shares and Volatility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securities markets in the United States and Canada, have experienced a high level of price and volume volatility, and the market prices of securities of many companies have experienced wide fluctuations in price that have not necessarily been related to the operating performance, underlying asset values or prospects for such companies. There can be no assurance that continual fluctuations in price will not occur, and the trading price of the Company’s shares may be subject to large fluctuations and may decline below the price at which an investor acquired its shares. The trading price may increase or decrease in response to a number of events and factors, which may not be within the Company’s control nor be a reflection of the Company’s actual operating performance, underlying asset values or prospects. Accordingly, investors may not be able to sell their securities at or above their acquisition cost.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repaying indebtedness outstanding from time to time, completing acquisitions to expand mining capacity and for other corporate purposes as set forth in the prospectus supplement relating to the offering of the securities. The Company will not receive any proceeds from the sale of Securities by any Selling Securityholder.</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Arial" w:cs="Arial" w:eastAsia="Arial" w:hAnsi="Arial"/>
          <w:sz w:val="16"/>
          <w:szCs w:val="16"/>
          <w:i w:val="1"/>
          <w:iCs w:val="1"/>
          <w:color w:val="auto"/>
        </w:rPr>
        <w:t>Short Form 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Form 44-101F1</w:t>
      </w:r>
      <w:r>
        <w:rPr>
          <w:rFonts w:ascii="Arial" w:cs="Arial" w:eastAsia="Arial" w:hAnsi="Arial"/>
          <w:sz w:val="16"/>
          <w:szCs w:val="16"/>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2020 financial year, the Company had positive annual cash flow from operations. However, the Company expects cash flow from operations to be potentially unstable due to the volatile nature of the cryptocurrency markets. In the event the Company experiences negative operating cash flow, the Company, among other actions, may reduce expenses or sell assets, particularly cryptocurrency, to generate sufficient cash to meet its obligations as they come due.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July 31, 2021 the Company had on hand cash of $26.5 million and 1,678 Bitcoin with an approximate value of $69.9 million for a total of $96.4 million of cash and cryptocurrency. The Company’s planned capital expenditures over the next 18 months are anticipated to be approximately $315 million to $345 million. The Company expects to use a majority of the proceeds raised in offerings under this prospectus to satisfy the Company’s commitments in connection with its objectives of achieving 8.0 Exahash by the end of 2022. Estimated remaining cash outflows for new Miners and related infrastructure to achieve the 3.0 Exahash objective and for the incremental 5.0 Exahash to achieve the 8.0 Exahash objective are estimated to be approximately $55 million, and $260 million to $290 million, respectively. The Company plans to continue to retain some or all of the Bitcoin it mines throughout 2021 and 2022. See “</w:t>
      </w:r>
      <w:r>
        <w:rPr>
          <w:rFonts w:ascii="Arial" w:cs="Arial" w:eastAsia="Arial" w:hAnsi="Arial"/>
          <w:sz w:val="18"/>
          <w:szCs w:val="18"/>
          <w:i w:val="1"/>
          <w:iCs w:val="1"/>
          <w:color w:val="auto"/>
        </w:rPr>
        <w:t>CONSOLIDATED CAPITALIZATION</w:t>
      </w:r>
      <w:r>
        <w:rPr>
          <w:rFonts w:ascii="Arial" w:cs="Arial" w:eastAsia="Arial" w:hAnsi="Arial"/>
          <w:sz w:val="18"/>
          <w:szCs w:val="18"/>
          <w:color w:val="auto"/>
        </w:rPr>
        <w:t>”.</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anticipates that its existing financial resources, excluding any proceeds raised under this prospectus, will be sufficient to complete all previously announced acquisitions of mining hardware with deliveries scheduled in 2021 including its mining hardware acquisitions required to reach its target of 3.0 Exahash in the first quarter of 2022. In addition, the Company anticipates that it will be able to complete its previously announced Quebec infrastructure expansion at the Cowansville Facility using its existing financial resources. See “</w:t>
      </w:r>
      <w:r>
        <w:rPr>
          <w:rFonts w:ascii="Arial" w:cs="Arial" w:eastAsia="Arial" w:hAnsi="Arial"/>
          <w:sz w:val="17"/>
          <w:szCs w:val="17"/>
          <w:i w:val="1"/>
          <w:iCs w:val="1"/>
          <w:color w:val="auto"/>
        </w:rPr>
        <w:t>THE COMPANY – Update to Cowansville Facility</w:t>
      </w:r>
      <w:r>
        <w:rPr>
          <w:rFonts w:ascii="Arial" w:cs="Arial" w:eastAsia="Arial" w:hAnsi="Arial"/>
          <w:sz w:val="17"/>
          <w:szCs w:val="17"/>
          <w:color w:val="auto"/>
        </w:rPr>
        <w:t>”. In order to achieve these business objectives, the Company may liquidate or borrow against the Bitcoin that have been accumulated as of the date hereof as well as Bitcoin generated from ongoing operations, which may or may not be possible on commercially attractive terms. The Company presently anticipates that additional financing will be required to complete the required payments on its order of 48,000 Miners scheduled for delivery in 2022 as well as complete construction of the South American expansion, both of which are necessary for the Company to meet its broader objective of generating 8.0 Exahash of computing power by the end of 2022.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In addition, the operations of the Company may be adversely impacted by COVID-19 including the availability of and timing of delivery of mining equipment and certain key materials required to build supporting infrastructure. Further, the Company anticipates that it may be subject to higher equipment costs and shipping costs attributable to supply chain disruptions caused by COVID-19. As of the date hereof, the Company has experienced delays in deploying mining equipment due to COVID-19, primarily related to delays in procuring and installing materials required for the infrastructure buildout to support the Miners. The Company has significant orders placed and outstanding for mining and electrical equipment and construction materials whose delivery may be delayed as a result of COVID-19. See “</w:t>
      </w:r>
      <w:r>
        <w:rPr>
          <w:rFonts w:ascii="Arial" w:cs="Arial" w:eastAsia="Arial" w:hAnsi="Arial"/>
          <w:sz w:val="18"/>
          <w:szCs w:val="18"/>
          <w:i w:val="1"/>
          <w:iCs w:val="1"/>
          <w:color w:val="auto"/>
        </w:rPr>
        <w:t>Risk Factors – Risks Related to the Offering of Securities – Discretion over 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 and Milestones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primary objective is to increase shareholder value by expanding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establishing new facilities. The Company’s ability to expand its operations will depend, in part, on its ability to raise funds to finance the expansion.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are the milestones and their associated estimated costs set out by the Company as of the date hereof.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87" w:lineRule="exact"/>
        <w:rPr>
          <w:sz w:val="20"/>
          <w:szCs w:val="20"/>
          <w:color w:val="auto"/>
        </w:rPr>
      </w:pPr>
    </w:p>
    <w:p>
      <w:pPr>
        <w:ind w:left="660" w:hanging="328"/>
        <w:spacing w:after="0" w:line="289"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Complete the buildout of an additional 78 MW of electrical infrastructure in Quebec during the first quarter of 2022 at an incremental estimated cost of approximately $10 million;</w:t>
      </w:r>
      <w:r>
        <w:rPr>
          <w:rFonts w:ascii="Arial" w:cs="Arial" w:eastAsia="Arial" w:hAnsi="Arial"/>
          <w:sz w:val="29"/>
          <w:szCs w:val="29"/>
          <w:color w:val="auto"/>
          <w:vertAlign w:val="superscript"/>
        </w:rPr>
        <w:t>1</w:t>
      </w:r>
    </w:p>
    <w:p>
      <w:pPr>
        <w:spacing w:after="0" w:line="37" w:lineRule="exact"/>
        <w:rPr>
          <w:rFonts w:ascii="Arial" w:cs="Arial" w:eastAsia="Arial" w:hAnsi="Arial"/>
          <w:sz w:val="18"/>
          <w:szCs w:val="18"/>
          <w:color w:val="auto"/>
        </w:rPr>
      </w:pPr>
    </w:p>
    <w:p>
      <w:pPr>
        <w:ind w:left="660" w:hanging="328"/>
        <w:spacing w:after="0" w:line="289"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Acquire mining equipment to achieve 3.0 Exahash of computing power during the first quarter of 2022 at an estimated incremental cost of approximately $45 million</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jc w:val="both"/>
        <w:ind w:left="660" w:hanging="328"/>
        <w:spacing w:after="0" w:line="27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Commence the engineering procurement and construction activity in the second half of 2021 with expected completion in 2022 of a major mining facility to exploit a 210 MW non-binding memorandum of understanding entered into with a South American energy producer at $0.022/KwH. The costs of developing the site are currently estimated to range from $45 million to $55 million</w:t>
      </w:r>
      <w:r>
        <w:rPr>
          <w:rFonts w:ascii="Arial" w:cs="Arial" w:eastAsia="Arial" w:hAnsi="Arial"/>
          <w:sz w:val="29"/>
          <w:szCs w:val="29"/>
          <w:color w:val="auto"/>
          <w:vertAlign w:val="superscript"/>
        </w:rPr>
        <w:t>3</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Achieve the Company’s target of 8.0 Exahash of computing power by the end of 2022, for an aggregate increase of computing power of approximately 5.0 Exahash over the Company’s first quarter of 2022 target of 3.0 Exahash. At the prevailing cost of computing power, the Company anticipates that it will incur additional mining equipment costs of $215 million to $235 million to increase its computing power by 5.0 Exahash</w:t>
      </w:r>
      <w:r>
        <w:rPr>
          <w:rFonts w:ascii="Arial" w:cs="Arial" w:eastAsia="Arial" w:hAnsi="Arial"/>
          <w:sz w:val="29"/>
          <w:szCs w:val="29"/>
          <w:color w:val="auto"/>
          <w:vertAlign w:val="superscript"/>
        </w:rPr>
        <w:t>4</w:t>
      </w:r>
      <w:r>
        <w:rPr>
          <w:rFonts w:ascii="Arial" w:cs="Arial" w:eastAsia="Arial" w:hAnsi="Arial"/>
          <w:sz w:val="18"/>
          <w:szCs w:val="18"/>
          <w:color w:val="auto"/>
        </w:rPr>
        <w:t>;</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36"/>
          <w:szCs w:val="36"/>
          <w:color w:val="auto"/>
          <w:vertAlign w:val="superscript"/>
        </w:rPr>
      </w:pPr>
      <w:r>
        <w:rPr>
          <w:rFonts w:ascii="Arial" w:cs="Arial" w:eastAsia="Arial" w:hAnsi="Arial"/>
          <w:sz w:val="18"/>
          <w:szCs w:val="18"/>
          <w:color w:val="auto"/>
        </w:rPr>
        <w:t>Maintain the Company’s Bitcoin retention program to grow the quantity of Bitcoin maintained on the Company’s balance sheet</w:t>
      </w:r>
      <w:r>
        <w:rPr>
          <w:rFonts w:ascii="Arial" w:cs="Arial" w:eastAsia="Arial" w:hAnsi="Arial"/>
          <w:sz w:val="29"/>
          <w:szCs w:val="29"/>
          <w:color w:val="auto"/>
          <w:vertAlign w:val="superscript"/>
        </w:rPr>
        <w:t>5</w:t>
      </w:r>
      <w:r>
        <w:rPr>
          <w:rFonts w:ascii="Arial" w:cs="Arial" w:eastAsia="Arial" w:hAnsi="Arial"/>
          <w:sz w:val="18"/>
          <w:szCs w:val="18"/>
          <w:color w:val="auto"/>
        </w:rPr>
        <w:t>; and</w:t>
      </w:r>
    </w:p>
    <w:p>
      <w:pPr>
        <w:spacing w:after="0" w:line="78" w:lineRule="exact"/>
        <w:rPr>
          <w:rFonts w:ascii="Arial" w:cs="Arial" w:eastAsia="Arial" w:hAnsi="Arial"/>
          <w:sz w:val="36"/>
          <w:szCs w:val="36"/>
          <w:color w:val="auto"/>
          <w:vertAlign w:val="superscript"/>
        </w:rPr>
      </w:pPr>
    </w:p>
    <w:p>
      <w:pPr>
        <w:ind w:left="660" w:right="20" w:hanging="328"/>
        <w:spacing w:after="0" w:line="289"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Engage with the Quebec government as well as other governmental and private sector energy suppliers to secure operating sites capable of housing a 50 MW or larger mining facility</w:t>
      </w:r>
      <w:r>
        <w:rPr>
          <w:rFonts w:ascii="Arial" w:cs="Arial" w:eastAsia="Arial" w:hAnsi="Arial"/>
          <w:sz w:val="29"/>
          <w:szCs w:val="29"/>
          <w:color w:val="auto"/>
          <w:vertAlign w:val="superscript"/>
        </w:rPr>
        <w:t>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340" w:hanging="324"/>
        <w:spacing w:after="0" w:line="198"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Company anticipates being able to accomplish this milestone without additional financing. A significant decrease in Bitcoin price may impact the Company’s ability to accomplish this milestone without additional financing,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180"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The Company anticipates being able to accomplish this milestone without additional financing. A significant decrease in Bitcoin price may impact the</w:t>
      </w:r>
    </w:p>
    <w:p>
      <w:pPr>
        <w:spacing w:after="0" w:line="203" w:lineRule="exact"/>
        <w:rPr>
          <w:sz w:val="20"/>
          <w:szCs w:val="20"/>
          <w:color w:val="auto"/>
        </w:rPr>
      </w:pPr>
    </w:p>
    <w:p>
      <w:pPr>
        <w:ind w:left="340" w:hanging="332"/>
        <w:spacing w:after="0" w:line="194"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The Company anticipates requiring additional financing to complete this milestone and anticipates raising funds under this Prospectus to complete the milestone. The Company will only complete this milestone if and when additional financing has been obtained.</w:t>
      </w:r>
    </w:p>
    <w:p>
      <w:pPr>
        <w:ind w:left="340" w:hanging="332"/>
        <w:spacing w:after="0" w:line="187"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The Company anticipates requiring additional financing to complete this milestone and anticipates raising funds under this Prospectus to complete the milestone. The Company will only complete this milestone if and when additional financing has been obtained.</w:t>
      </w:r>
    </w:p>
    <w:p>
      <w:pPr>
        <w:ind w:left="340" w:hanging="332"/>
        <w:spacing w:after="0" w:line="181"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The continuation of the Company’s Bitcoin retention program is contingent on its ability to raise additional financing to undertake its other growth</w:t>
      </w:r>
    </w:p>
    <w:p>
      <w:pPr>
        <w:spacing w:after="0" w:line="3" w:lineRule="exact"/>
        <w:rPr>
          <w:sz w:val="20"/>
          <w:szCs w:val="20"/>
          <w:color w:val="auto"/>
        </w:rPr>
      </w:pPr>
    </w:p>
    <w:p>
      <w:pPr>
        <w:ind w:left="340"/>
        <w:spacing w:after="0" w:line="249" w:lineRule="auto"/>
        <w:rPr>
          <w:sz w:val="20"/>
          <w:szCs w:val="20"/>
          <w:color w:val="auto"/>
        </w:rPr>
      </w:pPr>
      <w:r>
        <w:rPr>
          <w:rFonts w:ascii="Arial" w:cs="Arial" w:eastAsia="Arial" w:hAnsi="Arial"/>
          <w:sz w:val="18"/>
          <w:szCs w:val="18"/>
          <w:color w:val="auto"/>
        </w:rPr>
        <w:t xml:space="preserve">objectives, as described under the heading </w:t>
      </w:r>
      <w:r>
        <w:rPr>
          <w:rFonts w:ascii="Arial" w:cs="Arial" w:eastAsia="Arial" w:hAnsi="Arial"/>
          <w:sz w:val="18"/>
          <w:szCs w:val="18"/>
          <w:i w:val="1"/>
          <w:iCs w:val="1"/>
          <w:color w:val="auto"/>
        </w:rPr>
        <w:t>“Business objectives and Milestones”.</w:t>
      </w:r>
      <w:r>
        <w:rPr>
          <w:rFonts w:ascii="Arial" w:cs="Arial" w:eastAsia="Arial" w:hAnsi="Arial"/>
          <w:sz w:val="18"/>
          <w:szCs w:val="18"/>
          <w:color w:val="auto"/>
        </w:rPr>
        <w:t xml:space="preserve"> If no additional financing is obtained, the Company may have to liquidate its Bitcoin retained in order to meet its financial obligations and fund certain milestones as described above.</w:t>
      </w:r>
    </w:p>
    <w:p>
      <w:pPr>
        <w:spacing w:after="0" w:line="1" w:lineRule="exact"/>
        <w:rPr>
          <w:sz w:val="20"/>
          <w:szCs w:val="20"/>
          <w:color w:val="auto"/>
        </w:rPr>
      </w:pPr>
    </w:p>
    <w:p>
      <w:pPr>
        <w:ind w:left="340" w:hanging="332"/>
        <w:spacing w:after="0" w:line="187"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The Company anticipates requiring additional financing to complete this milestone and anticipates raising funds under this Prospectus to complete the milestone. The Company will only complete this milestone if and when additional financing has been obtained.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Subsequent to the date of the 2020 Annual Financial Statements, the Company has entered into four private placements for total gross proceeds of C$155 million in exchange for the issuance of 40,187,121 Common Shares and 36,649,385 warrants to purchase Common Shares. Further details to these transactions can be found in the material change reports dated January 7, 2021, January 14, 2021, February 10, 2021 and May 20, 2021 as well as the Company’s 2020 AIF incorporated by reference. In addition, in January 2021 Dominion Capital exercised their option to convert $5,000,000 of debt into 8,474,576 Common Shares. The Company has used the proceeds from these financings to: (i) acquire and place deposits on equipment, including approximately 17,750 Miners as of the date hereof with deliveries scheduled in 2021 in addition to the placement of orders and deposits for an additional 48,000 Miners; and (ii) retire the Company’s term loan indebtedness to Dominion Capital. All warrants issued to Dominion Capital have been exercised. The net proceeds from the private placement described in the material change report dated May 20, 2021 were used primarily for the purposes as stated, being the payment for the Company’s previously announced order of 6,600 new Miners purchased from Bitmain with expected deliveries in 2021 and the 48,000 new Miners ordered from MicroBT with expected deliveries in 2022. The total deposits placed in connection with these contracts since May 2021 is approximate $46.5 million.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material changes to the Company’s consolidated capitalization since the date of the 2020 Annual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in respect of the Company’s Common Shares that we issued within the previous twelve month period, including Common Shares that we issued upon the exercise of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will be provided as required in a prospectus supplement with respect to the issuance of securities pursuant to such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PRICE AND VOLUME</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The Common Shares are listed and posted for trading on the Nasdaq under the symbol “</w:t>
      </w:r>
      <w:r>
        <w:rPr>
          <w:rFonts w:ascii="Arial" w:cs="Arial" w:eastAsia="Arial" w:hAnsi="Arial"/>
          <w:sz w:val="17"/>
          <w:szCs w:val="17"/>
          <w:b w:val="1"/>
          <w:bCs w:val="1"/>
          <w:color w:val="auto"/>
        </w:rPr>
        <w:t>BITF</w:t>
      </w:r>
      <w:r>
        <w:rPr>
          <w:rFonts w:ascii="Arial" w:cs="Arial" w:eastAsia="Arial" w:hAnsi="Arial"/>
          <w:sz w:val="17"/>
          <w:szCs w:val="17"/>
          <w:color w:val="auto"/>
        </w:rPr>
        <w:t>” and on the TSXV under the symbol “</w:t>
      </w:r>
      <w:r>
        <w:rPr>
          <w:rFonts w:ascii="Arial" w:cs="Arial" w:eastAsia="Arial" w:hAnsi="Arial"/>
          <w:sz w:val="17"/>
          <w:szCs w:val="17"/>
          <w:b w:val="1"/>
          <w:bCs w:val="1"/>
          <w:color w:val="auto"/>
        </w:rPr>
        <w:t>BITF</w:t>
      </w:r>
      <w:r>
        <w:rPr>
          <w:rFonts w:ascii="Arial" w:cs="Arial" w:eastAsia="Arial" w:hAnsi="Arial"/>
          <w:sz w:val="17"/>
          <w:szCs w:val="17"/>
          <w:color w:val="auto"/>
        </w:rPr>
        <w:t>”. Trading price and volume information for the Company’s securities will be provided as required in each prospectus supplement to this prospectus.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COVERAGE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authorized capital of the Company consists of an unlimited number of Common Shares without par value and an unlimited number of preferred shares without par value. As of the date hereof, there are 165,487,977 Common Shares and no preferred shares issued and outstanding.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As of the date of this prospectus, there were: (i) 11,484,175 Common Shares issuable upon the exercise of outstanding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at a weighted average exercise price of C$4.52 and (ii) 22,732,060Common Shares reserved for issuance on exercise of 22,732,060 issued and outstanding Common Share purchase warrants of the Company with a weighted average exercise price of US$3.90 and 200,000 RSUs, for a total of 34,416,235 Common Shares on a fully-diluted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Common Shares rank equally as to voting rights, participation in a distribution of the assets of the Company on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describing the debt securities, the terms “Company” and “Bitfarms” refer only to Bitfarms Ltd. without any of its subsidiaries.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82" w:lineRule="auto"/>
        <w:rPr>
          <w:sz w:val="20"/>
          <w:szCs w:val="20"/>
          <w:color w:val="auto"/>
        </w:rPr>
      </w:pPr>
      <w:r>
        <w:rPr>
          <w:rFonts w:ascii="Arial" w:cs="Arial" w:eastAsia="Arial" w:hAnsi="Arial"/>
          <w:sz w:val="18"/>
          <w:szCs w:val="18"/>
          <w:color w:val="auto"/>
        </w:rPr>
        <w:t>The debt securities will be issued under one or more indentures (each, a “</w:t>
      </w:r>
      <w:r>
        <w:rPr>
          <w:rFonts w:ascii="Arial" w:cs="Arial" w:eastAsia="Arial" w:hAnsi="Arial"/>
          <w:sz w:val="18"/>
          <w:szCs w:val="18"/>
          <w:b w:val="1"/>
          <w:bCs w:val="1"/>
          <w:color w:val="auto"/>
        </w:rPr>
        <w:t>Trust Indenture</w:t>
      </w:r>
      <w:r>
        <w:rPr>
          <w:rFonts w:ascii="Arial" w:cs="Arial" w:eastAsia="Arial" w:hAnsi="Arial"/>
          <w:sz w:val="18"/>
          <w:szCs w:val="18"/>
          <w:color w:val="auto"/>
        </w:rPr>
        <w:t>”), in each case between the Company and a financial institution or trust company authorized to carry on business as a trustee (each, a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 of principal amount at which the debt securities will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payment on the debt securities will be senior or subordinated to other liabilities or obligations of the Company;</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the Company will pay principal, premium, if any, and interest, if any, and the place or places where debt securities can be presented for registration of transfer or exchange;</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Company may redeem the debt securities at its option and the terms and conditions of any such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denominations in which the Company will issue any registered and unregistered debt securities;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with reference to any index or formula;</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issued as global securities (defined below) and, if so, the identity of the depositary (defined below) for the global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issued as unregistered securities (with or without coupons), registered securities or both;</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events of default or covenants applicable to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terms under which debt securities may be defeased, whether at or prior to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holders of any series of debt securities have special rights if specified events occur;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mandatory or optional redemption or sinking fund or analogous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if any, for any conversion or exchange of the debt securities for any other securities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any transfer restrictions in respect of Disqualified Holders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rights, if any, on a change of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any rights or terms attaching to the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issue debt securities bearing no interest or interest at a rate below the prevailing market rate at the time of issuance, and offer and sell these securities at a discount below their stated principal amount.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otherwise at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Other Indebtedness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rateably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rateably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Securities in Book Entry Form</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Unless otherwise indicated in an applicable prospectus supplement, debt securities of any series may be issued in whole or in part in the form of one or more global securities (“</w:t>
      </w:r>
      <w:r>
        <w:rPr>
          <w:rFonts w:ascii="Arial" w:cs="Arial" w:eastAsia="Arial" w:hAnsi="Arial"/>
          <w:sz w:val="16"/>
          <w:szCs w:val="16"/>
          <w:b w:val="1"/>
          <w:bCs w:val="1"/>
          <w:color w:val="auto"/>
        </w:rPr>
        <w:t>Global Securities</w:t>
      </w:r>
      <w:r>
        <w:rPr>
          <w:rFonts w:ascii="Arial" w:cs="Arial" w:eastAsia="Arial" w:hAnsi="Arial"/>
          <w:sz w:val="16"/>
          <w:szCs w:val="16"/>
          <w:color w:val="auto"/>
        </w:rPr>
        <w:t>”) registered in the name of a designated clearing agency (a “</w:t>
      </w:r>
      <w:r>
        <w:rPr>
          <w:rFonts w:ascii="Arial" w:cs="Arial" w:eastAsia="Arial" w:hAnsi="Arial"/>
          <w:sz w:val="16"/>
          <w:szCs w:val="16"/>
          <w:b w:val="1"/>
          <w:bCs w:val="1"/>
          <w:color w:val="auto"/>
        </w:rPr>
        <w:t>Depositary</w:t>
      </w:r>
      <w:r>
        <w:rPr>
          <w:rFonts w:ascii="Arial" w:cs="Arial" w:eastAsia="Arial" w:hAnsi="Arial"/>
          <w:sz w:val="16"/>
          <w:szCs w:val="16"/>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Arial" w:cs="Arial" w:eastAsia="Arial" w:hAnsi="Arial"/>
          <w:sz w:val="16"/>
          <w:szCs w:val="16"/>
          <w:b w:val="1"/>
          <w:bCs w:val="1"/>
          <w:color w:val="auto"/>
        </w:rPr>
        <w:t>Participants</w:t>
      </w:r>
      <w:r>
        <w:rPr>
          <w:rFonts w:ascii="Arial" w:cs="Arial" w:eastAsia="Arial" w:hAnsi="Arial"/>
          <w:sz w:val="16"/>
          <w:szCs w:val="16"/>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17"/>
          <w:szCs w:val="17"/>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Securities in Certificated Form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describes the general terms that will apply to any warrants for the purchase of Common Shares, or equity warrants, or for the purchase of debt securities, or debt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www.sedar.com.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applicable prospectus supplement relating to any warrants that we offer will describe the particular terms of those warrants and include specific terms relating to the offering.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(Ontario) or otherwise at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93" w:lineRule="auto"/>
        <w:rPr>
          <w:sz w:val="20"/>
          <w:szCs w:val="20"/>
          <w:color w:val="auto"/>
        </w:rPr>
      </w:pPr>
      <w:r>
        <w:rPr>
          <w:rFonts w:ascii="Arial" w:cs="Arial" w:eastAsia="Arial" w:hAnsi="Arial"/>
          <w:sz w:val="16"/>
          <w:szCs w:val="16"/>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particular terms of each issue of equity warrants will be described in the applicable prospectus supplement. This description will include, where applicable:</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aggregate number of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at which the equity warrants will be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or currencies in which the equity warrants will be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issue fractional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have applied to list the equity warrants or the underlying shares on a stock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equity warrants will be offered, if any, and the number of the equity warrants that will be offered with each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if any, on or after which the equity warrants and the related securities will be transferable separately;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equity warrants will be subject to redemption or call and, if so, the terms of such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equity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material terms or conditions of the equity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Debt Warrants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particular terms of each issue of debt warrants will be described in the related prospectus supplement. This description will include, where applicable:</w:t>
      </w:r>
    </w:p>
    <w:p>
      <w:pPr>
        <w:spacing w:after="0" w:line="16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aggregate number of debt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at which the debt warrants will be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currencies in which the debt warrants will be offered;</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debt warrants are being offered, if any, and the number of the debt warrants that will be offered with each security;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if any, on or after which the debt warrants and the related securities will be transferable separately;</w:t>
      </w:r>
    </w:p>
    <w:p>
      <w:pPr>
        <w:spacing w:after="0" w:line="144"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or maximum amount of debt warrants that may be exercised at any one time;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warrants will be subject to redemption or call, and, if so, the terms of such redemption or call provisions;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debt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have applied to list the debt warrants or the underlying debt securities on an exchange;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debt warrants;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material terms or conditions of the debt warrants.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Prior to the exercise of their warrants, holders of warrants will not have any of the rights of holders of the securities subject to the warrants.</w:t>
      </w:r>
    </w:p>
    <w:p>
      <w:pPr>
        <w:spacing w:after="0" w:line="14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DESCRIPTION OF UNITS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8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and aggregate number of units being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the units will be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number and terms of the securities comprising the units and any agreement governing the units;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if any, on or after which the securities comprising the units will be transferable separately;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we will apply to list the units or any of the individual securities comprising the units on any exchange;</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material Canadian income tax consequences of owning the units, including, how the purchase price paid for the units will be allocated among the securities comprising the units;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material terms or conditions of the units.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SUBSCRIPTION RECEIPTS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issue subscription receipts separately or in combination with one or more other securities, which will entitle holders thereof to receive, upon satisfaction of certain release conditions (the “</w:t>
      </w:r>
      <w:r>
        <w:rPr>
          <w:rFonts w:ascii="Arial" w:cs="Arial" w:eastAsia="Arial" w:hAnsi="Arial"/>
          <w:sz w:val="17"/>
          <w:szCs w:val="17"/>
          <w:b w:val="1"/>
          <w:bCs w:val="1"/>
          <w:color w:val="auto"/>
        </w:rPr>
        <w:t>Release Conditions</w:t>
      </w:r>
      <w:r>
        <w:rPr>
          <w:rFonts w:ascii="Arial" w:cs="Arial" w:eastAsia="Arial" w:hAnsi="Arial"/>
          <w:sz w:val="17"/>
          <w:szCs w:val="17"/>
          <w:color w:val="auto"/>
        </w:rPr>
        <w:t>”) and for no additional consideration, Common Shares, warrants, debt securities or any combination thereof. Subscription receipts will be issued pursuant to one or more subscription receipt agreements (each, a “</w:t>
      </w:r>
      <w:r>
        <w:rPr>
          <w:rFonts w:ascii="Arial" w:cs="Arial" w:eastAsia="Arial" w:hAnsi="Arial"/>
          <w:sz w:val="17"/>
          <w:szCs w:val="17"/>
          <w:b w:val="1"/>
          <w:bCs w:val="1"/>
          <w:color w:val="auto"/>
        </w:rPr>
        <w:t>Subscription Receipt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material terms of which will be described in the applicable prospectus supplement, each to be entered into between the Company and an</w:t>
      </w:r>
      <w:r>
        <w:rPr>
          <w:rFonts w:ascii="Arial" w:cs="Arial" w:eastAsia="Arial" w:hAnsi="Arial"/>
          <w:sz w:val="17"/>
          <w:szCs w:val="17"/>
          <w:b w:val="1"/>
          <w:bCs w:val="1"/>
          <w:color w:val="auto"/>
        </w:rPr>
        <w:t xml:space="preserve"> </w:t>
      </w:r>
      <w:r>
        <w:rPr>
          <w:rFonts w:ascii="Arial" w:cs="Arial" w:eastAsia="Arial" w:hAnsi="Arial"/>
          <w:sz w:val="17"/>
          <w:szCs w:val="17"/>
          <w:color w:val="auto"/>
        </w:rPr>
        <w:t>escrow agent (the “</w:t>
      </w:r>
      <w:r>
        <w:rPr>
          <w:rFonts w:ascii="Arial" w:cs="Arial" w:eastAsia="Arial" w:hAnsi="Arial"/>
          <w:sz w:val="17"/>
          <w:szCs w:val="17"/>
          <w:b w:val="1"/>
          <w:bCs w:val="1"/>
          <w:color w:val="auto"/>
        </w:rPr>
        <w:t>Escrow Agent</w:t>
      </w:r>
      <w:r>
        <w:rPr>
          <w:rFonts w:ascii="Arial" w:cs="Arial" w:eastAsia="Arial" w:hAnsi="Arial"/>
          <w:sz w:val="17"/>
          <w:szCs w:val="17"/>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and aggregate number of subscription receipts being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Release Conditions that must be met in order for holders of subscription receipts to receive, for no additional consideration, the Common Shares, warrants and/or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procedures for the issuance and delivery of the Common Shares, warrants and/or debt securities to holders of subscription receipts upon satisfaction of the Release Conditions;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any payments will be made to holders of subscription receipts upon delivery of the Common Shares, warrants and/or debt securities upon satisfaction of the Release Conditions;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identity of the Escrow Agent;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terms and conditions under which the Escrow Agent will hold all or a portion of the gross proceeds from the sale of subscription receipts, together with interest and income earned thereon (collectively, the “</w:t>
      </w:r>
      <w:r>
        <w:rPr>
          <w:rFonts w:ascii="Arial" w:cs="Arial" w:eastAsia="Arial" w:hAnsi="Arial"/>
          <w:sz w:val="17"/>
          <w:szCs w:val="17"/>
          <w:b w:val="1"/>
          <w:bCs w:val="1"/>
          <w:color w:val="auto"/>
        </w:rPr>
        <w:t>Escrowed Funds</w:t>
      </w:r>
      <w:r>
        <w:rPr>
          <w:rFonts w:ascii="Arial" w:cs="Arial" w:eastAsia="Arial" w:hAnsi="Arial"/>
          <w:sz w:val="17"/>
          <w:szCs w:val="17"/>
          <w:color w:val="auto"/>
        </w:rPr>
        <w:t>”), pending satisfaction of the Release Conditions;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pursuant to which the Escrow Agent will hold the Common Shares, warrants and/or debt securities pending satisfaction of the Release Conditions;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under which the Escrow Agent will release all or a portion of the Escrowed Funds to the Company upon satisfaction of the Release Conditions;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entitlement of Bitfarms to purchase the subscription receipts in the open market by private agreement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we will issue the subscription receipts as Global Securities and, if so, the identity of the Depositary for the Global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we will issue the subscription receipts as unregistered bearer securities, as registered securities or both;</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we will apply to list the subscription receipts on any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subscription receipts;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material terms or conditions of the subscription receipts.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Holders of Subscription Receipts Prior to Satisfaction of Release Conditions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issue share purchase contracts, representing contracts obligating holders to purchase from or sell to us a specified number of Common Shares, as applicable, at a future date or 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 any other material terms and conditions of the share purchase contracts including, without limitation, transferability and adjustment terms and whether the share purchase contracts will be listed on a stock exchange.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may sell the securities of the Company offered by this prospectus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sale of Common Shares may be effected from time to time in one or more transactions at non-fixed prices pursuant to transactions that are deemed to be “at-the-market distributions” as defined in NI 44-102, including sales made directly on the TSXV,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may also, from time to time, relate to the offering of Common Shares by certain Selling Securityholders.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TSXV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Common Shares will be freely tradable in the hands of persons other than our affiliates.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INCOME TAX CONSIDERATIONS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auditor of the Company is 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at its offices located at PwC Centre, 354 Davis Road, Suite 600, Oakville, Ontario, Canada L6J 0C5. PWC was appointed as auditor of the Company on June 18, 2020. PWC audited the financial statements of the Company for the twelve months ended December 31, 2020 and has prepared the Independent Auditors Report in respect of such financial statements, incorporated by reference herein.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Kost Forer Gabbay &amp; Kasierer, a member of Ernst &amp; Young Global, located at 144 Menachem Begin Road, Building A, Tel-Aviv 6492102, Israel, is the former auditor of the Company and has prepared the Independent Auditors Report and audited the financial statements of the Company for the twelve months ended December 31, 2019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of the Company is TSX Trust Company at its offices located at 100 Adelaide St W #301, Toronto, ON M5H 1S3.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AGENTS FOR SERVICE OF PROCESS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directors and officers of the Company reside outside of Canada. Emiliano Joel Grodzki, Nicolas Bonta, Andres Finkielsztain, and Jeffrey Lucas have appointed the following agents for service of process: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Name of Person</w:t>
            </w:r>
          </w:p>
        </w:tc>
        <w:tc>
          <w:tcPr>
            <w:tcW w:w="220" w:type="dxa"/>
            <w:vAlign w:val="bottom"/>
          </w:tcPr>
          <w:p>
            <w:pPr>
              <w:spacing w:after="0"/>
              <w:rPr>
                <w:sz w:val="20"/>
                <w:szCs w:val="20"/>
                <w:color w:val="auto"/>
              </w:rPr>
            </w:pPr>
          </w:p>
        </w:tc>
        <w:tc>
          <w:tcPr>
            <w:tcW w:w="55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Name and Address of Agent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Emiliano Joel Grodzki</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Nicolas Bonta</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Bitfarms Ltd.</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Andres Finkielsztain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18 King St. E, Suite 902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Jeffrey Lucas</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Toronto, ON M5C 1C4</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file with the SEC, concurrently with the Registration Statement, an appointment of agent for service of process on Form F-X. Under the Form F-X, the Company will appoint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EXEMPTIONS UNDER SECURITIES LAWS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a decision of the Autorité des Marchés Financiers, the securities regulatory authority in the Province of Québec, dated January 25, 2021,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STATUTORY RIGHTS OF WITHDRAWAL AND RESCISSION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legislation in some provinces and territories of Canada provides purchasers of securities with the right to withdraw from an agreement to purchase securities and with remedies for rescission or, in some jurisdictions, revisions of the price, or damages if the prospectus, prospectus supplement, and any amendment relating to securities purchased by a purchaser are not sent or delivered to the purchaser. However, purchasers of securities under an at-the-market distribution by Bitfarms do not have the right to withdraw from an agreement to purchase the securities and do not have remedies of rescission or, in some jurisdictions, revisions of the price, or damages for non-delivery of the prospectus, prospectus supplement, and any amendment relating to securities purchased by such purchaser because the prospectus, prospectus supplement, and any amendment relating to the securities purchased by such purchaser will not be sent or delivered, as permitted under Part 9 of NI44-102.</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legislation in some provinces and territories of Canada further provides purchasers with remedies for rescission or, in some jurisdictions, revisions of the price or damages if the prospectus, prospectus supplement, and any amendment relating to securities purchased by a purchaser contains a misrepresentation.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Those remedies must be exercised by the purchaser within the time limit prescribed by securities legislation. Any remedies under securities legislation that a purchaser of securities distributed under an at-the-market distribution by Bitfarms may have against Bitfarms or its agents for rescission or, in some jurisdictions, revisions of the price, or damages if the prospectus, prospectus supplement, and any amendment relating to securities purchased by a purchaser contain a misrepresentation will remain unaffected by the non-delivery of the prospectus referred to above.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offering of convertible, exchangeable, or exercisable securities, investors are cautioned that the statutory right of action for damages under Canadian securities laws for a misrepresentation contained in the prospectus or a prospectus supplement (or any amendment thereto) is limited, in certain provincial and territorial securities legislation, to the price at which the convertible, exchangeable or exercisable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The purchaser should refer to any applicable provisions of the securities legislation of the purchaser’s province or territory for the particulars of these rights, or consult with a legal advisor.</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Original purchasers of convertible, exchangeable, or exercisable securities, will have a contractual right of rescission against us in respect of the exercise of such convertible, exchangeable, or exercisable securities. The contractual right of rescission will entitle such original purchasers to receive, upon surrender of the underlying securities acquired upon exercise of the convertible, exchangeable, or exercisable security, as applicable, the total of the amount paid on original purchase of the convertible, exchangeable, or exercisable security, as applicable and the amount paid upon exercise, in the event that this prospectus (as supplemented or amended) contains a misrepresentation, provided that: (i) the exercise takes place within 180 days of the date of the purchase of the convertible, exchangeable, or exercisable security under the applicable prospectus supplement; and (ii) the right of rescission is exercised within 180 days of the date of purchase of the convertible, exchangeable, or exercisable security under the applicable prospectus supplement. This contractual right of rescission will be consistent with the statutory right of rescission described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is in addition to any other right or remedy available to original purchasers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or otherwise at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TO BE DELIVERED TO OFFEREES 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Section 124 of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w:t>
      </w:r>
      <w:r>
        <w:rPr>
          <w:rFonts w:ascii="Arial" w:cs="Arial" w:eastAsia="Arial" w:hAnsi="Arial"/>
          <w:sz w:val="16"/>
          <w:szCs w:val="16"/>
          <w:b w:val="1"/>
          <w:bCs w:val="1"/>
          <w:color w:val="auto"/>
        </w:rPr>
        <w:t>CBCA</w:t>
      </w:r>
      <w:r>
        <w:rPr>
          <w:rFonts w:ascii="Arial" w:cs="Arial" w:eastAsia="Arial" w:hAnsi="Arial"/>
          <w:sz w:val="16"/>
          <w:szCs w:val="16"/>
          <w:color w:val="auto"/>
        </w:rPr>
        <w:t>”) provides for the indemnification of directors and officers of Bitfarms. Under these provisions, Bitfarms shall indemnify a director or officer of Bitfarms, a former director or officer, and may indemnify an individual who acts or acted at Bitfarms’ request as a director or officer or in a similar capacity of another entity (collectively,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w:t>
      </w:r>
    </w:p>
    <w:p>
      <w:pPr>
        <w:spacing w:after="0" w:line="3" w:lineRule="exact"/>
        <w:rPr>
          <w:sz w:val="20"/>
          <w:szCs w:val="20"/>
          <w:color w:val="auto"/>
        </w:rPr>
      </w:pPr>
    </w:p>
    <w:p>
      <w:pPr>
        <w:jc w:val="both"/>
        <w:ind w:firstLine="8"/>
        <w:spacing w:after="0" w:line="268" w:lineRule="auto"/>
        <w:tabs>
          <w:tab w:leader="none" w:pos="2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he or she acted honestly and in good faith with a view to the best interests of Bitfarms or in the best interests of such other entity as applicable and (b)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indemnification from Bitfarms in respect of all costs, charges and expenses reasonably incurred by him or her in connection with the defense of any civil, criminal, administrative, investigative or other proceeding to which he or she is made a party by reason of his or her association with Bitfarms or such other entity if he or she fulfills the conditions in clauses (a) and (b) of this paragraph and was not judged by the court or other competent authority to have committed any fault or omitted to do anything that the individual ought to have done.</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policy of directors’ and officers’ liability insurance is maintained by the Registrant that insures directors and officers against losses incurred as a result of claims against the directors and officers of the Registrant in Canada pursuant to the indemnity provisions under the Registrant’s articles and the CBCA.</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have been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Management’s Discussion &amp; Analysis for the year ended December 31, 2019, dated April 29, 2020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54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99.</w:t>
              </w:r>
              <w:r>
                <w:rPr>
                  <w:rFonts w:ascii="Arial" w:cs="Arial" w:eastAsia="Arial" w:hAnsi="Arial"/>
                  <w:sz w:val="18"/>
                  <w:szCs w:val="18"/>
                  <w:u w:val="single" w:color="auto"/>
                  <w:color w:val="0000EE"/>
                  <w:w w:val="92"/>
                </w:rPr>
                <w:t>15</w:t>
              </w:r>
              <w:r>
                <w:rPr>
                  <w:rFonts w:ascii="Arial" w:cs="Arial" w:eastAsia="Arial" w:hAnsi="Arial"/>
                  <w:sz w:val="18"/>
                  <w:szCs w:val="18"/>
                  <w:color w:val="0000EE"/>
                  <w:w w:val="92"/>
                </w:rPr>
                <w:t xml:space="preserve"> to the Registrant’s 40-F filed with the SEC on April 28, 2021 (File No. 001-40370)).</w:t>
              </w:r>
            </w:hyperlink>
          </w:p>
        </w:tc>
        <w:tc>
          <w:tcPr>
            <w:tcW w:w="356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Annual Information Form for the year ended December 31, 2020, dated as at April 7, 2021 (incorporated by reference to Exhibit 99.123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the Registrant’s 40-F filed with the SEC on April 28, 2021 (File No. 001-40370)).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Consolidated Financial Statements as of and for the years ended December 31, 2020 and 2019, dated March 24, 2021 (incorporated by</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10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reference to Exhibit 99.112 to the Registrant’s 40-F filed with the SEC on April 28, 2021 (File No. 001-40370)).</w:t>
              </w:r>
            </w:hyperlink>
          </w:p>
        </w:tc>
        <w:tc>
          <w:tcPr>
            <w:tcW w:w="2000" w:type="dxa"/>
            <w:vAlign w:val="bottom"/>
            <w:tcBorders>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Management’s Discussion &amp; Analysis for the year ended December 31, 2020, dated March 24, 2021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99.</w:t>
              </w:r>
              <w:r>
                <w:rPr>
                  <w:rFonts w:ascii="Arial" w:cs="Arial" w:eastAsia="Arial" w:hAnsi="Arial"/>
                  <w:sz w:val="18"/>
                  <w:szCs w:val="18"/>
                  <w:u w:val="single" w:color="auto"/>
                  <w:color w:val="0000EE"/>
                </w:rPr>
                <w:t>113</w:t>
              </w:r>
              <w:r>
                <w:rPr>
                  <w:rFonts w:ascii="Arial" w:cs="Arial" w:eastAsia="Arial" w:hAnsi="Arial"/>
                  <w:sz w:val="18"/>
                  <w:szCs w:val="18"/>
                  <w:color w:val="0000EE"/>
                </w:rPr>
                <w:t xml:space="preserve"> to the Registrant’s 40-F filed with the SEC on April 28, 2021 (File No. 001-40370)).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r:id="rId73">
              <w:r>
                <w:rPr>
                  <w:rFonts w:ascii="Arial" w:cs="Arial" w:eastAsia="Arial" w:hAnsi="Arial"/>
                  <w:sz w:val="18"/>
                  <w:szCs w:val="18"/>
                  <w:color w:val="0000EE"/>
                  <w:w w:val="96"/>
                </w:rPr>
                <w:t>Notice of Special Meeting of Shareholders &amp; Management Information Circular dated January 2, 2020 (incorporated by reference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Exhibit 99.1 to the Registrant’s 40-F filed with the SEC on April 28, 2021 (File No. 001-40370)).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4.6</w:t>
            </w:r>
          </w:p>
        </w:tc>
        <w:tc>
          <w:tcPr>
            <w:tcW w:w="10100" w:type="dxa"/>
            <w:vAlign w:val="bottom"/>
            <w:tcBorders>
              <w:bottom w:val="single" w:sz="8" w:color="0000EE"/>
              <w:right w:val="single" w:sz="8" w:color="CCEEFF"/>
            </w:tcBorders>
            <w:gridSpan w:val="4"/>
            <w:shd w:val="clear" w:color="auto" w:fill="CCEEFF"/>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Material Change Report dated January 4, 2021 (incorporated by reference to Exhibit 99.78 to the Registrant’s 40-F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4.7</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Material Change Report dated January 7, 2021 (incorporated by reference to Exhibit 99.79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April 28, 2021 (File No. 001-40370)).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Material Change Report dated January 11, 2021 (incorporated by reference to Exhibit 99.82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4.9</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Material Change Report dated January 14, 2021 (incorporated by reference to Exhibit 99.84 to the Registrant’s 40-F filed with the SEC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April 28, 2021 (File No. 001-40370)).</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4.10</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Material Change Report dated January 14, 2021 (incorporated by reference to Exhibit 99.85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4.11</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Material Change Report dated February 4, 2021 (incorporated by reference to Exhibit 99.89 to the Registrant’s 40-F filed with the SEC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April 28, 2021 (File No. 001-40370)).</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4.12</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Material Change Report dated February 8, 2021 (incorporated by reference to Exhibit 99.92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4.13</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Material Change Report dated February 10, 2021 (incorporated by reference to Exhibit 99.93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April 28, 2021 (File No. 001-40370)).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4.14</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Material Change Report dated February 18, 2021 (incorporated by reference to Exhibit 99.95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4.15</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Material Change Report dated February 23, 2021 (incorporated by reference to Exhibit 99.97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April 28, 2021 (File No. 001-40370)).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4.16</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Material Change Report dated March 2, 2021 (incorporated by reference to Exhibit 99.99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4.17</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Material Change Report dated March 12, 2021 (incorporated by reference to Exhibit 99.104 to the Registrant’s 40-F filed with the SEC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April 28, 2021 (File No. 001-40370)).</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4.18</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Material Change Report dated March 24, 2021 (incorporated by reference to Exhibit 99.110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4.19</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Material Change Report dated March 25, 2021 (incorporated by reference to Exhibit 99.118 to the Registrant’s 40-F filed with the SEC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April 28, 2021 (File No. 001-40370)).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4.20</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Material Change Report dated April 1, 2021 (incorporated by reference to Exhibit 99.120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4.21</w:t>
            </w:r>
          </w:p>
        </w:tc>
        <w:tc>
          <w:tcPr>
            <w:tcW w:w="10100" w:type="dxa"/>
            <w:vAlign w:val="bottom"/>
            <w:gridSpan w:val="4"/>
          </w:tcPr>
          <w:p>
            <w:pPr>
              <w:spacing w:after="0" w:line="17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Material Change Report dated April 16, 2021 (incorporated by reference to Exhibit 99.128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4.22</w:t>
            </w:r>
          </w:p>
        </w:tc>
        <w:tc>
          <w:tcPr>
            <w:tcW w:w="1010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Material Change Report dated April 19, 2021 (incorporated by reference to Exhibit 99.130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4.23</w:t>
            </w:r>
          </w:p>
        </w:tc>
        <w:tc>
          <w:tcPr>
            <w:tcW w:w="10100" w:type="dxa"/>
            <w:vAlign w:val="bottom"/>
            <w:gridSpan w:val="4"/>
          </w:tcPr>
          <w:p>
            <w:pPr>
              <w:spacing w:after="0" w:line="17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Material Change Report dated April 23, 2021 (incorporated by reference to Exhibit 99.133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4.24</w:t>
            </w:r>
          </w:p>
        </w:tc>
        <w:tc>
          <w:tcPr>
            <w:tcW w:w="1010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Material Change Report dated April 26, 2021 (incorporated by reference to Exhibit 99.135 to the Registrant’s 40-F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April 28,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4.25</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Material Change Report dated May 6, 2021 (incorporated by reference to Exhibit 99.142 to the Registrant’s 40-F/A filed with the SEC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June 16, 2021 (File No. 001-40370)).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4.26</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Material Change Report dated May 7, 2021 (incorporated by reference to Exhibit 99.144 to the Registrant’s 40-F/A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June 16, 2021 (File No. 001-40370)).</w:t>
              </w:r>
            </w:hyperlink>
          </w:p>
        </w:tc>
        <w:tc>
          <w:tcPr>
            <w:tcW w:w="7400" w:type="dxa"/>
            <w:vAlign w:val="bottom"/>
            <w:tcBorders>
              <w:bottom w:val="single" w:sz="8" w:color="CCEEFF"/>
              <w:right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4.27</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Material Change Report dated May 12, 2021 (incorporated by reference to Exhibit 99.147 to the Registrant’s 40-F/A filed with the SEC 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June 16, 2021 (File No. 001-40370)).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4.28</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Material Change Report dated May 17, 2021 (incorporated by reference to Exhibit 99.150 to the Registrant’s 40-F/A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June 16, 2021 (File No. 001-40370)).</w:t>
              </w:r>
            </w:hyperlink>
          </w:p>
        </w:tc>
        <w:tc>
          <w:tcPr>
            <w:tcW w:w="7400" w:type="dxa"/>
            <w:vAlign w:val="bottom"/>
            <w:tcBorders>
              <w:bottom w:val="single" w:sz="8" w:color="CCEEFF"/>
              <w:right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4.29</w:t>
            </w: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Material Change Report dated May 20, 2021 (incorporated by reference to Exhibit 99.152 to the Registrant’s 40-F/A filed with the SEC 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June 16, 2021 (File No. 001-40370)).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4.30</w:t>
            </w:r>
          </w:p>
        </w:tc>
        <w:tc>
          <w:tcPr>
            <w:tcW w:w="1010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Management’s Discussion &amp; Analysis for the three months ended March 31, 2021, dated May 26, 2021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Exhibit 99.155 to the Registrant’s 40-F/A filed with the SEC on June 16, 2021 (File No. 001-40370)).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58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4.31</w:t>
            </w:r>
          </w:p>
        </w:tc>
        <w:tc>
          <w:tcPr>
            <w:tcW w:w="1010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Interim Condensed Consolidated Financial Statements for the three months ended March 31, 2021, dated on May 26, 2021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reference to Exhibit 99.154 to the Registrant’s 40-F/A filed with the SEC on June 16, 2021 (File No. 001-40370)).</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4.32</w:t>
            </w:r>
          </w:p>
        </w:tc>
        <w:tc>
          <w:tcPr>
            <w:tcW w:w="10100" w:type="dxa"/>
            <w:vAlign w:val="bottom"/>
            <w:tcBorders>
              <w:bottom w:val="single" w:sz="8" w:color="0000EE"/>
            </w:tcBorders>
            <w:gridSpan w:val="12"/>
          </w:tcPr>
          <w:p>
            <w:pPr>
              <w:spacing w:after="0" w:line="17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Material Change Report dated May 26, 2021 (incorporated by reference to Exhibit 99.158 to the Registrant’s 40-F/A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June 16, 2021 (File No. 001-40370)).</w:t>
              </w:r>
            </w:hyperlink>
          </w:p>
        </w:tc>
      </w:tr>
      <w:tr>
        <w:trPr>
          <w:trHeight w:val="20"/>
        </w:trPr>
        <w:tc>
          <w:tcPr>
            <w:tcW w:w="114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4.33</w:t>
            </w:r>
          </w:p>
        </w:tc>
        <w:tc>
          <w:tcPr>
            <w:tcW w:w="101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Material Change Report dated May 28, 2021 (incorporated by reference to Exhibit 99.160 to the Registrant’s 40-F/A filed with the SEC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June 16, 2021 (File No. 001-40370)).</w:t>
              </w:r>
            </w:hyperlink>
          </w:p>
        </w:tc>
        <w:tc>
          <w:tcPr>
            <w:tcW w:w="740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4.34</w:t>
            </w:r>
          </w:p>
        </w:tc>
        <w:tc>
          <w:tcPr>
            <w:tcW w:w="10100" w:type="dxa"/>
            <w:vAlign w:val="bottom"/>
            <w:tcBorders>
              <w:bottom w:val="single" w:sz="8" w:color="0000EE"/>
            </w:tcBorders>
            <w:gridSpan w:val="12"/>
          </w:tcPr>
          <w:p>
            <w:pPr>
              <w:spacing w:after="0" w:line="17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Material Change Report dated June 3, 2021 (incorporated by reference to Exhibit 99.163 to the Registrant’s 40-F/A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June 16, 2021 (File No. 001-40370)).</w:t>
              </w:r>
            </w:hyperlink>
          </w:p>
        </w:tc>
      </w:tr>
      <w:tr>
        <w:trPr>
          <w:trHeight w:val="21"/>
        </w:trPr>
        <w:tc>
          <w:tcPr>
            <w:tcW w:w="114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4.35</w:t>
            </w:r>
          </w:p>
        </w:tc>
        <w:tc>
          <w:tcPr>
            <w:tcW w:w="101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Notice of Annual General and Special Meeting of Shareholders &amp; Management Information Circular dated April 28, 2021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reference to Exhibit 99.140 to the Registrant’s 40-F/A filed with the SEC on June 16, 2021 (File No. 001-40370)).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4.36</w:t>
            </w:r>
          </w:p>
        </w:tc>
        <w:tc>
          <w:tcPr>
            <w:tcW w:w="10100" w:type="dxa"/>
            <w:vAlign w:val="bottom"/>
            <w:tcBorders>
              <w:bottom w:val="single" w:sz="8" w:color="0000EE"/>
            </w:tcBorders>
            <w:gridSpan w:val="12"/>
          </w:tcPr>
          <w:p>
            <w:pPr>
              <w:spacing w:after="0" w:line="17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Material Change Report dated June 9, 2021 (incorporated by reference to Exhibit 99.167 to the Registrant’s 40-F/A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June 16, 2021 (File No. 001-40370)).</w:t>
              </w:r>
            </w:hyperlink>
          </w:p>
        </w:tc>
      </w:tr>
      <w:tr>
        <w:trPr>
          <w:trHeight w:val="21"/>
        </w:trPr>
        <w:tc>
          <w:tcPr>
            <w:tcW w:w="114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4.37</w:t>
            </w:r>
          </w:p>
        </w:tc>
        <w:tc>
          <w:tcPr>
            <w:tcW w:w="101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Material Change Report dated June 10, 2021 (incorporated by reference to Exhibit 99.169 to the Registrant’s 40-F/A filed with the SEC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June 16, 2021 (File No. 001-40370)).</w:t>
              </w:r>
            </w:hyperlink>
          </w:p>
        </w:tc>
        <w:tc>
          <w:tcPr>
            <w:tcW w:w="740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4.38</w:t>
            </w:r>
          </w:p>
        </w:tc>
        <w:tc>
          <w:tcPr>
            <w:tcW w:w="10100" w:type="dxa"/>
            <w:vAlign w:val="bottom"/>
            <w:gridSpan w:val="12"/>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Material Change Report dated June 18, 2021.</w:t>
              </w:r>
            </w:hyperlink>
          </w:p>
        </w:tc>
      </w:tr>
      <w:tr>
        <w:trPr>
          <w:trHeight w:val="20"/>
        </w:trPr>
        <w:tc>
          <w:tcPr>
            <w:tcW w:w="114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4.39</w:t>
            </w:r>
          </w:p>
        </w:tc>
        <w:tc>
          <w:tcPr>
            <w:tcW w:w="101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Material Change Report dated June 23, 2021 (incorporated by reference to Exhibit 99.1 to the Registrant’s Current Report on Form 6-K</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filed with the SEC on June 24, 2021).</w:t>
              </w:r>
            </w:hyperlink>
          </w:p>
        </w:tc>
        <w:tc>
          <w:tcPr>
            <w:tcW w:w="738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4.40</w:t>
            </w:r>
          </w:p>
        </w:tc>
        <w:tc>
          <w:tcPr>
            <w:tcW w:w="10100" w:type="dxa"/>
            <w:vAlign w:val="bottom"/>
            <w:tcBorders>
              <w:bottom w:val="single" w:sz="8" w:color="0000EE"/>
            </w:tcBorders>
            <w:gridSpan w:val="12"/>
          </w:tcPr>
          <w:p>
            <w:pPr>
              <w:spacing w:after="0" w:line="17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Material Change Report dated June 30, 2021 (incorporated by reference to Exhibit 99.1 to the Registrant’s Current Report on Form 6-K</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filed with the SEC on June 30, 2021).</w:t>
              </w:r>
            </w:hyperlink>
          </w:p>
        </w:tc>
      </w:tr>
      <w:tr>
        <w:trPr>
          <w:trHeight w:val="21"/>
        </w:trPr>
        <w:tc>
          <w:tcPr>
            <w:tcW w:w="114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4.41</w:t>
            </w:r>
          </w:p>
        </w:tc>
        <w:tc>
          <w:tcPr>
            <w:tcW w:w="10100" w:type="dxa"/>
            <w:vAlign w:val="bottom"/>
            <w:gridSpan w:val="12"/>
            <w:shd w:val="clear" w:color="auto" w:fill="CCEEFF"/>
          </w:tcPr>
          <w:p>
            <w:pPr>
              <w:spacing w:after="0" w:line="17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Material Change Report dated July 14, 2021 (incorporated by reference to Exhibit 99.1 to the Registrant’s Current Report on Form 6-K</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filed with the SEC on July 14,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0100" w:type="dxa"/>
            <w:vAlign w:val="bottom"/>
            <w:gridSpan w:val="12"/>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Consent of Kost Forer Gabbay &amp; Kasierer (a Member of Ernst &amp; Young Global).</w:t>
              </w:r>
            </w:hyperlink>
          </w:p>
        </w:tc>
      </w:tr>
      <w:tr>
        <w:trPr>
          <w:trHeight w:val="20"/>
        </w:trPr>
        <w:tc>
          <w:tcPr>
            <w:tcW w:w="114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5.2</w:t>
            </w:r>
          </w:p>
        </w:tc>
        <w:tc>
          <w:tcPr>
            <w:tcW w:w="30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Consent of PricewaterhouseCoopers LLP.</w:t>
              </w:r>
            </w:hyperlink>
          </w:p>
        </w:tc>
        <w:tc>
          <w:tcPr>
            <w:tcW w:w="708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6.1</w:t>
            </w:r>
          </w:p>
        </w:tc>
        <w:tc>
          <w:tcPr>
            <w:tcW w:w="10100" w:type="dxa"/>
            <w:vAlign w:val="bottom"/>
            <w:gridSpan w:val="12"/>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Power of Attorney (included on the signature page of this Registration Statement).</w:t>
              </w:r>
            </w:hyperlink>
          </w:p>
        </w:tc>
      </w:tr>
      <w:tr>
        <w:trPr>
          <w:trHeight w:val="21"/>
        </w:trPr>
        <w:tc>
          <w:tcPr>
            <w:tcW w:w="114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7.1</w:t>
            </w:r>
          </w:p>
        </w:tc>
        <w:tc>
          <w:tcPr>
            <w:tcW w:w="10100" w:type="dxa"/>
            <w:vAlign w:val="bottom"/>
            <w:gridSpan w:val="12"/>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Form of Senior Indenture.</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7.2</w:t>
            </w:r>
          </w:p>
        </w:tc>
        <w:tc>
          <w:tcPr>
            <w:tcW w:w="2380" w:type="dxa"/>
            <w:vAlign w:val="bottom"/>
            <w:tcBorders>
              <w:bottom w:val="single" w:sz="8" w:color="0000EE"/>
            </w:tcBorders>
            <w:gridSpan w:val="2"/>
          </w:tcPr>
          <w:p>
            <w:pPr>
              <w:spacing w:after="0" w:line="17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Form of Subordinated Indenture.</w:t>
              </w:r>
            </w:hyperlink>
          </w:p>
        </w:tc>
        <w:tc>
          <w:tcPr>
            <w:tcW w:w="7720" w:type="dxa"/>
            <w:vAlign w:val="bottom"/>
            <w:gridSpan w:val="10"/>
          </w:tcPr>
          <w:p>
            <w:pPr>
              <w:spacing w:after="0"/>
              <w:rPr>
                <w:sz w:val="15"/>
                <w:szCs w:val="15"/>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Undertaking.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undertakes to make available, in person or by telephone, representatives to respond to inquiries made by the SEC staff, and to furnish promptly, when requested to do so by the SEC staff, information relating to the securities registered pursuant to this Form F-10 or to transactions in said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Consent to Service of Process.</w:t>
      </w:r>
    </w:p>
    <w:p>
      <w:pPr>
        <w:spacing w:after="0" w:line="229" w:lineRule="exact"/>
        <w:rPr>
          <w:sz w:val="20"/>
          <w:szCs w:val="20"/>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Concurrently with the initial filing of this Registration Statement, the Registrant filed with the SEC a written irrevocable consent and power of attorney on Form F-X.</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change to the name or address of the Registrant’s agent for service shall be communicated promptly to the SEC by amendment to Form F-X referencing the file number of this Registration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F-10 and has duly caused this Registration Statement to be signed on its behalf by the undersigned, thereunto duly authorized, in the City of Toronto, Province of Ontario, Canada, on August 13,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Geoffrey Morphy</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L. Geoffrey Morphy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Emiliano Joel Grodzki and Jeffrey Lucas, or either of them, his true and lawful attorneys-in-fact and agents, each of whom may act alone, with full power of substitution and resubstitution, for him and in his name, place and stead, in any and all capacities, to sign any or all amendments to this Registration Statement, including post-effective amendments, and any and all additional registration statements (including amendments and post-effective amendments thereto) in connection with any increase in the amount of securities registered with the SEC, and to file the same, with all exhibits thereto, and other documents and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said attorneys-in-fact and agents or any of them or his substitute or substitutes may lawfully do or cause to be done by virtue hereof. This Power of Attorney may be executed in multiple counterparts, each of which shall be deemed an original, but which taken together shall constitute one instrument.</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or on behalf of the following persons in the capacities indicated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72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Emiliano Joel Grodzki</w:t>
            </w:r>
          </w:p>
        </w:tc>
        <w:tc>
          <w:tcPr>
            <w:tcW w:w="2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Emiliano Joel Grodzki</w:t>
            </w:r>
          </w:p>
        </w:tc>
        <w:tc>
          <w:tcPr>
            <w:tcW w:w="240" w:type="dxa"/>
            <w:vAlign w:val="bottom"/>
          </w:tcPr>
          <w:p>
            <w:pPr>
              <w:spacing w:after="0"/>
              <w:rPr>
                <w:sz w:val="20"/>
                <w:szCs w:val="20"/>
                <w:color w:val="auto"/>
              </w:rPr>
            </w:pPr>
          </w:p>
        </w:tc>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rPr>
              <w:t>Founder and Director</w:t>
            </w: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Lucas</w:t>
            </w:r>
          </w:p>
        </w:tc>
        <w:tc>
          <w:tcPr>
            <w:tcW w:w="2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 and</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Jeffrey P. Lucas</w:t>
            </w:r>
          </w:p>
        </w:tc>
        <w:tc>
          <w:tcPr>
            <w:tcW w:w="240" w:type="dxa"/>
            <w:vAlign w:val="bottom"/>
          </w:tcPr>
          <w:p>
            <w:pPr>
              <w:spacing w:after="0"/>
              <w:rPr>
                <w:sz w:val="20"/>
                <w:szCs w:val="20"/>
                <w:color w:val="auto"/>
              </w:rPr>
            </w:pPr>
          </w:p>
        </w:tc>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Officer)</w:t>
            </w: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Bonta</w:t>
            </w:r>
          </w:p>
        </w:tc>
        <w:tc>
          <w:tcPr>
            <w:tcW w:w="2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Executive Chairman of the Board and Founder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Nicholas Bonta</w:t>
            </w:r>
          </w:p>
        </w:tc>
        <w:tc>
          <w:tcPr>
            <w:tcW w:w="2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Howlett</w:t>
            </w:r>
          </w:p>
        </w:tc>
        <w:tc>
          <w:tcPr>
            <w:tcW w:w="2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Lead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Brian Howlett</w:t>
            </w:r>
          </w:p>
        </w:tc>
        <w:tc>
          <w:tcPr>
            <w:tcW w:w="2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Andrés Finkielsztain</w:t>
            </w:r>
          </w:p>
        </w:tc>
        <w:tc>
          <w:tcPr>
            <w:tcW w:w="2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Andrés Finkielsztain</w:t>
            </w:r>
          </w:p>
        </w:tc>
        <w:tc>
          <w:tcPr>
            <w:tcW w:w="2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Seccareccia</w:t>
            </w:r>
          </w:p>
        </w:tc>
        <w:tc>
          <w:tcPr>
            <w:tcW w:w="2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Pierre Seccareccia</w:t>
            </w:r>
          </w:p>
        </w:tc>
        <w:tc>
          <w:tcPr>
            <w:tcW w:w="2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41"/>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2"/>
          </w:tcPr>
          <w:p>
            <w:pPr>
              <w:ind w:left="2400"/>
              <w:spacing w:after="0"/>
              <w:rPr>
                <w:sz w:val="20"/>
                <w:szCs w:val="20"/>
                <w:color w:val="auto"/>
              </w:rPr>
            </w:pPr>
            <w:r>
              <w:rPr>
                <w:rFonts w:ascii="Arial" w:cs="Arial" w:eastAsia="Arial" w:hAnsi="Arial"/>
                <w:sz w:val="18"/>
                <w:szCs w:val="18"/>
                <w:color w:val="auto"/>
              </w:rPr>
              <w:t>III-2</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6(a) of the Securities Act of 1933, the undersigned has signed this Registration Statement, in the capacity of the duly authorized representative of the Registrant in the United States, on August 13, 2021.</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authorized representative for Bitfarms Ltd.</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Sr. Vice President on behalf of</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Cogency Global Inc.</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17, 2021.</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June 17, 2021.</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color w:val="auto"/>
        </w:rPr>
        <w:t>Schedule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Bitfarms to Commence Trading on Nasdaq on June 21</w:t>
      </w:r>
      <w:r>
        <w:rPr>
          <w:rFonts w:ascii="Arial" w:cs="Arial" w:eastAsia="Arial" w:hAnsi="Arial"/>
          <w:sz w:val="35"/>
          <w:szCs w:val="35"/>
          <w:b w:val="1"/>
          <w:bCs w:val="1"/>
          <w:color w:val="auto"/>
          <w:vertAlign w:val="superscript"/>
        </w:rPr>
        <w:t>st</w:t>
      </w:r>
    </w:p>
    <w:p>
      <w:pPr>
        <w:spacing w:after="0" w:line="259" w:lineRule="exact"/>
        <w:rPr>
          <w:sz w:val="20"/>
          <w:szCs w:val="20"/>
          <w:color w:val="auto"/>
        </w:rPr>
      </w:pPr>
    </w:p>
    <w:p>
      <w:pPr>
        <w:jc w:val="both"/>
        <w:ind w:hanging="8"/>
        <w:spacing w:after="0" w:line="258" w:lineRule="auto"/>
        <w:rPr>
          <w:sz w:val="20"/>
          <w:szCs w:val="20"/>
          <w:color w:val="auto"/>
        </w:rPr>
      </w:pPr>
      <w:r>
        <w:rPr>
          <w:rFonts w:ascii="Arial" w:cs="Arial" w:eastAsia="Arial" w:hAnsi="Arial"/>
          <w:sz w:val="18"/>
          <w:szCs w:val="18"/>
          <w:b w:val="1"/>
          <w:bCs w:val="1"/>
          <w:color w:val="auto"/>
        </w:rPr>
        <w:t xml:space="preserve">Toronto, Ontario and Brossard, Québec (June 17, 2021) - </w:t>
      </w:r>
      <w:r>
        <w:rPr>
          <w:rFonts w:ascii="Arial" w:cs="Arial" w:eastAsia="Arial" w:hAnsi="Arial"/>
          <w:sz w:val="18"/>
          <w:szCs w:val="18"/>
          <w:color w:val="auto"/>
        </w:rPr>
        <w:t>Bitfarms Ltd.</w:t>
      </w:r>
      <w:r>
        <w:rPr>
          <w:rFonts w:ascii="Arial" w:cs="Arial" w:eastAsia="Arial" w:hAnsi="Arial"/>
          <w:sz w:val="18"/>
          <w:szCs w:val="18"/>
          <w:b w:val="1"/>
          <w:bCs w:val="1"/>
          <w:color w:val="auto"/>
        </w:rPr>
        <w:t xml:space="preserve"> (“Bitfarms”, or the “Company”) </w:t>
      </w:r>
      <w:r>
        <w:rPr>
          <w:rFonts w:ascii="Arial" w:cs="Arial" w:eastAsia="Arial" w:hAnsi="Arial"/>
          <w:sz w:val="18"/>
          <w:szCs w:val="18"/>
          <w:color w:val="auto"/>
        </w:rPr>
        <w:t>(</w:t>
      </w:r>
      <w:r>
        <w:rPr>
          <w:rFonts w:ascii="Arial" w:cs="Arial" w:eastAsia="Arial" w:hAnsi="Arial"/>
          <w:sz w:val="18"/>
          <w:szCs w:val="18"/>
          <w:u w:val="single" w:color="auto"/>
          <w:color w:val="auto"/>
        </w:rPr>
        <w:t>TSXV:BITF // OTC:BFARF</w:t>
      </w:r>
      <w:r>
        <w:rPr>
          <w:rFonts w:ascii="Arial" w:cs="Arial" w:eastAsia="Arial" w:hAnsi="Arial"/>
          <w:sz w:val="18"/>
          <w:szCs w:val="18"/>
          <w:color w:val="auto"/>
        </w:rPr>
        <w:t>), a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Bitcoin mining company, currently powering approximately 1% of the Bitcoin network with greater than 99% green hydroelectricity, today announced that the Company has received DTC eligibility for the Company’s common shares in connection with their listing on the Nasdaq Stock Market (“Nasdaq”). Trading on Nasdaq is expected to begin this coming Monday, June 21st, under the symbol “BITF”. Bitfarms will retain its listing on the TSX Venture Exchange under the symbol “BITF”.</w:t>
      </w:r>
    </w:p>
    <w:p>
      <w:pPr>
        <w:spacing w:after="0" w:line="187" w:lineRule="exact"/>
        <w:rPr>
          <w:sz w:val="20"/>
          <w:szCs w:val="20"/>
          <w:color w:val="auto"/>
        </w:rPr>
      </w:pPr>
    </w:p>
    <w:p>
      <w:pPr>
        <w:jc w:val="both"/>
        <w:ind w:hanging="8"/>
        <w:spacing w:after="0" w:line="254" w:lineRule="auto"/>
        <w:rPr>
          <w:sz w:val="20"/>
          <w:szCs w:val="20"/>
          <w:color w:val="auto"/>
        </w:rPr>
      </w:pPr>
      <w:r>
        <w:rPr>
          <w:rFonts w:ascii="Arial" w:cs="Arial" w:eastAsia="Arial" w:hAnsi="Arial"/>
          <w:sz w:val="18"/>
          <w:szCs w:val="18"/>
          <w:color w:val="auto"/>
        </w:rPr>
        <w:t>“Listing on Nasdaq is an important achievement for Bitfarms and is a significant milestone following multiple years of development and achievement by the Company. We started this company four years ago with a clear belief in the institutional adoption of Bitcoin and Bitcoin mining. This belief has guided us as we worked to build one of the largest Bitcoin mining operations worldwide. When Bitfarms begins trading on the Nasdaq, it will be the largest publicly traded Bitcoin miner in North America using greater than 99% hydroelectric renewable electricity. We are proud to be a leader in the industry in setting the highest standards for ourselves and our mining operations and to be uplisting to one of the most prestigious stock exchanges in the world. Having reached this milestone we are even more excited about where it will take our company next,” commented Emiliano Grodzki, Bitfarms’ Founder and Chief Executive Officer.</w:t>
      </w:r>
    </w:p>
    <w:p>
      <w:pPr>
        <w:spacing w:after="0" w:line="195" w:lineRule="exact"/>
        <w:rPr>
          <w:sz w:val="20"/>
          <w:szCs w:val="20"/>
          <w:color w:val="auto"/>
        </w:rPr>
      </w:pPr>
    </w:p>
    <w:p>
      <w:pPr>
        <w:jc w:val="both"/>
        <w:ind w:hanging="8"/>
        <w:spacing w:after="0" w:line="308" w:lineRule="auto"/>
        <w:rPr>
          <w:sz w:val="20"/>
          <w:szCs w:val="20"/>
          <w:color w:val="auto"/>
        </w:rPr>
      </w:pPr>
      <w:r>
        <w:rPr>
          <w:rFonts w:ascii="Arial" w:cs="Arial" w:eastAsia="Arial" w:hAnsi="Arial"/>
          <w:sz w:val="17"/>
          <w:szCs w:val="17"/>
          <w:color w:val="auto"/>
        </w:rPr>
        <w:t>H.C. Wainwright &amp; Co. served as advisor to Bitfarms in connection with the Nasdaq listing, and Katten Muchin Rosenman LLP represented the Company as U.S. legal counsel in connection with the Nasdaq listing. Peterson McVicar LLP serves as Canadian counsel to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hanging="8"/>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 owned electrical engineering and installation services to deliver high operational performance and uptime.</w:t>
      </w:r>
    </w:p>
    <w:p>
      <w:pPr>
        <w:spacing w:after="0" w:line="146"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4"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greater than 99% powered with environmentally friendly hydroelectric power and secured with long-term power contracts. Bitfarms is currently the only publicly traded pure-play mining company audited by a Big Four audit firm.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 Cautionary Statement</w:t>
      </w:r>
    </w:p>
    <w:p>
      <w:pPr>
        <w:spacing w:after="0" w:line="225" w:lineRule="exact"/>
        <w:rPr>
          <w:sz w:val="20"/>
          <w:szCs w:val="20"/>
          <w:color w:val="auto"/>
        </w:rPr>
      </w:pPr>
    </w:p>
    <w:p>
      <w:pPr>
        <w:jc w:val="both"/>
        <w:ind w:hanging="8"/>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hanging="8"/>
        <w:spacing w:after="0" w:line="254"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listing and trading on the Nasdaq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2"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hanging="10"/>
        <w:spacing w:after="0" w:line="266" w:lineRule="auto"/>
        <w:rPr>
          <w:sz w:val="20"/>
          <w:szCs w:val="20"/>
          <w:color w:val="auto"/>
        </w:rPr>
      </w:pPr>
      <w:r>
        <w:rPr>
          <w:rFonts w:ascii="Arial" w:cs="Arial" w:eastAsia="Arial" w:hAnsi="Arial"/>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 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 Abraham, Director of Public Relations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2665" cy="1148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1002665" cy="1148715"/>
                    </a:xfrm>
                    <a:prstGeom prst="rect">
                      <a:avLst/>
                    </a:prstGeom>
                    <a:noFill/>
                  </pic:spPr>
                </pic:pic>
              </a:graphicData>
            </a:graphic>
          </wp:anchor>
        </w:drawing>
      </w:r>
    </w:p>
    <w:p>
      <w:pPr>
        <w:spacing w:after="0" w:line="7"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144 Menachem Begin Road, Building A,</w:t>
      </w:r>
    </w:p>
    <w:p>
      <w:pPr>
        <w:spacing w:after="0" w:line="3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Tel-Aviv 6492102, Israel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Tel: +972-3-6232525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5780" w:space="420"/>
            <w:col w:w="50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F-10 (the “Registration Statement”) and related Prospectus of Bitfarms Ltd. of our report dated April 29, 2020, with respect to the consolidated statement of financial position as of December 31, 2019, and the consolidated statements of income, comprehensive income, changes in equity and cash flows for the year then ended, appearing in the Registration Statement on Form 40-F of Bitfarms Ltd.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Kaiserer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ectPr>
          <w:pgSz w:w="11900" w:h="16838" w:orient="portrait"/>
          <w:cols w:equalWidth="0" w:num="1">
            <w:col w:w="11240"/>
          </w:cols>
          <w:pgMar w:left="320" w:top="121" w:right="3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17145</wp:posOffset>
            </wp:positionV>
            <wp:extent cx="1088390" cy="831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108839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left="360" w:right="4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F-10 of Bitfarms Ltd. (the Company) of our report dated March 24, 2021, relating to the consolidated financial statements, which appears as Exhibit 99.112 to the Company’s Registration Statement on Form 40-F.</w:t>
      </w:r>
    </w:p>
    <w:p>
      <w:pPr>
        <w:spacing w:after="0" w:line="184" w:lineRule="exact"/>
        <w:rPr>
          <w:sz w:val="20"/>
          <w:szCs w:val="20"/>
          <w:color w:val="auto"/>
        </w:rPr>
      </w:pPr>
    </w:p>
    <w:p>
      <w:pPr>
        <w:ind w:left="360" w:right="40"/>
        <w:spacing w:after="0" w:line="308" w:lineRule="auto"/>
        <w:rPr>
          <w:sz w:val="20"/>
          <w:szCs w:val="20"/>
          <w:color w:val="auto"/>
        </w:rPr>
      </w:pPr>
      <w:r>
        <w:rPr>
          <w:rFonts w:ascii="Arial" w:cs="Arial" w:eastAsia="Arial" w:hAnsi="Arial"/>
          <w:sz w:val="17"/>
          <w:szCs w:val="17"/>
          <w:color w:val="auto"/>
        </w:rPr>
        <w:t>We also consent to reference to us under the heading “Experts,” which appears in the Annual Information Form included in Exhibit 99.123 of the Company’s Registration Statement on Form 40-F, which is incorporated by reference in this Registration Statement.</w:t>
      </w:r>
    </w:p>
    <w:p>
      <w:pPr>
        <w:spacing w:after="0" w:line="3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212121"/>
        </w:rPr>
        <w:t>/s/ PricewaterhouseCoopers LLP</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Chartered Professional Accountants, Licensed Public Accountants</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Oakville, Ontario, Canada August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554355</wp:posOffset>
            </wp:positionV>
            <wp:extent cx="533209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533209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PwC Centre, 354 Davis Road, Suite 600, Oakville, Ontario, Canada L6J 0C5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 +1 905 815 6300, F: +1 905 815 6499, www.pwc.com/ca</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“PwC” refers to PricewaterhouseCoopers LLP, an Ontario limited liability partnership.</w:t>
      </w:r>
    </w:p>
    <w:p>
      <w:pPr>
        <w:sectPr>
          <w:pgSz w:w="11900" w:h="16838" w:orient="portrait"/>
          <w:cols w:equalWidth="0" w:num="1">
            <w:col w:w="10600"/>
          </w:cols>
          <w:pgMar w:left="96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7.1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BITFARMS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_________________________________,</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_________, ___</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Providing for Issuance of Senior Debt Securities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120" w:type="dxa"/>
            <w:vAlign w:val="bottom"/>
          </w:tcPr>
          <w:p>
            <w:pPr>
              <w:ind w:left="49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59"/>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0"/>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1.01 Definitions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1.02 Compliance Certificates and Opinions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1.03 Form of Documents Delivered to Trustee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1.04 Acts of Securityholders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1.05 Notices, Etc., to Trustee and Company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1.06 Notices to Securityholders; Waiver</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1.07 Conflict with Trust Indenture Act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1.08 Effect of Headings and Table of Contents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1.09 Successors and Assigns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1.10 Separability Clause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1.11 Benefits of Indenture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1.12 Governing Law</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1.13 Counterparts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1.14 Judgment Currency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1.15 Legal Holidays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1.16 Agent for Service; Submission to Jurisdiction; Waiver of Immunities and Jury Trial</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Article II. SECURITY FORMS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2.01 Forms Generally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2.02 Forms of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2.03 Form of Trustee’s Certificate of Authentication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2.04 Securities Issuable in the Form of a Global Security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Article III. THE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3.01 General Title; General Limitations; Issuable in Series; Terms of Particular Series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3.02 Denominations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3.03 Execution, Authentication and Delivery and Dating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3.04 Temporary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3.05 Registration, Transfer and Exchange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3.06 Mutilated, Destroyed, Lost and Stolen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3.07 Payment of Interest; Interest Rights Preserved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3.08 Persons Deemed Owners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3.09 Cancellation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120" w:type="dxa"/>
            <w:vAlign w:val="bottom"/>
          </w:tcPr>
          <w:p>
            <w:pPr>
              <w:ind w:left="340"/>
              <w:spacing w:after="0"/>
              <w:rPr>
                <w:sz w:val="20"/>
                <w:szCs w:val="20"/>
                <w:color w:val="auto"/>
              </w:rPr>
            </w:pPr>
            <w:r>
              <w:rPr>
                <w:rFonts w:ascii="Arial" w:cs="Arial" w:eastAsia="Arial" w:hAnsi="Arial"/>
                <w:sz w:val="18"/>
                <w:szCs w:val="18"/>
                <w:color w:val="auto"/>
              </w:rPr>
              <w:t>Section 3.10 CUSIP and CINS Numbers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3.11 Computation of Interest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30"/>
        </w:trPr>
        <w:tc>
          <w:tcPr>
            <w:tcW w:w="10120" w:type="dxa"/>
            <w:vAlign w:val="bottom"/>
          </w:tcPr>
          <w:p>
            <w:pPr>
              <w:ind w:left="340"/>
              <w:spacing w:after="0"/>
              <w:rPr>
                <w:sz w:val="20"/>
                <w:szCs w:val="20"/>
                <w:color w:val="auto"/>
              </w:rPr>
            </w:pPr>
            <w:r>
              <w:rPr>
                <w:rFonts w:ascii="Arial" w:cs="Arial" w:eastAsia="Arial" w:hAnsi="Arial"/>
                <w:sz w:val="18"/>
                <w:szCs w:val="18"/>
                <w:color w:val="auto"/>
              </w:rPr>
              <w:t>Section 3.12 Delayed Issuance of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Article IV. SATISFACTION AND DISCHARGE; DEFEASANCE</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89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4.01 Satisfaction and Discharge of Indenture</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4.02 Application of Trust Money</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4.03 Defeasance Upon Deposit of Funds or Government Obligations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4.04 Reinstatement</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Article V. REMEDIES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29</w:t>
            </w:r>
          </w:p>
        </w:tc>
      </w:tr>
      <w:tr>
        <w:trPr>
          <w:trHeight w:val="216"/>
        </w:trPr>
        <w:tc>
          <w:tcPr>
            <w:tcW w:w="89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5.01 Events of Default</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29</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5.02 Acceleration of Maturity; Rescission and Annulment</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31</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5.04 Trustee May File Proofs of Claim</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5.05 Trustee May Enforce Claims Without Possession of Securities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5.06 Application of Money Collected</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5.07 Limitation on Suits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5.08 Unconditional Right of Securityholders to Receive Principal, Premium and Interest</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5.09 Restoration of Rights and Remedies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5.10 Rights and Remedies Cumulative</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5.11 Delay or Omission Not Waiver</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5.12 Control by Securityholders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5.13 Waiver of Past Defaults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35</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5.14 Undertaking for Costs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35</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5.15 Waiver of Stay or Extension Laws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35</w:t>
            </w:r>
          </w:p>
        </w:tc>
      </w:tr>
      <w:tr>
        <w:trPr>
          <w:trHeight w:val="216"/>
        </w:trPr>
        <w:tc>
          <w:tcPr>
            <w:tcW w:w="89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Article VI. THE TRUSTEE</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36</w:t>
            </w:r>
          </w:p>
        </w:tc>
      </w:tr>
      <w:tr>
        <w:trPr>
          <w:trHeight w:val="216"/>
        </w:trPr>
        <w:tc>
          <w:tcPr>
            <w:tcW w:w="89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6.01 Certain Duties and Responsibilities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36</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6.02 Notice of Defaults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6.03 Certain Rights of Trustee</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6.04 Not Responsible for Recitals or Issuance of Securities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6.05 May Hold Securities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6.06 Money Held in Trust</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6.07 Compensation and Reimbursement</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6.08 Disqualification; Conflicting Interests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6.09 Corporate Trustee Required; Eligibility</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6.10 Resignation and Removal</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6.11 Acceptance of Appointment by Successor</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6.12 Merger, Conversion, Consolidation or Succession to Business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6.13 Preferential Collection of Claims Against Company</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6.14 Appointment of Authenticating Agent</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w:t>
            </w:r>
          </w:p>
        </w:tc>
      </w:tr>
      <w:tr>
        <w:trPr>
          <w:trHeight w:val="216"/>
        </w:trPr>
        <w:tc>
          <w:tcPr>
            <w:tcW w:w="89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Article VII. SECURITYHOLDERS’ LISTS AND REPORTS BY TRUSTEE AND COMPANY</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89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7.01 Company to Furnish Trustee Names and Addresses of Securityholders</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8920" w:type="dxa"/>
            <w:vAlign w:val="bottom"/>
          </w:tcPr>
          <w:p>
            <w:pPr>
              <w:ind w:left="340"/>
              <w:spacing w:after="0"/>
              <w:rPr>
                <w:sz w:val="20"/>
                <w:szCs w:val="20"/>
                <w:color w:val="auto"/>
              </w:rPr>
            </w:pPr>
            <w:r>
              <w:rPr>
                <w:rFonts w:ascii="Arial" w:cs="Arial" w:eastAsia="Arial" w:hAnsi="Arial"/>
                <w:sz w:val="18"/>
                <w:szCs w:val="18"/>
                <w:color w:val="auto"/>
              </w:rPr>
              <w:t>Section 7.02 Preservation of Information; Communications to Securityholders</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7.03 Reports by Trustee</w:t>
            </w:r>
          </w:p>
        </w:tc>
        <w:tc>
          <w:tcPr>
            <w:tcW w:w="2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30"/>
        </w:trPr>
        <w:tc>
          <w:tcPr>
            <w:tcW w:w="8920" w:type="dxa"/>
            <w:vAlign w:val="bottom"/>
          </w:tcPr>
          <w:p>
            <w:pPr>
              <w:ind w:left="340"/>
              <w:spacing w:after="0"/>
              <w:rPr>
                <w:sz w:val="20"/>
                <w:szCs w:val="20"/>
                <w:color w:val="auto"/>
              </w:rPr>
            </w:pPr>
            <w:r>
              <w:rPr>
                <w:rFonts w:ascii="Arial" w:cs="Arial" w:eastAsia="Arial" w:hAnsi="Arial"/>
                <w:sz w:val="18"/>
                <w:szCs w:val="18"/>
                <w:color w:val="auto"/>
              </w:rPr>
              <w:t>Section 7.04 Reports by Company</w:t>
            </w: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Article VIII. CONSOLIDATION, MERGER, CONVEYANCE OR TRANSFER</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8.01 Consolidation, Merger, Amalgamation, Conveyance or Transfer on Certain Terms</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8.02 Successor Person Substituted</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Article IX. SUPPLEMENTAL INDENTURES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9.01 Supplemental Indentures Without Consent of Securityholders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9.02 Supplemental Indentures With Consent of Securityholders</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9.03 Execution of Supplemental Indentures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9.04 Effect of Supplemental Indentures</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9.05 Conformity with Trust Indenture Act</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9.06 Reference in Securities to Supplemental Indentures</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9.07 Notice of Supplemental Indentures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9.08 Revocation and Effect of Consents, Waivers and Actions</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Article X. COVENANTS</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10.01 Payment of Principal, Premium and Interest</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10.02 Maintenance of Office or Agency</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10.03 Money for Security Payments to Be Held in Trust</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10.04 Statement as to Compliance</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10.05 Legal Existence</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10.06 Waiver of Certain Covenants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Article XI. REDEMPTION OF SECURITIES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11.01 Applicability of Article</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11.02 Election to Redeem; Notice to Trustee</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11.03 Selection by Trustee of Securities to Be Redeemed</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11.04 Notice of Redemption</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11.05 Deposit of Redemption Price</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11.06 Securities Payable on Redemption Date</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11.07 Securities Redeemed in Part</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11.08 Provisions with Respect to Any Sinking Funds</w:t>
            </w:r>
          </w:p>
        </w:tc>
        <w:tc>
          <w:tcPr>
            <w:tcW w:w="2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8880" w:type="dxa"/>
            <w:vAlign w:val="bottom"/>
          </w:tcPr>
          <w:p>
            <w:pPr>
              <w:ind w:left="340"/>
              <w:spacing w:after="0"/>
              <w:rPr>
                <w:sz w:val="20"/>
                <w:szCs w:val="20"/>
                <w:color w:val="auto"/>
              </w:rPr>
            </w:pPr>
            <w:r>
              <w:rPr>
                <w:rFonts w:ascii="Arial" w:cs="Arial" w:eastAsia="Arial" w:hAnsi="Arial"/>
                <w:sz w:val="18"/>
                <w:szCs w:val="18"/>
                <w:color w:val="auto"/>
              </w:rPr>
              <w:t>Section 11.09 Rescission of Redemption</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Article XII. GUARANTEES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30"/>
        </w:trPr>
        <w:tc>
          <w:tcPr>
            <w:tcW w:w="8880" w:type="dxa"/>
            <w:vAlign w:val="bottom"/>
          </w:tcPr>
          <w:p>
            <w:pPr>
              <w:ind w:left="340"/>
              <w:spacing w:after="0"/>
              <w:rPr>
                <w:sz w:val="20"/>
                <w:szCs w:val="20"/>
                <w:color w:val="auto"/>
              </w:rPr>
            </w:pPr>
            <w:r>
              <w:rPr>
                <w:rFonts w:ascii="Arial" w:cs="Arial" w:eastAsia="Arial" w:hAnsi="Arial"/>
                <w:sz w:val="18"/>
                <w:szCs w:val="18"/>
                <w:color w:val="auto"/>
              </w:rPr>
              <w:t>Section 12.01 Guarantees</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This INDENTURE between Bitfarms Ltd., company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(hereinafter called the “Company”), having its principal office at 18 King St. E, Suite 902, Toronto, ON M5C 1C4, and, as trustee (hereinafter called the “Trustee”), is made and entered into as of ____________, ___.</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of its debentures, notes, bonds or other evidences of indebtedness, in an unlimited aggregate principal amount, to be issued in one or more fully registered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is subject to the provisions of the Trust Indenture Act that are deemed to be incorporated into this Indenture and shall, to the extent applicable, be governed by such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AGREEMENTS OF THE PARTIES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set forth or to provide for the establishment of the terms and conditions upon which the Securities are and are to be authenticated, issued and delivered, and in consideration of the premises and the purchase of Securities by the Holders thereof, it is mutually agreed as follows, for the equal and proportionate benefit of all Holders of the Securities or of a series thereof, as the case may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Indenture and of any indenture supplemental hereto, except as otherwise expressly provided or unless the context otherwise requires:</w:t>
      </w:r>
    </w:p>
    <w:p>
      <w:pPr>
        <w:spacing w:after="0" w:line="170" w:lineRule="exact"/>
        <w:rPr>
          <w:sz w:val="20"/>
          <w:szCs w:val="20"/>
          <w:color w:val="auto"/>
        </w:rPr>
      </w:pPr>
    </w:p>
    <w:p>
      <w:pPr>
        <w:ind w:left="1540" w:hanging="236"/>
        <w:spacing w:after="0"/>
        <w:tabs>
          <w:tab w:leader="none" w:pos="1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660" w:firstLine="644"/>
        <w:spacing w:after="0" w:line="277" w:lineRule="auto"/>
        <w:tabs>
          <w:tab w:leader="none" w:pos="15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or by Commission rule under the Trust Indenture Act, either directly or by reference therein, have the meanings assigned to them herein;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 and, except as otherwise herein expressly provided, the term “generally accepted accounting principles” with respect to any computation required or permitted hereunder shall mean such accounting principles as are generally accepted in Canada and any accounting rules or interpretations promulgated by the Commission as, in each case at the date of this Indenture; and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Certain terms, used principally in Article VI, are defined in that Article.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Securityholder, has the meaning specified in Section 1.04.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“Authenticating Agent” means any Person authorized by the Company to authenticate Securities under Section 6.14.</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“Board of Directors” means (i) the board of directors of the Company, (ii) any duly authorized committee of such board, (iii) any committee of officers of the Company or (iv) any officer of the Company acting, in the case of clause (iii) or (iv), pursuant to authority granted by the board of directors of the Company or any committee of such board.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any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Day” means, with respect to any series of Securities, unless otherwise specified in a Board Resolution, in an indenture supplemental hereto or an Officer’s Certificate with respect to a particular series of Securities, each day which is not a Saturday, Sunday or other day on which banking institutions in the pertinent Place or Places of Payment, including, but not limited to New York, Montreal and Toronto, or the city in which the Corporate Trust Office is located are authorized or required by law or executive order to be closed.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“Closing Price” of the Common Stock or other Marketable Security, as the case may be, shall mean the last reported sale price of such stock or other Marketable Security (regular way) as shown on the Composite Tape of the Nasdaq (or, if such stock or other Marketable Security is not listed or admitted to trading on the Nasdaq, on the principal national securities exchange on which such stock or other Marketable Security is listed or admitted to trading, including the NYSE), or, in case no such sale takes place on such day, the average of the closing bid and asked prices on the Nasdaq (or, if such stock or other Marketable Security is not listed or admitted to trading on the Nasdaq, on the principal national securities exchange on which such stock or other Marketable Security is listed or admitted to trading, including the NYSE), or if such stock or other Marketable Security is not so reported, the average of the closing bid and asked prices as furnished by any member of the Financial Industry Regulatory Authority, selected from time to time by the Company for that purpose.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63" w:lineRule="auto"/>
        <w:rPr>
          <w:sz w:val="20"/>
          <w:szCs w:val="20"/>
          <w:color w:val="auto"/>
        </w:rPr>
      </w:pPr>
      <w:r>
        <w:rPr>
          <w:rFonts w:ascii="Arial" w:cs="Arial" w:eastAsia="Arial" w:hAnsi="Arial"/>
          <w:sz w:val="18"/>
          <w:szCs w:val="18"/>
          <w:color w:val="auto"/>
        </w:rPr>
        <w:t>“Common Stock” shall mean the Common Stock, par value $0.001 per share, of the Company authorized at the date of this Indenture as originally signed, or any other class of stock resulting from successive changes or reclassifications of such Common Stock, and in any such case including any shares thereof authorized after the date of this Indenture.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“Company” means the Person named as the “Company” in the first paragraph of this instrument until a successor shall have become such pursuant to the applicable provisions of this Indenture, and thereafter “Company” shall mean such successor.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“Company Request”, “Company Order” and “Company Consent” mean a written request, order or consent, respectively, signed in the name of the Company by its Chairman of the Board, President, Chief Executive Officer, Chief Financial Officer, Treasurer, Controller, General Counsel, Secretary or any Vice President, and delivered to the Trustee.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“Conversion Price” means, with respect to any series of Securities which are convertible into Common Stock or other Marketable Securities, the price per share of Common Stock or the price per designated unit of other Marketable Security at which the Securities of such series are so convertible as set forth in the Board Resolution or indenture supplemental hereto with respect to such series (or in any indenture supplemental hereto entered into pursuant to Section 9.01(9) with respect to such series), as the same may be adjusted from time to time in accordance with an indenture supplemental hereto.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________________</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“Current Market Price” on any date shall mean the average of the daily Closing Prices per share of Common Stock or of such other Marketable Securities for any 30 consecutive Trading Days selected by the Company prior to the day in question, which 30 consecutive Trading Day period shall not commence more than 45 Trading Days prior to the day in question.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“Depository” means, unless otherwise specified by the Company pursuant to either Section 2.04 or 3.01, with respect to Securities of any series issuable or issued as a Global Security, The Depository Trust Company, New York, New York, or any successor thereto registered as a clearing agency under the Securities Exchange Act of 1934, as amended, or other applicable statute or regulation.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“Discharged” has the meaning specified in Section 4.03.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Article 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“Federal Bankruptcy Act” has the meaning specified in Section 5.01(5).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means generally accepted accounting principles as such principles are in effect in Canada as of the date of this Indenture.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“Global Security”, when used with respect to any series of Securities issued hereunder, means a Security which is executed by the Company and authenticated and delivered by the Trustee to the Depository or pursuant to the Depository’s instruction, all in accordance with this Indenture and an indenture supplemental hereto, if any, or Board Resolution and pursuant to a Company Request, which shall be registered in the name of the Depository or its nominee and which shall represent, and shall be denominated in an amount equal to the aggregate principal amount of, all of the Outstanding Securities of such series or any portion thereof, in either case having the same terms, including, without limitation, the same original issue date, date or dates on which principal is due, and interest rate or method of determining interest.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“Guarantee” means the guarantees specified in Section 12.01(a).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“Guarantor” means any Person who guarantees any series of Securities issued hereunder as specified in Section 12.01(a).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 when used with respect to any Security, means a Securityholder, which means a Person in whose name a security is registered in the Security Register.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“Indenture” or “this 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with respect to the Securities, means interest on the Securities; provided, that, when used with respect to an Original Issue Discount Security which by its terms bears interest only after Maturity, the term means interest payable after Maturity.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Payment Date”, when used with respect to any series of Securities, means the Stated Maturity of any installment of interest on those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“Marketable Security” means any common stock, debt security or other security of a Person which is (or will, upon distribution thereof, be) listed on the NYSE, the NYSE Amex, NASDAQ or any other national securities exchange registered under Section 6 of the Securities Exchange Act of 1934, as amended, or approved for quotation in any system of automated dissemination of quotations of securities prices in the United States or for which there is a recognized market maker or trading market.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“Maturity”, when used with respect to any Securities, means the date on which the principal of any such Security becomes due and payable as therein or herein provided, whether on a Repayment Date, at the Stated Maturity or by declaration of acceleration, call for redemption or otherwise.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“NASDAQ” shall mean the NASDAQ Global Select Market, the NASDAQ Global Market or the NASDAQ Capital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“NYSE” shall mean the New York Stock Exchange, Inc.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“Officers’ Certificate” means a certificate signed by the Chairman of the Board, President, Chief Executive Officer, Chief Financial Officer, Treasurer, Controller, General Counsel, Secretary or any Vice President, and delivered to the Trustee. Wherever this Indenture requires that an Officers’ Certificate be signed also by a financial expert or an accountant or other expert, such financial expert, accountant or other expert (except as otherwise expressly provided in this Indenture) may be in the employ of the Company, and shall be acceptable to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(except as otherwise expressly provided in this Indenture) be an employee of or of counsel to the Company, which is delivered to the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“Original Issue Discount Security” means (i) any Security which provides for an amount less than the principal amount thereof to be due and payable upon a declaration of acceleration of the Maturity thereof, and (ii) any other security which is issued with “original issue discount” within the meaning of Section 1273(a) of the Internal Revenue Code of 1986, as amended, and the regulations thereunder.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“Outstanding”, when used with respect to the Securities or Securities of any series, means, as of the date of determination, all such Securities theretofore authenticated and delivered under this Indenture, except:</w:t>
      </w:r>
    </w:p>
    <w:p>
      <w:pPr>
        <w:spacing w:after="0" w:line="170" w:lineRule="exact"/>
        <w:rPr>
          <w:sz w:val="20"/>
          <w:szCs w:val="20"/>
          <w:color w:val="auto"/>
        </w:rPr>
      </w:pPr>
    </w:p>
    <w:p>
      <w:pPr>
        <w:ind w:left="1540" w:hanging="236"/>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57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such Securities for whose payment or redemption money in the necessary amount has been theretofore deposited with the Trustee or any Paying Agent in trust for the Holders of such Securities; provided that, if such Securities are to be redeemed, notice of such redemption has been duly given pursuant to this Indenture or provision therefor reasonably satisfactory to the Trustee has been made; and</w:t>
      </w:r>
    </w:p>
    <w:p>
      <w:pPr>
        <w:spacing w:after="0" w:line="165" w:lineRule="exact"/>
        <w:rPr>
          <w:rFonts w:ascii="Arial" w:cs="Arial" w:eastAsia="Arial" w:hAnsi="Arial"/>
          <w:sz w:val="17"/>
          <w:szCs w:val="17"/>
          <w:color w:val="auto"/>
        </w:rPr>
      </w:pPr>
    </w:p>
    <w:p>
      <w:pPr>
        <w:jc w:val="both"/>
        <w:ind w:left="660" w:firstLine="644"/>
        <w:spacing w:after="0" w:line="311" w:lineRule="auto"/>
        <w:tabs>
          <w:tab w:leader="none" w:pos="1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such Securities in exchange for or in lieu of which other Securities have been authenticated and delivered pursuant to this Indenture, or which shall have been paid pursuant to the terms of Section 3.06 (except with respect to any such Security as to which proof satisfactory to the Trustee is presented that such Security is held by a Person in whose hands such Security is a legal, valid and binding obligation of the Company).</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determining whether the Holders of the requisite principal amount of such Securities Outstanding have given any request, demand, authorization, direction, notice, consent or waiver hereunder, (i) the principal amount of any Original Issue Discount Security that shall be deemed to be Outstanding shall be the amount of the principal thereof that would be due and payable as of the date of the taking of such action upon a declaration of acceleration of the Maturity thereof, and (ii) Securities owned by the Company or any other obligor upon the Securities or any Affiliate of the Company or of such other obligor shall be disregarded and deemed not to be Outstanding. In determining whether the Trustee shall be protected in relying upon any such request, demand, authorization, direction, notice, consent or waiver, only Securities which a Responsible Officer assigned to the Corporate Trust Department of the Trustee knows to be owned by the Company or any other obligor upon the Securities or any Affiliate of the Company or such other obligor shall be so disregarded. Securities so owned which have been pledged in good faith may be regarded as Outstanding if the pledgee establishes to the satisfaction of the Trustee the pledgee’s right to act as owner with respect to such Securities and that the pledgee is not the Company or any other obligor upon the Securities or any Affiliate of the Company or such other obligor.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9" w:lineRule="auto"/>
        <w:rPr>
          <w:sz w:val="20"/>
          <w:szCs w:val="20"/>
          <w:color w:val="auto"/>
        </w:rPr>
      </w:pPr>
      <w:r>
        <w:rPr>
          <w:rFonts w:ascii="Arial" w:cs="Arial" w:eastAsia="Arial" w:hAnsi="Arial"/>
          <w:sz w:val="18"/>
          <w:szCs w:val="18"/>
          <w:color w:val="auto"/>
        </w:rPr>
        <w:t>“Paying Agent” means any Person authorized by the Company to pay the principal of (and premium, if any) or interest on any Securities on behalf of the Company. The Company initially authorizes the Trustee to act as Paying Agent for the Securities on its behalf. The Company may at any time and from time to time authorize one or more Persons to act as Paying Agent in addition to or in place of the Trustee with respect to any series of Securities issued under this Indenture.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“Place of Payment” means with respect to any series of Securities issued hereunder, the city or political subdivision so designated with respect to the series of Securities in question in accordance with the provisions of Section 3.01.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“Predecessor Securities” of any particular Security means every previous Security evidencing all or a portion of the same debt as that evidenced by such particular Security; and, for the purposes of this definition, any Security authenticated and delivered under Section 3.06 in lieu of a lost, destroyed or stolen Security shall be deemed to evidence the same debt as the lost, destroyed or stolen Security.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specified in the Security at which it is to be redeemed pursuant to this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“Redemption Rescission Event” shall mean the occurrence of (a) any general suspension of trading in, or limitation on prices for, securities on the principal national securities exchange on which shares of Common Stock or Marketable Securities are registered and listed for trading (or, if shares of Common Stock or Marketable Securities are not registered and listed for trading on any such exchange, in the over-the-counter market) for more than six-and-one-half (6-1/2) consecutive trading hours, (b) any decline in either the Dow Jones Industrial Average or the S&amp;P 500 Index (or any successor index published by Dow Jones &amp; Company, Inc. or S&amp;P) by either (i) an amount in excess of 10%, measured from the close of business on any Trading Day to the close of business on the next succeeding Trading Day during the period commencing on the Trading Day preceding the day notice of any redemption of Securities is given (or, if such notice is given after the close of business on a Trading Day, commencing on such Trading Day) and ending at the time and date fixed for redemption in such notice or (ii) an amount in excess of 15% (or if the time and date fixed for redemption is more than 15 days following the date on which such notice of redemption is given, 20%), measured from the close of business on the Trading Day preceding the day notice of such redemption is given (or, if such notice is given after the close of business on a Trading Day, from such Trading Day) to the close of business on any Trading Day at or prior to the time and date fixed for redemption, (c) a declaration of a banking moratorium or any suspension of payments in respect of banks by Federal or state authorities in the United States or (d) the occurrence of an act of terrorism or commencement of a war or armed hostilities or other national or international calamity directly or indirectly involving the United States which in the reasonable judgment of the Company could have a material adverse effect on the market for the Common Stock or Marketable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277" w:lineRule="auto"/>
        <w:rPr>
          <w:sz w:val="20"/>
          <w:szCs w:val="20"/>
          <w:color w:val="auto"/>
        </w:rPr>
      </w:pPr>
      <w:r>
        <w:rPr>
          <w:rFonts w:ascii="Arial" w:cs="Arial" w:eastAsia="Arial" w:hAnsi="Arial"/>
          <w:sz w:val="18"/>
          <w:szCs w:val="18"/>
          <w:color w:val="auto"/>
        </w:rPr>
        <w:t>“Regular Record Date” for the interest payable on any Security on any Interest Payment Date means the date specified in such Security as the Regular Record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“Repayment Date”, when used with respect to any Security to be repaid, means the date fixed for such repayment pursuant to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“Repayment Price”, when used with respect to any Security to be repaid, means the price at which it is to be repaid pursuant to such Security.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“Required Currency”, when used with respect to any Security, has the meaning set forth in Section 1.14.</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“Responsible Officer”, when used with respect to the Trustee, means any officer of the Trustee with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“Responsible Officer”, when used with respect to the Company, means any of the Chairman of the Board, President, Chief Executive Officer, Chief Financial Officer, Treasurer, Controller, General Counsel, Secretary or any Vice President (or any equivalent of the foregoing officers).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Standard &amp; Poor’s Rating Service or any successor to the rating agency business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“Security” or “Securities” means any note or notes, bond or bonds, debenture or debentures, or any other evidences of indebtedness, as the case may be, of any series authenticated and delivered from time to time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shall have the meaning specified in Section 3.05.</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“Security Registrar” means the Person who keeps the Security Register specified in Section 3.05. The Company initially appoints the Trustee to act as Security Registrar for the Securities on its behalf. The Company may at any time and from time to time authorize any Person to act as Security Registrar in place of the Trustee with respect to any series of Securities issued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“Securityholder” means a Person in whose name a security is registered in the Security Register.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77" w:lineRule="auto"/>
        <w:rPr>
          <w:sz w:val="20"/>
          <w:szCs w:val="20"/>
          <w:color w:val="auto"/>
        </w:rPr>
      </w:pPr>
      <w:r>
        <w:rPr>
          <w:rFonts w:ascii="Arial" w:cs="Arial" w:eastAsia="Arial" w:hAnsi="Arial"/>
          <w:sz w:val="18"/>
          <w:szCs w:val="18"/>
          <w:color w:val="auto"/>
        </w:rPr>
        <w:t>“Significant Subsidiary” means any Subsidiary which would be a “significant subsidiary” as defined in Article 1, Rule 12 of Regulation S-X, promulgated pursuant to the Securities Act of 1933, as in effect on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3.07.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“Subsidiary”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“Trading Day” shall mean, with respect to the Common Stock or a Marketable Security, so long as the common stock or such Marketable Security, as the case may be, is listed or admitted to trading on the Nasdaq, a day on which the Nasdaq is open for the transaction of business, or, if the Common Stock or such Marketable Security, as the case may be, is not listed or admitted to trading on the Nasdaq, a day on which the principal national securities exchange on which the Common Stock or such Marketable Security, as the case may be, is listed is open for the transaction of business, or, if the Common Stock or such Marketable Security, as the case may be, is not so listed or admitted for trading on any national securities exchange, a day on which the member of the Financial Industry Regulatory Authority selected by the Company to provide pricing information for the Common Stock or such Marketable Security is open for the transaction of business.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“Trust Indenture Act” or “TIA” means the Trust Indenture Act of 1939 as in force at the date as of which this instrument was executed; provided, however, that, in the event the Trust Indenture Act of 1939 is amended after such date, “Trust Indenture Act” or “TIA” means, to the extent required by any such amendment, the Trust Indenture Act of 1939 as so amended.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and include each Person who is then a Trustee hereunder.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 including without limitation, an assistant vice president.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“Voting Stock”, as applied to the stock of any corporation, means stock of any class or classes (however designated) having by the terms thereof ordinary voting power to elect a majority of the members of the board of directors (or other governing body) of such corporation other than stock having such power only by reason of the happening of a contingency.</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“Yield to Maturity” means the yield to maturity on a series of Securities, calculated by the Company at the time of issuance of such series of Securities, or, if applicable, at the most recent redetermination of interest on such series, in accordance with accepted financial practice.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5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(including any covenants compliance with which constitutes a condition precedent), provided for in this Indenture relating to the proposed action have been complied with and an Opinion of Counsel stating that in the opinion of such Counsel all such conditions precedent, if any (including any covenants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annual statements of compliance provided pursuant to Section 10.04) shall include:</w:t>
      </w:r>
    </w:p>
    <w:p>
      <w:pPr>
        <w:spacing w:after="0" w:line="170" w:lineRule="exact"/>
        <w:rPr>
          <w:sz w:val="20"/>
          <w:szCs w:val="20"/>
          <w:color w:val="auto"/>
        </w:rPr>
      </w:pPr>
    </w:p>
    <w:p>
      <w:pPr>
        <w:ind w:left="660" w:right="20" w:firstLine="644"/>
        <w:spacing w:after="0" w:line="277" w:lineRule="auto"/>
        <w:tabs>
          <w:tab w:leader="none" w:pos="15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4"/>
        <w:spacing w:after="0" w:line="277" w:lineRule="auto"/>
        <w:tabs>
          <w:tab w:leader="none" w:pos="15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as to the other matters, and any such Person may certify or give an opinion as to such matters in one or several documents.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of an officer of the Company or Opinion of Counsel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Securityholders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7" w:lineRule="auto"/>
        <w:tabs>
          <w:tab w:leader="none" w:pos="892"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Securityholders or Securityholders of any series may be embodied in and evidenced by one or more instruments of substantially similar tenor signed by such Securityholders in person or by an agent duly appointed in writing or may be embodied in or evidenced by an electronic transmission which identifies the documents containing the proposal on which such consent is requested and certifies such Securityholders’ consent thereto and agreement to be bound thereby; and, except as herein otherwise expressly provided, such action shall become effective when such instrument or instruments are delivered to the Trustee, and, where it is hereby expressly required, to the Company. If any Securities are denominated in coin or currency other than that of the United States, then for the purposes of determining whether the Holders of the requisite principal amount of Securities have taken any action as herein described, the principal amount of such Securities shall be deemed to be that amount of United States dollars that could be obtained for such principal amount on the basis of the spot rate of exchange into United States dollars for the currency in which such Securities are denominated (as evidenced to the Trustee by an Officers’ Certificate) as of the date the taking of such action by the Holders of such requisite principal amount is evidenced to the Trustee as provided in the immediately preceding sentence. If any Securities are Original Issue Discount Securities, then for the purposes of determining whether the Holders of the requisite principal amount of Securities have taken any action as herein described, the principal amount of such Original Issue Discount Securities shall be deemed to be the amount of the principal thereof that would be due and payable upon a declaration of acceleration of the Maturity thereof as of the date the taking of such action by the Holders of such requisite principal amount is evidenced to the Trustee as provided in the first sentence of this Section 1.04(a). Such instrument or instruments (and the action embodied therein and evidenced thereby) are herein sometimes referred to as the “Act” of the Securityholders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88" w:lineRule="exact"/>
        <w:rPr>
          <w:rFonts w:ascii="Arial" w:cs="Arial" w:eastAsia="Arial" w:hAnsi="Arial"/>
          <w:sz w:val="17"/>
          <w:szCs w:val="17"/>
          <w:color w:val="auto"/>
        </w:rPr>
      </w:pPr>
    </w:p>
    <w:p>
      <w:pPr>
        <w:jc w:val="both"/>
        <w:ind w:firstLine="644"/>
        <w:spacing w:after="0" w:line="255" w:lineRule="auto"/>
        <w:tabs>
          <w:tab w:leader="none" w:pos="9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92" w:lineRule="exact"/>
        <w:rPr>
          <w:rFonts w:ascii="Arial" w:cs="Arial" w:eastAsia="Arial" w:hAnsi="Arial"/>
          <w:sz w:val="18"/>
          <w:szCs w:val="18"/>
          <w:color w:val="auto"/>
        </w:rPr>
      </w:pPr>
    </w:p>
    <w:p>
      <w:pPr>
        <w:ind w:left="880" w:hanging="236"/>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w:t>
      </w:r>
    </w:p>
    <w:p>
      <w:pPr>
        <w:spacing w:after="0" w:line="225" w:lineRule="exact"/>
        <w:rPr>
          <w:rFonts w:ascii="Arial" w:cs="Arial" w:eastAsia="Arial" w:hAnsi="Arial"/>
          <w:sz w:val="18"/>
          <w:szCs w:val="18"/>
          <w:color w:val="auto"/>
        </w:rPr>
      </w:pPr>
    </w:p>
    <w:p>
      <w:pPr>
        <w:jc w:val="both"/>
        <w:ind w:firstLine="644"/>
        <w:spacing w:after="0" w:line="287" w:lineRule="auto"/>
        <w:tabs>
          <w:tab w:leader="none" w:pos="90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Company shall solicit from the Holders any request, demand, authorization, direction, notice, consent, waiver or other action, the Company may, at its option, fix in advance a record date for the determination of Holders entitled to give such request, demand, authorization, direction, notice, consent, waiver or other action, but the Company shall have no obligation to do so. Such record date shall be the later of 10 days prior to the first solicitation of such action or the date of the most recent list of Holders furnished to the Trustee pursuant to Section 7.01. If such a record date is fixed, such request, demand, authorization, direction, notice, consent, waiver or other action may be given before or after the record date, but only the Holders of record at the close of business on the record date shall be deemed to be Holders for the purposes of determining whether Holders of the requisite proportion of Securities outstanding have authorized or agreed or consented to such request, demand, authorization, direction, notice, consent, waiver or other action, and for that purpose the Securities outstanding shall be computed as of the record date; provided that no such authorization, agreement or consent by the Holders on the record date shall be deemed effective unless it shall become effective pursuant to the provisions of this Indenture not later than six months after the record date, and that no such authorization, agreement or consent may be amended, withdrawn or revoked once given by a Holder, unless the Company shall provide for such amendment, withdrawal or revocation in conjunction with such solicitation of authorizations, agreements or consents or unless and to the extent required by applicable law.</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1" w:name="page72"/>
    <w:bookmarkEnd w:id="71"/>
    <w:p>
      <w:pPr>
        <w:jc w:val="both"/>
        <w:ind w:left="660" w:firstLine="644"/>
        <w:spacing w:after="0" w:line="286" w:lineRule="auto"/>
        <w:tabs>
          <w:tab w:leader="none" w:pos="15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by the Holder of any Security shall bind the Holder of every Security issued upon the registration of transfer thereof or in exchange therefor or in lieu thereof, in respect of anything done or suffered to be done by the Trustee or the Company in reliance thereon whether or not notation of such action is made upon such Security.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Securityholders or other document provided or permitted by this Indenture to be made upon, given or furnished to, or filed with:</w:t>
      </w:r>
    </w:p>
    <w:p>
      <w:pPr>
        <w:spacing w:after="0" w:line="211" w:lineRule="exact"/>
        <w:rPr>
          <w:sz w:val="20"/>
          <w:szCs w:val="20"/>
          <w:color w:val="auto"/>
        </w:rPr>
      </w:pPr>
    </w:p>
    <w:p>
      <w:pPr>
        <w:ind w:left="660" w:right="20" w:firstLine="644"/>
        <w:spacing w:after="0" w:line="277" w:lineRule="auto"/>
        <w:tabs>
          <w:tab w:leader="none" w:pos="15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by any Securityholder or by the Company shall be sufficient for every purpose hereunder if made, given, furnished or filed in writing to or with the Trustee at its Corporate Trust Office, Attention: Corporate Trust Administration; or</w:t>
      </w:r>
    </w:p>
    <w:p>
      <w:pPr>
        <w:spacing w:after="0" w:line="170" w:lineRule="exact"/>
        <w:rPr>
          <w:rFonts w:ascii="Arial" w:cs="Arial" w:eastAsia="Arial" w:hAnsi="Arial"/>
          <w:sz w:val="18"/>
          <w:szCs w:val="18"/>
          <w:color w:val="auto"/>
        </w:rPr>
      </w:pPr>
    </w:p>
    <w:p>
      <w:pPr>
        <w:jc w:val="both"/>
        <w:ind w:left="660" w:firstLine="644"/>
        <w:spacing w:after="0" w:line="279" w:lineRule="auto"/>
        <w:tabs>
          <w:tab w:leader="none" w:pos="15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by the Trustee or by any Securityholder shall be sufficient for every purpose hereunder (except as provided in Section 5.0 1(4) or, in the case of a request for repayment, as specified in the Security carrying the right to repayment) if in writing and mailed, first-class postage prepaid, to the Company addressed to it at the address of its principal office specified in the first paragraph of this instrument, Attention: Chief Financial Officer, or at the address last furnished in writing to the Trustee by the Company.</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Notices to Securityholders; Waiver</w:t>
      </w:r>
      <w:r>
        <w:rPr>
          <w:rFonts w:ascii="Arial" w:cs="Arial" w:eastAsia="Arial" w:hAnsi="Arial"/>
          <w:sz w:val="16"/>
          <w:szCs w:val="16"/>
          <w:color w:val="auto"/>
        </w:rPr>
        <w:t>. Where this Indenture or any Security provides for notice to Securityholders of any event, such notice shall be sufficiently given (unless otherwise herein or in such Security expressly provided) if in writing and mailed, first−class postage prepaid, to each Securityholder affected by such event, at his address as it appears in the Security Register, not later than the latest date, and not earlier than the earliest date, prescribed for the giving of such notice. In any case where notice to Securityholders is given by mail, neither the failure to mail such notice, nor any defect in any notice so mailed, to any particular Securityholder shall affect the sufficiency of such notice with respect to other Securityholders. Where this Indenture or any Security provides for notice in any manner, such notice may be waived in writing by the Person entitled to receive such notice, either before or after the event, and such waiver shall be the equivalent of such notice. Waivers of notice by Securityholders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case, by reason of the suspension of regular mail service as a result of a strike, work stoppage or otherwise, it shall be impractical to mail notice of any event to any Securityholder when such notice is required to be given pursuant to any provision of this Indenture, then any method of notification as shall be satisfactory to the Trustee and the Company shall be deemed to be a sufficient giving of such notice.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and to the extent that any provision hereof limits, qualifies or conflicts with the duties imposed by, or with another provision (an “incorporated provision”) included in this Indenture by operation of, any of Sections 310 to 318, inclusive, of the Trust Indenture Act, such imposed duties or incorporated provision shall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and the Guarantors, if any, shall bind their respective successors and assigns, whether so expressed or not.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any Securities, express or implied, shall give to any Person, other than the parties hereto and their successors hereunder, any Authenticating Agent or Paying Agent, the Security Registrar and the Holders of Securities (or such of them as may be affected thereby), any benefit or any legal or equitable right, remedy or claim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Indenture shall be construed in accordance with and governed by the laws of the State of New York.</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premium or interest, if any,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New York Banking Day preceding that on which a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w:t>
      </w:r>
    </w:p>
    <w:p>
      <w:pPr>
        <w:spacing w:after="0" w:line="1" w:lineRule="exact"/>
        <w:rPr>
          <w:sz w:val="20"/>
          <w:szCs w:val="20"/>
          <w:color w:val="auto"/>
        </w:rPr>
      </w:pPr>
    </w:p>
    <w:p>
      <w:pPr>
        <w:jc w:val="both"/>
        <w:ind w:firstLine="8"/>
        <w:spacing w:after="0" w:line="253" w:lineRule="auto"/>
        <w:tabs>
          <w:tab w:leader="none" w:pos="2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or a day on which banking institutions in the City of New York are authorized or required by law or executive order to close.</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Legal Holidays</w:t>
      </w:r>
      <w:r>
        <w:rPr>
          <w:rFonts w:ascii="Arial" w:cs="Arial" w:eastAsia="Arial" w:hAnsi="Arial"/>
          <w:sz w:val="17"/>
          <w:szCs w:val="17"/>
          <w:color w:val="auto"/>
        </w:rPr>
        <w:t>. In any case where any Interest Payment Date, Redemption Date, date established for payment of Defaulted Interest pursuant to Section 3.07, Stated Maturity or Maturity with respect to any Security or other day on which principal or interest is due, shall not be a Business Day, then (notwithstanding any other provision of this Indenture or any Security) payment of principal or interest need not be made on such date, but may be made on the next succeeding Business Day with the same force and effect as if made on the Interest Payment Date, Redemption Date, date established for payment of Defaulted Interest pursuant to Section 3.07 or Stated Maturity or Maturity; provided that no interest shall accrue for the period from and after such Interest Payment Date or other such day, Redemption Date, date established for payment of Defaulted Interest pursuant to Section 3.07, Stated Maturity or Maturity, as the case may be, to the next succeeding Business Day.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85"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Agent for Service; Submission to Jurisdiction; Waiver of Immunities and Jury Trial</w:t>
      </w:r>
      <w:r>
        <w:rPr>
          <w:rFonts w:ascii="Arial" w:cs="Arial" w:eastAsia="Arial" w:hAnsi="Arial"/>
          <w:sz w:val="16"/>
          <w:szCs w:val="16"/>
          <w:color w:val="auto"/>
        </w:rPr>
        <w:t>. The Company and each Guarantor agree that any suit, action or proceeding against the Company or any Guarantor arising out of or based upon this Indenture or the transactions contemplated hereby may be instituted in any State or Federal court in The City of New York, New York, and waives any objection which it may now or hereafter have to the laying of venue of any such proceeding, and irrevocably submits to the nonexclusive jurisdiction of such courts in any suit, action or proceeding. The Company and each Guarantor shall maintain in the Borough of Manhattan, The City of New York an office or agency to act as its authorized agent (the “Authorized Agent”) upon whom process may be served in any suit, action or proceeding arising out of or based upon this Indenture, any Security or the transactions contemplated herein or thereby which may be instituted in any State or Federal court in The City of New York, New York, and expressly accepts the nonexclusive jurisdiction of any such court in respect of any such suit, action or proceeding. The Company shall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at the Corporate Trust Office of the Trustee. The Company hereby designates the Corporate Trust Office as the Authorized Agent and appoints the Trustee its agent to receive all such process so long as such Corporate Trust Office remains the Authorized Agent. The Company and each Guarantor further agree to take any and all action as may be necessary to maintain such designation and appointment of such agent in full force and effect for a period of ten years from the date of this Indenture. If for any reason the Authorized Agent shall cease to be available to act as such authorized agent for the Company and any Guarantor, the Company and each Guarantor agree to designate a new agent in the State of New York on the terms and for the purpose of this Section 1.16. The Company and each Guarantor hereby represent and warrant that the Authorized Agent has accepted such appointment and has agreed to act as said agent for service of process, and the Company and each Guarantor agree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FORMS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 The Securities shall have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Any portion of the text of any Security may be set forth on the reverse thereof, with an appropriate reference thereto on the face of the Security.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86" w:lineRule="auto"/>
        <w:rPr>
          <w:sz w:val="20"/>
          <w:szCs w:val="20"/>
          <w:color w:val="auto"/>
        </w:rPr>
      </w:pPr>
      <w:r>
        <w:rPr>
          <w:rFonts w:ascii="Arial" w:cs="Arial" w:eastAsia="Arial" w:hAnsi="Arial"/>
          <w:sz w:val="17"/>
          <w:szCs w:val="17"/>
          <w:color w:val="auto"/>
        </w:rPr>
        <w:t>The definitive Securities shall be printed, lithographed or engraved or produced by any combination of these methods on steel engraved borders or may be produced in any other manner, all as determined by the officers executing such Securities, as evidenced by their execution of such Securities, subject, with respect to the Securities of any series, to the rules of any securities exchange on which such Securities are listed.</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Forms of Securities</w:t>
      </w:r>
      <w:r>
        <w:rPr>
          <w:rFonts w:ascii="Arial" w:cs="Arial" w:eastAsia="Arial" w:hAnsi="Arial"/>
          <w:sz w:val="18"/>
          <w:szCs w:val="18"/>
          <w:color w:val="auto"/>
        </w:rPr>
        <w:t>. Each Security shall be in one of the forms approved from time to time by or pursuant to a Board Resolution, or established in one or more indentures supplemental hereto. Prior to the delivery of a Security to the Trustee for authentication in any form approved by or pursuant to a Board Resolution, the Company shall deliver to the Trustee the Board Resolution by or pursuant to which such form of Security has been approved, which Board Resolution shall have attached thereto a true and correct copy of the form of Security which has been approved thereby or, if a Board Resolution authorizes a specific officer or officers to approve a form of Security, a certificate of such officer or officers approving the form of Security attached thereto. Any form of Security approved by or pursuant to a Board Resolution must be acceptable as to form to the Trustee, such acceptance to be evidenced by the Trustee’s authentication of Securities in that form or a certificate signed by a Responsible Officer of the Trustee and delivered to the Company.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The form of Trustee’s Certificate of Authentication for any Security issued pursuant to this Indenture shall be substantially as follows:</w:t>
      </w:r>
    </w:p>
    <w:p>
      <w:pPr>
        <w:spacing w:after="0" w:line="17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Securities Issuable in the Form of a Global Security</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7" w:lineRule="auto"/>
        <w:tabs>
          <w:tab w:leader="none" w:pos="15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Sections 2.02 and 3.01 that the Securities of a particular series are to be issued in whole or in part in the form of one or more Global Securities, then the Company shall execute and the Trustee or its agent shall, in accordance with Section 3.03 and the Company Order delivered to the Trustee or its agent thereunder, authenticate and deliver, such Global Security or Securities, which (i) shall represent, and shall be denominated in an amount equal to the aggregate principal amount of, the Outstanding Securities of such series to be represented by such Global Security or Securities, or such portion thereof as the Company shall specify in a Company Order, (ii) shall be registered in the name of the Depository for such Global Security or Securities or its nominee, (iii) shall be delivered by the Trustee or its agent to the Depository or pursuant to the Depository’s instruction and (iv) shall bear a legend substantially to the following effect: “Unless this certificate is presented by an authorized representative of the Depository to Issuer or its agent for registration of transfer, exchange, or payment, and any certificate issued is registered in the name of the nominee of the Depository or in such other name as is requested by an authorized representative of the Depository (and any payment is made to the nominee of the Depository or to such other entity as is requested by an authorized representative of the Depository), ANY TRANSFER, PLEDGE, OR OTHER USE HEREOF FOR VALUE OR OTHERWISE BY OR TO ANY PERSON IS WRONGFUL inasmuch as the registered owner hereof, the nominee of the Depository, has an interest herein.”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left="-460" w:firstLine="644"/>
        <w:spacing w:after="0" w:line="257" w:lineRule="auto"/>
        <w:tabs>
          <w:tab w:leader="none" w:pos="4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2.04 or of Section 3.05, and subject to the provisions of paragraph (iii) below, unless the terms of a Global Security expressly permit such Global Security to be exchanged in whole or in part for individual Securities, a Global Security may be transferred, in whole but not in part and in the manner provided in Section 3.05, only to a nominee of the Depository for such Global Security, or to the Depository, or a successor Depository for such Global Security selected or approved by the Company, or to a nominee of such successor Depository.</w:t>
      </w:r>
    </w:p>
    <w:p>
      <w:pPr>
        <w:spacing w:after="0" w:line="187" w:lineRule="exact"/>
        <w:rPr>
          <w:rFonts w:ascii="Arial" w:cs="Arial" w:eastAsia="Arial" w:hAnsi="Arial"/>
          <w:sz w:val="18"/>
          <w:szCs w:val="18"/>
          <w:color w:val="auto"/>
        </w:rPr>
      </w:pPr>
    </w:p>
    <w:p>
      <w:pPr>
        <w:jc w:val="both"/>
        <w:ind w:left="-460" w:firstLine="644"/>
        <w:spacing w:after="0" w:line="271" w:lineRule="auto"/>
        <w:tabs>
          <w:tab w:leader="none" w:pos="4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(i) If at any time the Depository for a Global Security notifies the Company that it is unwilling or unable to continue as Depository for such Global Security or if at any time the Depository for the Securities for such series shall no longer be eligible or in good standing under the Securities Exchange Act of 1934, as amended, or other applicable statute or regulation, the Company shall appoint a successor Depository with respect to such Global Security. If a successor Depository for such Global Security is not appointed by the Company within 90 days after the Company receives such notice or becomes aware of such ineligibility, the Company will execute, and the Trustee or its agent, upon receipt of a Company Request for the authentication and delivery of individual Securities of such series in exchange for such Global Security, will authenticate and deliver, individual Securities of such series of like tenor and terms in an aggregate principal amount equal to the principal amount of the Global Security in exchange for such Global Security.</w:t>
      </w:r>
    </w:p>
    <w:p>
      <w:pPr>
        <w:spacing w:after="0" w:line="178" w:lineRule="exact"/>
        <w:rPr>
          <w:rFonts w:ascii="Arial" w:cs="Arial" w:eastAsia="Arial" w:hAnsi="Arial"/>
          <w:sz w:val="17"/>
          <w:szCs w:val="17"/>
          <w:color w:val="auto"/>
        </w:rPr>
      </w:pPr>
    </w:p>
    <w:p>
      <w:pPr>
        <w:jc w:val="both"/>
        <w:ind w:left="180" w:firstLine="652"/>
        <w:spacing w:after="0" w:line="273" w:lineRule="auto"/>
        <w:tabs>
          <w:tab w:leader="none" w:pos="1093"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Company may at any time and in its sole discretion determine that the Securities of any series or portion thereof issued or issuable in the form of one or more Global Securities shall no longer be represented by such Global Security or Securities. In such event the Company will execute, and the Trustee, upon receipt of a Company Request for the authentication and delivery of individual Securities of such series in exchange in whole or in part for such Global Security, will authenticate and deliver individual Securities of such series of like tenor and terms in definitive form in an aggregate principal amount equal to the principal amount of such Global Security or Securities representing such series or portion thereof in exchange for such Global Security or Securities.</w:t>
      </w:r>
    </w:p>
    <w:p>
      <w:pPr>
        <w:spacing w:after="0" w:line="177" w:lineRule="exact"/>
        <w:rPr>
          <w:rFonts w:ascii="Arial" w:cs="Arial" w:eastAsia="Arial" w:hAnsi="Arial"/>
          <w:sz w:val="17"/>
          <w:szCs w:val="17"/>
          <w:color w:val="auto"/>
        </w:rPr>
      </w:pPr>
    </w:p>
    <w:p>
      <w:pPr>
        <w:jc w:val="both"/>
        <w:ind w:left="180" w:firstLine="652"/>
        <w:spacing w:after="0" w:line="270" w:lineRule="auto"/>
        <w:tabs>
          <w:tab w:leader="none" w:pos="1143"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specified by the Company pursuant to Sections 2.02 and 3.02 with respect to Securities issued or issuable in the form of a Global Security, the Depository for such Global Security may surrender such Global Security in exchange in whole or in part for individual Securities of such series of like tenor and terms in definitive form on such terms as are acceptable to the Company and such Depository Thereupon the Company shall execute, and the Trustee or its agent shall authenticate and deliver, without service charge, (1) to each Person specified by such Depository a new Security or Securities of the same series of like tenor and terms and of any authorized denomination as requested by such Person in aggregate principal amount equal to and in exchange for such Person’s beneficial interest as specified by such Depository in the Global Security; and (2) to such Depository a new Global Security of like tenor and terms and in an authorized denomination equal to the difference, if any, between the principal amount of the surrendered Global Security and the aggregate principal amount of Securities delivered to Holders thereof.</w:t>
      </w:r>
    </w:p>
    <w:p>
      <w:pPr>
        <w:spacing w:after="0" w:line="180" w:lineRule="exact"/>
        <w:rPr>
          <w:rFonts w:ascii="Arial" w:cs="Arial" w:eastAsia="Arial" w:hAnsi="Arial"/>
          <w:sz w:val="17"/>
          <w:szCs w:val="17"/>
          <w:color w:val="auto"/>
        </w:rPr>
      </w:pPr>
    </w:p>
    <w:p>
      <w:pPr>
        <w:jc w:val="both"/>
        <w:ind w:left="180" w:firstLine="652"/>
        <w:spacing w:after="0" w:line="291" w:lineRule="auto"/>
        <w:tabs>
          <w:tab w:leader="none" w:pos="11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any exchange provided for in any of the preceding three paragraphs, the Company will execute and the Trustee or its agent will authenticate and deliver individual Securities in definitive registered form in authorized denominations. Upon the exchange of the entire principal amount of a Global Security for individual Securities, such Global Security shall be canceled by the Trustee or its agent. Except as provided in the preceding paragraph, Securities issued in exchange for a Global Security pursuant to this Section shall be registered in such names and in such authorized denominations as the Depository for such Global Security, pursuant to instructions from its direct or indirect participants or otherwise, shall instruct the Trustee or the Security Registrar. The Trustee or the Security Registrar shall deliver at its Corporate Trust Office such Securities to the Persons in whose names such Securities are so registered.</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General Title; General Limitations; Issuable in Series; Terms of Particular Series</w:t>
      </w:r>
      <w:r>
        <w:rPr>
          <w:rFonts w:ascii="Arial" w:cs="Arial" w:eastAsia="Arial" w:hAnsi="Arial"/>
          <w:sz w:val="18"/>
          <w:szCs w:val="18"/>
          <w:color w:val="auto"/>
        </w:rPr>
        <w:t>. The aggregate principal amount of Securities which may be authenticated and delivered and Outstanding under this Indenture is not limited.</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Securities may be issued in one or more series as from time to time may be authorized by the Board of Directors. There shall be established in or pursuant to a Board Resolution or in an indenture supplemental hereto, subject to Section 3.12, prior to the issuance of Securities of any such series:</w:t>
      </w:r>
    </w:p>
    <w:p>
      <w:pPr>
        <w:spacing w:after="0" w:line="124" w:lineRule="exact"/>
        <w:rPr>
          <w:sz w:val="20"/>
          <w:szCs w:val="20"/>
          <w:color w:val="auto"/>
        </w:rPr>
      </w:pPr>
    </w:p>
    <w:p>
      <w:pPr>
        <w:ind w:left="1540" w:hanging="236"/>
        <w:spacing w:after="0"/>
        <w:tabs>
          <w:tab w:leader="none" w:pos="1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title of the Securities of such series (which shall distinguish the Securities of such series from Securities of any other series);</w:t>
      </w:r>
    </w:p>
    <w:p>
      <w:pPr>
        <w:spacing w:after="0" w:line="236" w:lineRule="exact"/>
        <w:rPr>
          <w:rFonts w:ascii="Arial" w:cs="Arial" w:eastAsia="Arial" w:hAnsi="Arial"/>
          <w:sz w:val="17"/>
          <w:szCs w:val="17"/>
          <w:color w:val="auto"/>
        </w:rPr>
      </w:pPr>
    </w:p>
    <w:p>
      <w:pPr>
        <w:ind w:left="660" w:right="20" w:firstLine="644"/>
        <w:spacing w:after="0" w:line="308" w:lineRule="auto"/>
        <w:tabs>
          <w:tab w:leader="none" w:pos="156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Person to whom any interest on a Security of such series shall be payable, if other than the Person in whose name that Security (or one or more Predecessor Securities) is registered at the close of business on the Regular Record Date for such interest;</w:t>
      </w:r>
    </w:p>
    <w:p>
      <w:pPr>
        <w:spacing w:after="0" w:line="146" w:lineRule="exact"/>
        <w:rPr>
          <w:rFonts w:ascii="Arial" w:cs="Arial" w:eastAsia="Arial" w:hAnsi="Arial"/>
          <w:sz w:val="17"/>
          <w:szCs w:val="17"/>
          <w:color w:val="auto"/>
        </w:rPr>
      </w:pPr>
    </w:p>
    <w:p>
      <w:pPr>
        <w:ind w:left="1540" w:hanging="236"/>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such series is payable;</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at which the Securities of such series shall bear interest, if any, the date or dates from which such interest shall accrue, the Interest Payment Dates on which any such interest shall be payable and the Regular Record Date for any interest payable on any Interest Payment Date;</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Securities of such series shall be payable;</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6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period or periods within which, the Redemption Price or Prices or the Repayment Price or Prices, as the case may be, at which and the terms and conditions upon which Securities of such series may be redeemed or repaid (including the applicability of Section 11.09), as the case may be, in whole or in part, at the option of the Company or the Holder;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obligation, if any, of the Company to purchase Securities of such series pursuant to any sinking fund or analogous provisions or at the option of a Holder thereof and the period or periods within which, the price or prices at which and the terms and conditions upon which Securities of such series shall be purchased, in whole or in part, pursuant to such obligation;</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such series shall be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460" w:firstLine="644"/>
        <w:spacing w:after="0" w:line="277" w:lineRule="auto"/>
        <w:tabs>
          <w:tab w:leader="none" w:pos="4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if any, with regard to the conversion or exchange of the Securities of such series, at the option of the Holders thereof or the Company, as the case may be, for or into new Securities of a different series or other securities;</w:t>
      </w:r>
    </w:p>
    <w:p>
      <w:pPr>
        <w:spacing w:after="0" w:line="170" w:lineRule="exact"/>
        <w:rPr>
          <w:rFonts w:ascii="Arial" w:cs="Arial" w:eastAsia="Arial" w:hAnsi="Arial"/>
          <w:sz w:val="18"/>
          <w:szCs w:val="18"/>
          <w:color w:val="auto"/>
        </w:rPr>
      </w:pPr>
    </w:p>
    <w:p>
      <w:pPr>
        <w:ind w:left="-460" w:firstLine="644"/>
        <w:spacing w:after="0" w:line="342" w:lineRule="auto"/>
        <w:tabs>
          <w:tab w:leader="none" w:pos="403"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Securities of such series shall be denominated and in which payments of principal of, and any premium and interest on, such Securities shall or may be payable;</w:t>
      </w:r>
    </w:p>
    <w:p>
      <w:pPr>
        <w:spacing w:after="0" w:line="123" w:lineRule="exact"/>
        <w:rPr>
          <w:rFonts w:ascii="Arial" w:cs="Arial" w:eastAsia="Arial" w:hAnsi="Arial"/>
          <w:sz w:val="16"/>
          <w:szCs w:val="16"/>
          <w:color w:val="auto"/>
        </w:rPr>
      </w:pPr>
    </w:p>
    <w:p>
      <w:pPr>
        <w:jc w:val="both"/>
        <w:ind w:left="-460" w:firstLine="644"/>
        <w:spacing w:after="0" w:line="286" w:lineRule="auto"/>
        <w:tabs>
          <w:tab w:leader="none" w:pos="456"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principal of (and premium, if any) or interest, if any, on the Securities of such series are to be payable, at the election of the Company or a Holder thereof, in a coin or currency (including a composite currency) other than that in which the Securities are stated to be payable, the period or periods within which, and the terms and conditions upon which, such election may be made;</w:t>
      </w:r>
    </w:p>
    <w:p>
      <w:pPr>
        <w:spacing w:after="0" w:line="165" w:lineRule="exact"/>
        <w:rPr>
          <w:rFonts w:ascii="Arial" w:cs="Arial" w:eastAsia="Arial" w:hAnsi="Arial"/>
          <w:sz w:val="17"/>
          <w:szCs w:val="17"/>
          <w:color w:val="auto"/>
        </w:rPr>
      </w:pPr>
    </w:p>
    <w:p>
      <w:pPr>
        <w:jc w:val="both"/>
        <w:ind w:left="-460" w:firstLine="644"/>
        <w:spacing w:after="0" w:line="263" w:lineRule="auto"/>
        <w:tabs>
          <w:tab w:leader="none" w:pos="4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Securities of such series may be determined with reference to an index based on a coin or currency (including a composite currency) other than that in which the Securities are stated to be payable, the manner in which such amounts shall be determined;</w:t>
      </w:r>
    </w:p>
    <w:p>
      <w:pPr>
        <w:spacing w:after="0" w:line="183" w:lineRule="exact"/>
        <w:rPr>
          <w:rFonts w:ascii="Arial" w:cs="Arial" w:eastAsia="Arial" w:hAnsi="Arial"/>
          <w:sz w:val="18"/>
          <w:szCs w:val="18"/>
          <w:color w:val="auto"/>
        </w:rPr>
      </w:pPr>
    </w:p>
    <w:p>
      <w:pPr>
        <w:jc w:val="both"/>
        <w:ind w:left="-460" w:firstLine="644"/>
        <w:spacing w:after="0" w:line="259" w:lineRule="auto"/>
        <w:tabs>
          <w:tab w:leader="none" w:pos="4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which may be authenticated and delivered under this Indenture (except for Securities authenticated and delivered upon registration of transfer of, or in exchange for, or in lieu of, other Securities of such series pursuant to Sections 3.04, 3.05, 3.06, 9.06 and 11.07 and except for any Securities which, pursuant to Section 3.03, are deemed never to have been authenticated and delivered hereunder);</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4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if any, with regard to the exchange of Securities of such series, at the option of the Holders thereof, for other Securities of the same series of the same aggregate principal amount or of a different authorized series or different authorized denomination or denominations, or both;</w:t>
      </w:r>
    </w:p>
    <w:p>
      <w:pPr>
        <w:spacing w:after="0" w:line="183" w:lineRule="exact"/>
        <w:rPr>
          <w:rFonts w:ascii="Arial" w:cs="Arial" w:eastAsia="Arial" w:hAnsi="Arial"/>
          <w:sz w:val="18"/>
          <w:szCs w:val="18"/>
          <w:color w:val="auto"/>
        </w:rPr>
      </w:pPr>
    </w:p>
    <w:p>
      <w:pPr>
        <w:jc w:val="both"/>
        <w:ind w:left="-460" w:firstLine="644"/>
        <w:spacing w:after="0" w:line="259" w:lineRule="auto"/>
        <w:tabs>
          <w:tab w:leader="none" w:pos="4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if any, with regard to the appointment by the Company of an Authenticating Agent in one or more places other than the location of the office of the Trustee with power to act on behalf of the Trustee and subject to its direction in the authentication and delivery of the Securities of any one or more series in connection with such transactions as shall be specified in the provisions of this Indenture or in or pursuant to such Board Resolution or indenture supplemental hereto;</w:t>
      </w:r>
    </w:p>
    <w:p>
      <w:pPr>
        <w:spacing w:after="0" w:line="186" w:lineRule="exact"/>
        <w:rPr>
          <w:rFonts w:ascii="Arial" w:cs="Arial" w:eastAsia="Arial" w:hAnsi="Arial"/>
          <w:sz w:val="18"/>
          <w:szCs w:val="18"/>
          <w:color w:val="auto"/>
        </w:rPr>
      </w:pPr>
    </w:p>
    <w:p>
      <w:pPr>
        <w:ind w:left="-460" w:firstLine="644"/>
        <w:spacing w:after="0" w:line="308" w:lineRule="auto"/>
        <w:tabs>
          <w:tab w:leader="none" w:pos="4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portion of the principal amount of Securities of the series, if other than the principal amount thereof, which shall be payable upon declaration of acceleration of the Maturity thereof pursuant to Section 5.02 or provable in bankruptcy pursuant to Section 5.04;</w:t>
      </w:r>
    </w:p>
    <w:p>
      <w:pPr>
        <w:spacing w:after="0" w:line="146" w:lineRule="exact"/>
        <w:rPr>
          <w:rFonts w:ascii="Arial" w:cs="Arial" w:eastAsia="Arial" w:hAnsi="Arial"/>
          <w:sz w:val="17"/>
          <w:szCs w:val="17"/>
          <w:color w:val="auto"/>
        </w:rPr>
      </w:pPr>
    </w:p>
    <w:p>
      <w:pPr>
        <w:ind w:left="-460" w:firstLine="644"/>
        <w:spacing w:after="0" w:line="277" w:lineRule="auto"/>
        <w:tabs>
          <w:tab w:leader="none" w:pos="4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Event of Default with respect to the Securities of such series, if not set forth herein, and any additions, deletions or other changes to the Events of Default set forth herein that shall be applicable to the Securities of such series;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8" w:name="page79"/>
    <w:bookmarkEnd w:id="78"/>
    <w:p>
      <w:pPr>
        <w:jc w:val="both"/>
        <w:ind w:left="660" w:firstLine="644"/>
        <w:spacing w:after="0" w:line="263" w:lineRule="auto"/>
        <w:tabs>
          <w:tab w:leader="none" w:pos="153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covenant solely for the benefit of the Securities of such series and any additions, deletions or other changes to the provisions of Article VIII, Article X or Section 1.01 or any definitions relating to such Article that would otherwise be applicable to the Securities of such series;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Section 4.03 of this Indenture shall not be applicable to the Securities of such series and if Section 4.03 shall be applicable to any covenant or Event of Default established in or pursuant to a Board Resolution or in an indenture supplemental hereto as described above that has not already been established herein;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Securities of such series shall be issued in whole or in part in the form of a Global Security or Securities, the terms and conditions, if any, upon which such Global Security or Securities may be exchanged in whole or in part for other individual Securities; and the Depository for such Global Security or Securities;</w:t>
      </w:r>
    </w:p>
    <w:p>
      <w:pPr>
        <w:spacing w:after="0" w:line="183"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Securities of such series shall be guaranteed, the terms and conditions of such Guarantees and provisions for the accession of the guarantors to certain obligations hereunder;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terms of such series, including, without limitations, any restrictions on transfer related thereto all upon such terms as may be determined in or pursuant to such Board Resolution or indenture supplemental hereto with respect to such series.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form of the Securities of each series shall be established pursuant to the provisions of this Indenture in or pursuant to the Board Resolution or in the indenture supplemental hereto creating such series. The Securities of each series shall be distinguished from the Securities of each other series in such manner, reasonably satisfactory to the Trustee, as the Board of Directors may determine.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provided with respect to Securities of a particular series, the Securities of any series may only be issuable in registered form, without coupons.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terms or provisions in respect of the Securities of any series issued under this Indenture may be determined pursuant to this Section by providing for the method by which such terms or provisions shall be determined.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The Securities of each series shall be issuable in such denominations and currency as shall be provided in the provisions of this Indenture or in or pursuant to the Board Resolution or the indenture supplemental hereto creating such series. In the absence of any such provisions with respect to the Securities of any series, the Securities of that series shall be issuable only in fully registered form in denominations of $1,000 and any integral multiple thereof.</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and Delivery and Dating</w:t>
      </w:r>
      <w:r>
        <w:rPr>
          <w:rFonts w:ascii="Arial" w:cs="Arial" w:eastAsia="Arial" w:hAnsi="Arial"/>
          <w:sz w:val="18"/>
          <w:szCs w:val="18"/>
          <w:color w:val="auto"/>
        </w:rPr>
        <w:t>. The Securities shall be executed on behalf of the Company by any Responsible Officer. The signature of any of these officers on the Securities may be manual or facsimile.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executed by the Company to the Trustee for authentication; and the Trustee shall, upon Company Order, authenticate and deliver such Securities as in this Indenture provided and not otherwise.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any such authentication and delivery, the Trustee shall be provided with the Officers’ Certificate required to be furnished to the Trustee pursuant to Section 1.02, and the Board Resolution and any certificate relating to the issuance of the series of Securities required to be furnished pursuant to Section 2.02, an Opinion of Counsel substantially to the effect that:</w:t>
      </w:r>
    </w:p>
    <w:p>
      <w:pPr>
        <w:spacing w:after="0" w:line="184" w:lineRule="exact"/>
        <w:rPr>
          <w:sz w:val="20"/>
          <w:szCs w:val="20"/>
          <w:color w:val="auto"/>
        </w:rPr>
      </w:pPr>
    </w:p>
    <w:p>
      <w:pPr>
        <w:ind w:left="660" w:firstLine="644"/>
        <w:spacing w:after="0" w:line="277" w:lineRule="auto"/>
        <w:tabs>
          <w:tab w:leader="none" w:pos="15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instruments furnished to the Trustee conform to the requirements of the Indenture and constitute sufficient authority hereunder for the Trustee to authenticate and deliver such Securities;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form and terms of such Securities have been established in conformity with the provisions of this Indenture;</w:t>
      </w:r>
    </w:p>
    <w:p>
      <w:pPr>
        <w:spacing w:after="0" w:line="225" w:lineRule="exact"/>
        <w:rPr>
          <w:rFonts w:ascii="Arial" w:cs="Arial" w:eastAsia="Arial" w:hAnsi="Arial"/>
          <w:sz w:val="18"/>
          <w:szCs w:val="18"/>
          <w:color w:val="auto"/>
        </w:rPr>
      </w:pPr>
    </w:p>
    <w:p>
      <w:pPr>
        <w:jc w:val="both"/>
        <w:ind w:left="660" w:firstLine="644"/>
        <w:spacing w:after="0" w:line="293" w:lineRule="auto"/>
        <w:tabs>
          <w:tab w:leader="none" w:pos="15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laws and requirements with respect to the execution and delivery by the Company of such Securities have been complied with, the Company has the corporate power to issue such Securities and such Securities have been duly authorized and delivered by the Company and, assuming due authentication and delivery by the Trustee, constitute legal, valid and binding obligations of the Company enforceable in accordance with their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 and entitled to the benefits of this Indenture, equally and ratably with all other Securities, if any, of such series Outstanding;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1560" w:hanging="256"/>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when applicable, the Indenture is qualified under the Trust Indenture Act; and</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5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other matters as the Trustee may reasonably request; and, if the authentication and delivery relates to a new series of Securities created by an indenture supplemental hereto, also stating that all laws and requirements with respect to the form and execution by the Company of the supplemental indenture with respect to that series of Securities have been complied with, the Company has corporate power to execute and deliver any such supplemental indenture and has taken all necessary corporate action for those purposes and any such supplemental indenture has been duly executed and delivered and constitutes the legal, valid and binding obligation of the Company enforceable in accordance with its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not be required to authenticate such Securities if the issue thereof will adversely affect the Trustee’s own rights, duties or immunities under the Securities and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provided in the form of Security for any series, all Securities shall be dated the date of their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Pending the preparation of definitive Securities of any series, the Company may execute, and, upon receipt of the documents required by Section 3.03, together with a Company Order, the Trustee shall authenticate and deliver, temporary Securities which are printed, lithographed, typewritten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54" w:lineRule="auto"/>
        <w:rPr>
          <w:sz w:val="20"/>
          <w:szCs w:val="20"/>
          <w:color w:val="auto"/>
        </w:rPr>
      </w:pPr>
      <w:r>
        <w:rPr>
          <w:rFonts w:ascii="Arial" w:cs="Arial" w:eastAsia="Arial" w:hAnsi="Arial"/>
          <w:sz w:val="18"/>
          <w:szCs w:val="18"/>
          <w:color w:val="auto"/>
        </w:rPr>
        <w:t>If temporary Securities of any series are issued, the Company will cause definitive Securities of such series to be prepared without unreasonable delay. After the preparation of definitive Securities, the temporary Securities of such series shall be exchangeable for definitive Securities of such series upon surrender of the temporary Securities of such series at the office or agency of the Company in a Place of Payment, without charge to the Holder; and upon surrender for cancellation of any one or more temporary Securities the Company shall execute and the Trustee shall authenticate and deliver in exchange therefor a like principal amount of definitive Securities of such series of authorized denominations and of like tenor and terms. Until so exchanged the temporary Securities of such series shall in all respects be entitled to the same benefits under this Indenture as definitive Securities of such series.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Transfer and Exchange</w:t>
      </w:r>
      <w:r>
        <w:rPr>
          <w:rFonts w:ascii="Arial" w:cs="Arial" w:eastAsia="Arial" w:hAnsi="Arial"/>
          <w:sz w:val="18"/>
          <w:szCs w:val="18"/>
          <w:color w:val="auto"/>
        </w:rPr>
        <w:t>. The Company shall keep or cause to be kept a register or registers (herein sometimes referred to as the “Security Register”) in which, subject to such reasonable regulations as it may prescribe, the Company shall provide for the registration of Securities, or of Securities of a particular series, and of transfers of Securities or of Securities of such series. Any such register shall be in written form or in any other form capable of being converted into written form within a reasonable time. At all reasonable times the information contained in such register or registers shall be available for inspection by the Trustee at the office or agency to be maintained by the Company as provided in Section 10.02. There shall be only one Security Register per series of Securities.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2.04, upon surrender for registration of transfer of any Security of any series at the office or agency of the Company maintained for such purpose in a Place of Payment, the Company shall execute, and the Trustee shall authenticate and deliver, in the name of the designated transferee or transferees, one or more new Securities of such series of any authorized denominations, of a like aggregate principal amount and Stated Maturity and of like tenor and terms.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2.04, at the option of the Holder, Securities of any series may be exchanged for other Securities of such series of any authorized denominations, of a like aggregate principal amount and Stated Maturity and of like tenor and terms, upon surrender of the Securities to be exchanged at such office or agency. Whenever any Securities are so surrendered for exchange, the Company shall execute, and the Trustee shall authenticate and deliver, the Securities which the Securityholder making the exchange is entitled to receive.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Every Security presented or surrendered for registration of transfer or exchange shall (if so required by the Company or the Trustee) be duly endorsed, or be accompanied by a written instrument of transfer in form satisfactory to the Company and the Trustee duly executed, by the Holder thereof or his attorney duly authorized in writing.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48"/>
        <w:spacing w:after="0" w:line="259" w:lineRule="auto"/>
        <w:rPr>
          <w:sz w:val="20"/>
          <w:szCs w:val="20"/>
          <w:color w:val="auto"/>
        </w:rPr>
      </w:pPr>
      <w:r>
        <w:rPr>
          <w:rFonts w:ascii="Arial" w:cs="Arial" w:eastAsia="Arial" w:hAnsi="Arial"/>
          <w:sz w:val="18"/>
          <w:szCs w:val="18"/>
          <w:color w:val="auto"/>
        </w:rPr>
        <w:t>Unless otherwise provided in the Security to be registered for transfer or exchanged, no service charge shall be made on any Securityholder for any registration of transfer or exchange of Securities, but the Company may (unless otherwise provided in such Security)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not be required (i) to issue, register the transfer of or exchange any Security of any series during a period beginning at the opening of business 15 days before the day of the mailing of a notice of redemption of Securities of such series selected for redemption under Section 11.03 and ending at the close of business on the date of such mailing, or (ii) to register the transfer of or exchange any Security so selected for redemption in whole or in part.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If (i) any mutilated Security is surrendered to the Trustee, or the Company and the Trustee receive evidence to their satisfaction of the destruction, loss or theft of any Security, and (ii) there is delivered to the Company and the Trustee such security or indemnity as may be required by them to save each of them harmless, then, in the absence of notice to the Company or the Trustee that such Security has been acquired by a protected purchaser, the Company shall execute and upon its written request the Trustee shall authenticate and deliver, in exchange for or in lieu of any such mutilated, destroyed, lost or stolen Security, a new Security of like tenor, series, Stated Maturity and principal amount, bearing a number not contemporaneously outstanding.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Every new Security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the same series duly issued hereunder.</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 Unless otherwise provided with respect to such Security pursuant to Section 3.01,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59" w:lineRule="auto"/>
        <w:rPr>
          <w:sz w:val="20"/>
          <w:szCs w:val="20"/>
          <w:color w:val="auto"/>
        </w:rPr>
      </w:pPr>
      <w:r>
        <w:rPr>
          <w:rFonts w:ascii="Arial" w:cs="Arial" w:eastAsia="Arial" w:hAnsi="Arial"/>
          <w:sz w:val="18"/>
          <w:szCs w:val="18"/>
          <w:color w:val="auto"/>
        </w:rPr>
        <w:t>Any interest on any Security which is payable, but is not punctually paid or duly provided for, on any Interest Payment Date (herein called “Defaulted Interest”) shall forthwith cease to be payable to the registered Holder on the relevant Regular Record Date by virtue of his having been such Holder; and, except as hereinafter provided, such Defaulted Interest may be paid by the Company, at its election in each case, as provided in clause (a) or clause (b) below:</w:t>
      </w:r>
    </w:p>
    <w:p>
      <w:pPr>
        <w:spacing w:after="0" w:line="187" w:lineRule="exact"/>
        <w:rPr>
          <w:sz w:val="20"/>
          <w:szCs w:val="20"/>
          <w:color w:val="auto"/>
        </w:rPr>
      </w:pPr>
    </w:p>
    <w:p>
      <w:pPr>
        <w:jc w:val="both"/>
        <w:ind w:left="660" w:firstLine="644"/>
        <w:spacing w:after="0" w:line="268" w:lineRule="auto"/>
        <w:tabs>
          <w:tab w:leader="none" w:pos="156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any such Securities (or their respective Predecessor Securities) are registered at the close of business on a special record date for the payment of such Defaulted Interest, which shall be fixed in the following manner (the “Special Record Date”).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in trust for the benefit of the Persons entitled to such Defaulted Interest as in this clause (a) provided. Thereupon the Trustee shall fix a Special Record Date for the payment of such Defaulted Interest which shall be not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the Holder of each such Security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and shall no longer be payable pursuant to the following clause (b).</w:t>
      </w:r>
    </w:p>
    <w:p>
      <w:pPr>
        <w:spacing w:after="0" w:line="181" w:lineRule="exact"/>
        <w:rPr>
          <w:rFonts w:ascii="Arial" w:cs="Arial" w:eastAsia="Arial" w:hAnsi="Arial"/>
          <w:sz w:val="17"/>
          <w:szCs w:val="17"/>
          <w:color w:val="auto"/>
        </w:rPr>
      </w:pPr>
    </w:p>
    <w:p>
      <w:pPr>
        <w:jc w:val="both"/>
        <w:ind w:left="660" w:firstLine="644"/>
        <w:spacing w:after="0" w:line="259" w:lineRule="auto"/>
        <w:tabs>
          <w:tab w:leader="none" w:pos="1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(b), such manner of payment shall be deemed practicable by the Trustee.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installment of interest the Stated Maturity of which is on or prior to the Redemption Date for any Security called for redemption pursuant to Article XI is not paid or duly provided for on or prior to the Redemption Date in accordance with the foregoing provisions of this Section, such interest shall be payable as part of the Redemption Price of such Securities.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Company, the Trustee and any agent of the Company or the Trustee may treat the Person in whose name any Security is registered as the owner of such Security for the purpose of receiving payment of principal of (and premium, if any), and (subject to Section 3.07) interest on, such Security and for all other purposes whatsoever, whether or not such Security be overdue, and neither the Company, the Trustee nor any agent of the Company or the Trustee shall be affected by notice to the contrary.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Cancellation</w:t>
      </w:r>
      <w:r>
        <w:rPr>
          <w:rFonts w:ascii="Arial" w:cs="Arial" w:eastAsia="Arial" w:hAnsi="Arial"/>
          <w:sz w:val="18"/>
          <w:szCs w:val="18"/>
          <w:color w:val="auto"/>
        </w:rPr>
        <w:t>. All Securities surrendered for payment, redemption, registration of transfer, exchange or credit against a sinking fund shall, if surrendered to any Person other than the Trustee, be delivered to the Trustee and, if not already canceled,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Security shall be authenticated in lieu of or in exchange for any Securities canceled as provided in this Section, except as expressly permitted by this Indenture. The Trustee shall dispose of all canceled Securities in accordance with its standard procedures and deliver a certificate of such disposition to the Company upon its written request therefor.</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CUSIP and CINS Numbers</w:t>
      </w:r>
      <w:r>
        <w:rPr>
          <w:rFonts w:ascii="Arial" w:cs="Arial" w:eastAsia="Arial" w:hAnsi="Arial"/>
          <w:sz w:val="17"/>
          <w:szCs w:val="17"/>
          <w:color w:val="auto"/>
        </w:rPr>
        <w:t>. The Company in issuing any Securities may use “CUSIP” and “CINS” numbers (if then generally in use) and, if so, the Trustee shall use “CUSIP” and “CINS” numbers in notices of redemption as a convenience to Securityholders; provided that any such notice may state that no representation is made as to the correctness of such numbers either as printed on such Securities or as contained in any notice of a redemption and that reliance may be placed only on the other identification numbers printed on such Securities, and any such redemption shall not be affected by any defect in or omission of such numbers in such notices of redemption.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Unless otherwise provided as contemplated in Section 3.01, interest on the Securities shall be calculated on the basis of a 360-day year of twelve 30 day months.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Delayed Issuance of Securities</w:t>
      </w:r>
      <w:r>
        <w:rPr>
          <w:rFonts w:ascii="Arial" w:cs="Arial" w:eastAsia="Arial" w:hAnsi="Arial"/>
          <w:sz w:val="16"/>
          <w:szCs w:val="16"/>
          <w:color w:val="auto"/>
        </w:rPr>
        <w:t>. Notwithstanding any contrary provision herein, if all Securities of a series are not to be originally issued at one time, it shall not be necessary for the Company to deliver to the Trustee an Officers’ Certificate, Board Resolution, indenture supplemental hereto, Opinion of Counsel or Company Order otherwise required pursuant to Sections 1.02, 2.02, 3.01 and 3.03 at or prior to the time of authentication of each Security of such series if such documents are delivered to the Trustee or its agent at or prior to the authentication upon original issuance of the first Security of such series to be issued; provided that any subsequent request by the Company to the Trustee to authenticate Securities of such series upon original issuance shall constitute a representation and warranty by the Company that as of the date of such request, the statements made in the Officers’ Certificate or other certificates delivered pursuant to Sections 1.02 and 2.02 shall be true and correct as if made on such date.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Company Order, Officers’ Certificate or Board Resolution or indenture supplemental hereto delivered by the Company to the Trustee in the circumstances set forth in the preceding paragraph may provide that Securities which are the subject thereof will be authenticated and delivered by the Trustee or its agent on original issue from time to time in the aggregate principal amount, if any, established for such series pursuant to such procedures reasonably acceptable to the Trustee as may be specified from time to time by Company Order upon the telephonic, electronic or written order of Persons designated in such Company Order, Officers’ Certificate, indenture supplemental hereto or Board Resolution (any such telephonic or electronic instructions to be promptly confirmed in writing by such Persons) and that such Persons are authorized to determine, consistent with such Company Order, Officers’ Certificate, indenture supplemental hereto or Board Resolution, such terms and conditions of said Securities as are specified in such Company Order, Officers’ Certificate, indenture supplemental hereto or Board Resolution.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Unless pursuant to Section 3.01 provision is made that this Section shall not be applicable to the Securities of any series, this Indenture shall cease to be of further effect with respect to any series of Securities (except as to any surviving rights of registration of transfer or exchange of Securities of such series expressly provided for herein or in the form of Security for such series), and the Trustee, on receipt of a Company Request and at the expense of the Company, shall execute proper instruments acknowledging satisfaction and discharge of this Indenture as to such series, when:</w:t>
      </w:r>
    </w:p>
    <w:p>
      <w:pPr>
        <w:spacing w:after="0" w:line="188" w:lineRule="exact"/>
        <w:rPr>
          <w:sz w:val="20"/>
          <w:szCs w:val="20"/>
          <w:color w:val="auto"/>
        </w:rPr>
      </w:pPr>
    </w:p>
    <w:p>
      <w:pPr>
        <w:ind w:left="1540" w:hanging="236"/>
        <w:spacing w:after="0"/>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1300" w:firstLine="652"/>
        <w:spacing w:after="0" w:line="257" w:lineRule="auto"/>
        <w:tabs>
          <w:tab w:leader="none" w:pos="21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Securities of that series theretofore authenticated and delivered (other than (x) Securities of such series which have been destroyed, lost or stolen and which have been replaced or paid as provided in Section 3.06 and (y) Securities of such series for whose payment money in the Required Currency has theretofore been deposited in trust or segregated and held in trust by the Company and thereafter repaid to the Company or discharged from such trust, as provided in Section 10.03) have been delivered to the Trustee canceled or for cancellation; or</w:t>
      </w:r>
    </w:p>
    <w:p>
      <w:pPr>
        <w:spacing w:after="0" w:line="187" w:lineRule="exact"/>
        <w:rPr>
          <w:rFonts w:ascii="Arial" w:cs="Arial" w:eastAsia="Arial" w:hAnsi="Arial"/>
          <w:sz w:val="18"/>
          <w:szCs w:val="18"/>
          <w:color w:val="auto"/>
        </w:rPr>
      </w:pPr>
    </w:p>
    <w:p>
      <w:pPr>
        <w:ind w:left="2220" w:hanging="268"/>
        <w:spacing w:after="0"/>
        <w:tabs>
          <w:tab w:leader="none" w:pos="2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such Securities of that series not theretofore delivered to the Trustee canceled or for cancellation:</w:t>
      </w:r>
    </w:p>
    <w:p>
      <w:pPr>
        <w:spacing w:after="0" w:line="225" w:lineRule="exact"/>
        <w:rPr>
          <w:rFonts w:ascii="Arial" w:cs="Arial" w:eastAsia="Arial" w:hAnsi="Arial"/>
          <w:sz w:val="18"/>
          <w:szCs w:val="18"/>
          <w:color w:val="auto"/>
        </w:rPr>
      </w:pPr>
    </w:p>
    <w:p>
      <w:pPr>
        <w:ind w:left="2940" w:hanging="340"/>
        <w:spacing w:after="0"/>
        <w:tabs>
          <w:tab w:leader="none" w:pos="29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880" w:hanging="280"/>
        <w:spacing w:after="0"/>
        <w:tabs>
          <w:tab w:leader="none" w:pos="28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left="1960" w:firstLine="640"/>
        <w:spacing w:after="0" w:line="254" w:lineRule="auto"/>
        <w:tabs>
          <w:tab w:leader="none" w:pos="2906" w:val="left"/>
        </w:tabs>
        <w:numPr>
          <w:ilvl w:val="2"/>
          <w:numId w:val="51"/>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reasonably satisfactory to the Trustee for the giving of notice of redemption by the Trustee in the name, and at the expense, of the Company, and the Company, in the case of (i), (ii) or (iii) above, has irrevocably deposited or caused to be deposited with the Trustee as trust funds in trust for the purpose an amount in the Required Currency sufficient to pay and discharge the entire indebtedness on such Securities not theretofore delivered to the Trustee canceled or for cancellation, for principal (and premium, if any) and interest to the date of such deposit (in the case of Securities which have become due and payable), or to the Stated Maturity or Redemption Date, as the case may be;</w:t>
      </w:r>
    </w:p>
    <w:p>
      <w:pPr>
        <w:spacing w:after="0" w:line="194" w:lineRule="exact"/>
        <w:rPr>
          <w:rFonts w:ascii="Arial" w:cs="Arial" w:eastAsia="Arial" w:hAnsi="Arial"/>
          <w:sz w:val="18"/>
          <w:szCs w:val="18"/>
          <w:color w:val="auto"/>
        </w:rPr>
      </w:pPr>
    </w:p>
    <w:p>
      <w:pPr>
        <w:ind w:left="1560" w:hanging="256"/>
        <w:spacing w:after="0"/>
        <w:tabs>
          <w:tab w:leader="none" w:pos="1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hereunder by the Company with respect to the Securities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series; and</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15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Notwithstanding the satisfaction and discharge of this Indenture with respect to any series of Securities, the obligations of the Company to the Trustee with respect to that series under Section 6.07 shall survive and the obligations of the Company and the Trustee under Sections 3.05, 3.06, 4.02, 10.02 and 10.03 shall survive such satisfaction and discharge.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 Subject to the provisions of the last paragraph of Section 10.03, all money, property and securities deposited with the Trustee pursuant to Section 4.01 or Section 4.03 shall be held in trust and applied by it, in accordance with the provisions of the series of Securities in respect of which it was deposited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75" w:lineRule="auto"/>
        <w:rPr>
          <w:sz w:val="20"/>
          <w:szCs w:val="20"/>
          <w:color w:val="auto"/>
        </w:rPr>
      </w:pPr>
      <w:r>
        <w:rPr>
          <w:rFonts w:ascii="Arial" w:cs="Arial" w:eastAsia="Arial" w:hAnsi="Arial"/>
          <w:sz w:val="17"/>
          <w:szCs w:val="17"/>
          <w:color w:val="auto"/>
        </w:rPr>
        <w:t>Anything herein to the contrary notwithstanding, the Trustee shall deliver or pay to the Company from time to time upon Company Request any money, property or securities deposited with and held by it as provided in Section 4.03 and this Section 4.02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Discharge (as defined below) or covenant defeasance, provided that the Trustee shall not be required to liquidate any securities in order to comply with the provisions of this paragraph.</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Defeasance Upon Deposit of Funds or Government Obligations</w:t>
      </w:r>
      <w:r>
        <w:rPr>
          <w:rFonts w:ascii="Arial" w:cs="Arial" w:eastAsia="Arial" w:hAnsi="Arial"/>
          <w:sz w:val="17"/>
          <w:szCs w:val="17"/>
          <w:color w:val="auto"/>
        </w:rPr>
        <w:t>. Unless pursuant to Section 3.01 provision is made that this Section shall not be applicable to the Securities of any series, at the Company’s option, either (a) the Company and the Guarantors, if any, shall be deemed to have been Discharged (as defined below) from its obligations with respect to any series of Securities after the applicable conditions set forth below have been satisfied or (b) the Company shall cease to be under any obligation to comply with any term, provision or condition set forth in Section 10.05 and Article VIII (and any other Sections or covenants applicable to such Securities that are determined pursuant to Section 3.01 to be subject to this provision), the Guarantors, if any, shall be released from the Guarantees and clause (d) of Section 5.01 of this Indenture (and any other Events of Default applicable to such Securities that are determined pursuant to Section 3.01 to be subject to this provision) shall be deemed not to be an Event of Default with respect to any series of Securities at any time after the applicable conditions set forth below have been satisfied:</w:t>
      </w:r>
    </w:p>
    <w:p>
      <w:pPr>
        <w:spacing w:after="0" w:line="178" w:lineRule="exact"/>
        <w:rPr>
          <w:sz w:val="20"/>
          <w:szCs w:val="20"/>
          <w:color w:val="auto"/>
        </w:rPr>
      </w:pPr>
    </w:p>
    <w:p>
      <w:pPr>
        <w:jc w:val="both"/>
        <w:ind w:left="660" w:firstLine="644"/>
        <w:spacing w:after="0" w:line="287" w:lineRule="auto"/>
        <w:tabs>
          <w:tab w:leader="none" w:pos="157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irrevocably with the Trustee as trust funds, specifically pledged as security for, and dedicated solely to, the benefit of the Holders of the Securities of such series, (i) money in an amount, or (ii) the equivalent in securities of the government which issued the currency in which the Securities are denominated or government agencies backed by the full faith and credit of such government which through the payment of interest and principal in respect thereof in accordance with their terms will provide freely available funds on or prior to the due date of any payment, money in an amount, or (iii) a combination of (i) and (ii), sufficient, in the opinion (with respect to (ii) and (iii)) of a nationally recognized firm of independent public accountants expressed in a written certification thereof delivered to the Trustee, to pay and discharge each installment of principal (including mandatory sinking fund payments) and any premium of, interest on and any repurchase or redemption obligations with respect to the outstanding Securities of such series on the dates such installments of interest or principal or repurchase or redemption obligations are due (before such a deposit, if the Securities of such series are then redeemable or may be redeemed in the future pursuant to the terms thereof, in either case at the option of the Company, the Company may give to the Trustee, in accordance with Section 11.02, a notice of its election to redeem all of the Securities of such series at a future date in accordance with Article XI);</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left="660" w:firstLine="644"/>
        <w:spacing w:after="0" w:line="263" w:lineRule="auto"/>
        <w:tabs>
          <w:tab w:leader="none" w:pos="15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Event of Default or event (including such deposit) which with notice or lapse of time would become an Event of Default with respect to the Securities of such series shall have occurred and be continuing on the date of such deposit (other than an Event of Default resulting from the borrowing of funds to be applied to such deposit);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55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Opinion of Counsel to the effect that Holders of the Securities of such series will not recognize income, gain or loss for Federal income tax purposes as a result of the Company’s exercise of its option under this Section 4.03 and will be subject to Federal income tax on the same amount and in the same manner and at the same times as would have been the case if such option had not been exercised, and, in the case of Securities being Discharged, accompanied by a ruling to that effect from the Internal Revenue Service, unless, as set forth in such Opinion of Counsel, there has been a change in the applicable Federal income tax law since the date of this Indenture such that a ruling from the Internal Revenue Service is no longer required;</w:t>
      </w:r>
    </w:p>
    <w:p>
      <w:pPr>
        <w:spacing w:after="0" w:line="177" w:lineRule="exact"/>
        <w:rPr>
          <w:rFonts w:ascii="Arial" w:cs="Arial" w:eastAsia="Arial" w:hAnsi="Arial"/>
          <w:sz w:val="17"/>
          <w:szCs w:val="17"/>
          <w:color w:val="auto"/>
        </w:rPr>
      </w:pPr>
    </w:p>
    <w:p>
      <w:pPr>
        <w:jc w:val="both"/>
        <w:ind w:left="660" w:firstLine="644"/>
        <w:spacing w:after="0" w:line="263" w:lineRule="auto"/>
        <w:tabs>
          <w:tab w:leader="none" w:pos="15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referred to in paragraph (a) above was not made by the Company with the intent of preferring the Holders over other creditors of the Company or with the intent of defeating, hindering, delaying or defrauding creditors of the Company or others; and</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Company, at its option, with respect to a series of Securities, satisfies the applicable conditions pursuant to either clause (a) or (b) of the first sentence of this Section, then (A), in the event the Company satisfies the conditions to clause (a) and elects clause (a) to be applicable, each of the Guarantors, if any, shall be deemed to have paid and discharged the entire indebtedness represented by, and obligations under, its respective guarantee of the Securities of such series and to have satisfied all the obligations under this Indenture relating to the Securities of such series and (B) in either case, each of the Guarantors, if any, shall cease to be under any obligation to comply with any term, provision or condition set forth in any covenants applicable to such Securities that are determined pursuant to Section 3.01 to be subject to this provision), and any Events of Default applicable to such series of Securities that are determined pursuant to Section 3.01 to be subject to this provision shall be deemed not to be an Event of Default with respect to such series of Securities at any time thereafter.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69" w:lineRule="auto"/>
        <w:rPr>
          <w:sz w:val="20"/>
          <w:szCs w:val="20"/>
          <w:color w:val="auto"/>
        </w:rPr>
      </w:pPr>
      <w:r>
        <w:rPr>
          <w:rFonts w:ascii="Arial" w:cs="Arial" w:eastAsia="Arial" w:hAnsi="Arial"/>
          <w:sz w:val="17"/>
          <w:szCs w:val="17"/>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on receipt of a Company Request and at the expense of the Company, shall execute proper instruments acknowledging the same), except (A) the rights of Holders of Securities to receive, from the trust fund described in clause (a) above, payment of the principal and any premium of and any interest on such Securities when such payments are due; (B) the Company’s obligations with respect to such Securities under Sections 3.05, 3.06, 4.02, 6.07, 10.02 and 10.03; (C) the Company’s right of redemption, if any, with respect to any Securities of such series pursuant to Article XI, in which case the Company may redeem the Securities of such series in accordance with Article XI by complying with such Article and depositing with the Trustee, in accordance with Section 11.05, an amount of money sufficient, together with all amounts held in trust pursuant to Section 4.02 with respect to Securities of such series, to pay the Redemption Price of all the Securities of such series to be redeemed; and (D) the rights, powers, trusts, duties and immunities of the Trustee hereunder. A “Discharge” shall mean the meeting by the Company of the foregoing requirements.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Reinstatement</w:t>
      </w:r>
      <w:r>
        <w:rPr>
          <w:rFonts w:ascii="Arial" w:cs="Arial" w:eastAsia="Arial" w:hAnsi="Arial"/>
          <w:sz w:val="18"/>
          <w:szCs w:val="18"/>
          <w:color w:val="auto"/>
        </w:rPr>
        <w:t>. If the Trustee or Paying Agent is unable to apply any money, property or securities in accordance with Section 4.02 of this Indenture, by reason of any legal proceeding or by reason of any order or judgment of any court or governmental authority enjoining, restraining or otherwise prohibiting such application, the Company’s and, if applicable, the Guarantors’ obligations under this Indenture and the Securities shall be revived and reinstated as though no deposit had occurred pursuant to Section 4.01 or 4.03 of this Indenture, as the case may be, until such time as the Trustee or Paying Agent is permitted to apply all such money, property or securities in accordance with Section 4.02 of this Indenture; provided that, if the Company has made any payment of principal of or interest on any Securities because of the reinstatement of its obligations, the Company shall be subrogated to the rights of the Holders of such Securities to receive such payment from the money, property or securities held by the Trustee or Paying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51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“Event of Default”, wherever used herein, means with respect to any series of Securities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either inapplicable to a particular series or it is specifically deleted or modified in or pursuant to the indenture supplemental hereto or Board Resolution creating such series of Securities or in the form of Security for such series:</w:t>
      </w:r>
    </w:p>
    <w:p>
      <w:pPr>
        <w:spacing w:after="0" w:line="188" w:lineRule="exact"/>
        <w:rPr>
          <w:sz w:val="20"/>
          <w:szCs w:val="20"/>
          <w:color w:val="auto"/>
        </w:rPr>
      </w:pPr>
    </w:p>
    <w:p>
      <w:pPr>
        <w:ind w:left="660" w:firstLine="644"/>
        <w:spacing w:after="0" w:line="277" w:lineRule="auto"/>
        <w:tabs>
          <w:tab w:leader="none" w:pos="15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or</w:t>
      </w:r>
    </w:p>
    <w:p>
      <w:pPr>
        <w:spacing w:after="0" w:line="225" w:lineRule="exact"/>
        <w:rPr>
          <w:rFonts w:ascii="Arial" w:cs="Arial" w:eastAsia="Arial" w:hAnsi="Arial"/>
          <w:sz w:val="18"/>
          <w:szCs w:val="18"/>
          <w:color w:val="auto"/>
        </w:rPr>
      </w:pPr>
    </w:p>
    <w:p>
      <w:pPr>
        <w:ind w:left="660" w:firstLine="644"/>
        <w:spacing w:after="0" w:line="277" w:lineRule="auto"/>
        <w:tabs>
          <w:tab w:leader="none" w:pos="15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any sinking or purchase fund or analogous obligation when the same becomes due by the terms of the Securities of such series; or</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15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this Indenture in respect of the Securities of such series (other than a covenant or warranty in respect of the Securities of such series a default in the performance of which or the breach of which is elsewhere in this Section specifically dealt with), all of such covenants and warranties in the Indenture which are not expressly stated to be for the benefit of a particular series of Securities being deemed in respect of the Securities of all series for this purpose, and continuance of such default or breach for a period of 90 days after there has been given, by registered or certified mail, to the Company by the Trustee or to the Company and the Trustee by the Holders of at least 3 3-1/3% in aggregate principal amount of the Outstanding Securities of such series, a written notice specifying such default or breach and requiring it to be remedied and stating that such notice is a “Notice of Default” hereunder; or</w:t>
      </w:r>
    </w:p>
    <w:p>
      <w:pPr>
        <w:spacing w:after="0" w:line="166" w:lineRule="exact"/>
        <w:rPr>
          <w:rFonts w:ascii="Arial" w:cs="Arial" w:eastAsia="Arial" w:hAnsi="Arial"/>
          <w:sz w:val="16"/>
          <w:szCs w:val="16"/>
          <w:color w:val="auto"/>
        </w:rPr>
      </w:pPr>
    </w:p>
    <w:p>
      <w:pPr>
        <w:jc w:val="both"/>
        <w:ind w:left="660" w:firstLine="644"/>
        <w:spacing w:after="0" w:line="290" w:lineRule="auto"/>
        <w:tabs>
          <w:tab w:leader="none" w:pos="15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entry of an order for relief against the Company or any Significant Subsidiary thereof under Title 11, United States Code (the “Federal Bankruptcy Act”) or any analogous law of Canada by a court having jurisdiction in the premises or a decree or order by a court having jurisdiction in the premises adjudging the Company or any Significant Subsidiary thereof a bankrupt or insolvent under any other applicable federal, state or provincial law, or the entry of a decree or order approving as properly filed a petition seeking reorganization, arrangement, adjustment or composition of or in respect of the Company or any Significant Subsidiary thereof under the Federal Bankruptcy Act or any analogous law of Canada or any other applicable federal, state or provincial law, or appointing a receiver, liquidator, assignee, trustee, sequestrator (or other similar official) of the Company or any Significant Subsidiary thereof or of any substantial part of its property, or ordering the winding up or liquidation of its affairs, and the continuance of any such decree or order unstayed and in effect for a period of 90 consecutive days;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left="660" w:firstLine="644"/>
        <w:spacing w:after="0" w:line="293" w:lineRule="auto"/>
        <w:tabs>
          <w:tab w:leader="none" w:pos="15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consent by the Company or any Significant Subsidiary thereof to the institution of bankruptcy or insolvency proceedings against it, or the filing by it of a petition or answer or consent seeking reorganization or relief under the Federal Bankruptcy Act or any other applicable Federal or State law, or the consent by it to the filing of any such petition or to the appointment of a receiver, liquidator, assignee, trustee, sequestrator (or other similar official) of the Company or any Significant Subsidiary thereof or of any substantial part of its property, or the making by it of an assignment for the benefit of creditors, or the admission by it in writing of its inability to pay its debts generally as they become due, or the taking of corporate action by the Company or any Significant Subsidiary thereof in furtherance of any such action; or</w:t>
      </w:r>
    </w:p>
    <w:p>
      <w:pPr>
        <w:spacing w:after="0" w:line="164" w:lineRule="exact"/>
        <w:rPr>
          <w:rFonts w:ascii="Arial" w:cs="Arial" w:eastAsia="Arial" w:hAnsi="Arial"/>
          <w:sz w:val="16"/>
          <w:szCs w:val="16"/>
          <w:color w:val="auto"/>
        </w:rPr>
      </w:pPr>
    </w:p>
    <w:p>
      <w:pPr>
        <w:ind w:left="660" w:firstLine="644"/>
        <w:spacing w:after="0" w:line="277" w:lineRule="auto"/>
        <w:tabs>
          <w:tab w:leader="none" w:pos="15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provided in the indenture supplemental hereto or Board Resolution under which such series of Securities is issued or in the form of Security for such series.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Acceleration of Maturity; Rescission and Annulment</w:t>
      </w:r>
      <w:r>
        <w:rPr>
          <w:rFonts w:ascii="Arial" w:cs="Arial" w:eastAsia="Arial" w:hAnsi="Arial"/>
          <w:sz w:val="17"/>
          <w:szCs w:val="17"/>
          <w:color w:val="auto"/>
        </w:rPr>
        <w:t>. If an Event of Default described in paragraph (a), (b), (c), (d) or (g) (if the Event of Default under clause (d) or (g) is with respect to less than all series of Securities then Outstanding) of Section 5.01 occurs and is continuing with respect to any series, then and in each and every such case, unless the principal of all the Securities of such series shall have already become due and payable, either the Trustee or the Holders of not less than 33-1/3% in aggregate principal amount of the Securities of such series then Outstanding hereunder (each such series acting as a separate class), by notice in writing to the Company (and to the Trustee if given by Holders), may declare the principal amount (or, if the Securities of such series are Original Issue Discount Securities, such portion of the principal amount as may be specified in the terms of that series) of all the Securities of such series and all accrued interest thereon to be due and payable immediately, and upon any such declaration the same shall become and shall be immediately due and payable, anything in this Indenture or in the Securities of such series contained to the contrary notwithstanding. If an Event of Default described in clause (d) or (g) (if the Event of Default under clause (d) or (g) is with respect to all series of Securities then Outstanding), of Section 5.01 occurs and is continuing, then and in each and every such case, unless the principal of all the Securities shall have already become due and payable, either the Trustee or the Holders of not less than 3 3-1/3% in aggregate principal amount of all the Securities then Outstanding hereunder (treated as one class), by notice in writing to the Company (and to the Trustee if given by Holders), may declare the principal amount (or, if any Securities are Original Issue Discount Securities, such portion of the principal amount as may be specified in the terms thereof) of all the Securities then Outstanding and all accrued interest thereon to be due and payable immediately, and upon any such declaration the same shall become and shall be immediately due and payable, anything in this Indenture or in the Securities contained to the contrary notwithstanding. If an Event of Default of the type set forth in clause (e) or (f) of Section 5.01 occurs and is continuing, the principal of and any interest on the Securities then Outstanding shall become immediately due and payable.</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after such a declaration of acceleration has been made with respect to the Securities of any or all series, as the case may be, and before a judgment or decree for payment of the money due has been obtained by the Trustee as hereinafter in this Article provided, the Holders of a majority in principal amount of the Outstanding Securities of such series, by written notice to the Company and the Trustee, may rescind and annul such declaration and its consequences if:</w:t>
      </w:r>
    </w:p>
    <w:p>
      <w:pPr>
        <w:spacing w:after="0" w:line="187" w:lineRule="exact"/>
        <w:rPr>
          <w:sz w:val="20"/>
          <w:szCs w:val="20"/>
          <w:color w:val="auto"/>
        </w:rPr>
      </w:pPr>
    </w:p>
    <w:p>
      <w:pPr>
        <w:ind w:left="1540" w:hanging="236"/>
        <w:spacing w:after="0"/>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overdue installments of interest on the Securities of such series;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640" w:firstLine="652"/>
        <w:spacing w:after="0" w:line="263" w:lineRule="auto"/>
        <w:tabs>
          <w:tab w:leader="none" w:pos="156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which have become due otherwise than by such declaration of acceleration, and interest thereon at the rate or rates prescribed therefor by the terms of the Securities of such series, to the extent that payment of such interest is lawful; and</w:t>
      </w:r>
    </w:p>
    <w:p>
      <w:pPr>
        <w:spacing w:after="0" w:line="183" w:lineRule="exact"/>
        <w:rPr>
          <w:rFonts w:ascii="Arial" w:cs="Arial" w:eastAsia="Arial" w:hAnsi="Arial"/>
          <w:sz w:val="18"/>
          <w:szCs w:val="18"/>
          <w:color w:val="auto"/>
        </w:rPr>
      </w:pPr>
    </w:p>
    <w:p>
      <w:pPr>
        <w:ind w:left="640" w:right="20" w:firstLine="652"/>
        <w:spacing w:after="0" w:line="277" w:lineRule="auto"/>
        <w:tabs>
          <w:tab w:leader="none" w:pos="16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upon overdue installments of interest at the rate or rates prescribed therefor by the terms of the Securities of such series to the extent that payment of such interest is lawful; and</w:t>
      </w:r>
    </w:p>
    <w:p>
      <w:pPr>
        <w:spacing w:after="0" w:line="170" w:lineRule="exact"/>
        <w:rPr>
          <w:rFonts w:ascii="Arial" w:cs="Arial" w:eastAsia="Arial" w:hAnsi="Arial"/>
          <w:sz w:val="18"/>
          <w:szCs w:val="18"/>
          <w:color w:val="auto"/>
        </w:rPr>
      </w:pPr>
    </w:p>
    <w:p>
      <w:pPr>
        <w:ind w:left="640" w:firstLine="652"/>
        <w:spacing w:after="0" w:line="308" w:lineRule="auto"/>
        <w:tabs>
          <w:tab w:leader="none" w:pos="1777"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sums paid or advanced by the Trustee hereunder and the reasonable compensation, expenses, disbursements and advances of the Trustee, its agents and counsel and all other amounts due the Trustee under Section 6.07; and</w:t>
      </w:r>
    </w:p>
    <w:p>
      <w:pPr>
        <w:spacing w:after="0" w:line="146" w:lineRule="exact"/>
        <w:rPr>
          <w:rFonts w:ascii="Arial" w:cs="Arial" w:eastAsia="Arial" w:hAnsi="Arial"/>
          <w:sz w:val="17"/>
          <w:szCs w:val="17"/>
          <w:color w:val="auto"/>
        </w:rPr>
      </w:pPr>
    </w:p>
    <w:p>
      <w:pPr>
        <w:ind w:left="640" w:firstLine="652"/>
        <w:spacing w:after="0" w:line="342" w:lineRule="auto"/>
        <w:tabs>
          <w:tab w:leader="none" w:pos="15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Events of Default with respect to such series of Securities, other than the nonpayment of the principal of the Securities of such series which have become due solely by such acceleration, have been cured or waived as provided in Section 5.13.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left="900" w:hanging="256"/>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default is made in the payment of any installment of interest on any Security of any series when such interest becomes due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payable; or</w:t>
      </w:r>
    </w:p>
    <w:p>
      <w:pPr>
        <w:spacing w:after="0" w:line="210" w:lineRule="exact"/>
        <w:rPr>
          <w:rFonts w:ascii="Arial" w:cs="Arial" w:eastAsia="Arial" w:hAnsi="Arial"/>
          <w:sz w:val="17"/>
          <w:szCs w:val="17"/>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or</w:t>
      </w:r>
    </w:p>
    <w:p>
      <w:pPr>
        <w:spacing w:after="0" w:line="225" w:lineRule="exact"/>
        <w:rPr>
          <w:rFonts w:ascii="Arial" w:cs="Arial" w:eastAsia="Arial" w:hAnsi="Arial"/>
          <w:sz w:val="18"/>
          <w:szCs w:val="18"/>
          <w:color w:val="auto"/>
        </w:rPr>
      </w:pPr>
    </w:p>
    <w:p>
      <w:pPr>
        <w:jc w:val="both"/>
        <w:ind w:firstLine="644"/>
        <w:spacing w:after="0" w:line="289" w:lineRule="auto"/>
        <w:tabs>
          <w:tab w:leader="none" w:pos="892"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default is made in the payment of any sinking or purchase fund or analogous obligation when the same becomes due by the terms of the Securities of any series; and any such default continues for any period of grace provided with respect to the Securities of such series, the Company will, upon demand of the Trustee, pay to it, for the benefit of the Holder of any such Security (or the Holders of any such series in the case of clause (b) above), the whole amount then due and payable on any such Security (or on the Securities of any such series in the case of clause (b) above) for principal (and premium, if any) and interest, with interest, to the extent that payment of such interest shall be legally enforceable, upon the overdue principal (and premium, if any) and upon overdue installments of interest, at such rate or rates as may be prescribed therefor by the terms of any such Security (or of Securities of any such series in the case of clause (b) above); and, in addition thereto, such further amount as shall be sufficient to cover the costs and expenses of collection, including the reasonable compensation, expenses, disbursements and advances of the Trustee, its agents and counsel and all other amounts due the Trustee under Section 6.07.</w:t>
      </w:r>
    </w:p>
    <w:p>
      <w:pPr>
        <w:spacing w:after="0" w:line="38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2" w:name="page93"/>
    <w:bookmarkEnd w:id="92"/>
    <w:p>
      <w:pPr>
        <w:jc w:val="both"/>
        <w:ind w:firstLine="648"/>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of such series and collect the money adjudged or decreed to be payable in the manner provided by law out of the property of the Company or any other obligor upon such Securities, wherever situated.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any series of Securities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proceedings or otherwise:</w:t>
      </w:r>
    </w:p>
    <w:p>
      <w:pPr>
        <w:spacing w:after="0" w:line="176" w:lineRule="exact"/>
        <w:rPr>
          <w:sz w:val="20"/>
          <w:szCs w:val="20"/>
          <w:color w:val="auto"/>
        </w:rPr>
      </w:pPr>
    </w:p>
    <w:p>
      <w:pPr>
        <w:jc w:val="both"/>
        <w:ind w:left="660" w:firstLine="644"/>
        <w:spacing w:after="0" w:line="257" w:lineRule="auto"/>
        <w:tabs>
          <w:tab w:leader="none" w:pos="15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(or portion thereof determined pursuant to Section 3.01(16) to be provable in bankruptcy) (and premium, if any) and interest owing and unpaid in respect of the Securities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Section 6.07) and of the Securityholders allowed in such judicial proceeding; and</w:t>
      </w:r>
    </w:p>
    <w:p>
      <w:pPr>
        <w:spacing w:after="0" w:line="187" w:lineRule="exact"/>
        <w:rPr>
          <w:rFonts w:ascii="Arial" w:cs="Arial" w:eastAsia="Arial" w:hAnsi="Arial"/>
          <w:sz w:val="18"/>
          <w:szCs w:val="18"/>
          <w:color w:val="auto"/>
        </w:rPr>
      </w:pPr>
    </w:p>
    <w:p>
      <w:pPr>
        <w:jc w:val="both"/>
        <w:ind w:left="660" w:firstLine="644"/>
        <w:spacing w:after="0" w:line="275" w:lineRule="auto"/>
        <w:tabs>
          <w:tab w:leader="none" w:pos="157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 and any receiver, assignee, trustee, liquidator, sequestrator (or other similar official) in any such judicial proceeding is hereby authorized by each Securityholder to make such payment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6.07.</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or the rights of any Holder thereof, or to authorize the Trustee to vote in respect of the claim of any Securityholder in any such proceeding.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 All rights of action and claims under this Indenture or the Securities of any series may be prosecuted and enforced by the Trustee without the possession of any of the Securities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 and counsel and any other amounts due the Trustee under Section 6.07, be for the ratable benefit of the Holders of the Securities of the series in respect of which such judgment has been recovered.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with respect to a series of Securities pursuant to this Article shall be applied in the following order, at the date or dates fixed by the Trustee and, in case of the distribution of such money on account of principal (or premium, if any) or interest, upon presentation of the Securities of such series and the notation thereon of the payment if only partially paid and upon surrender thereof if fully paid: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SECOND: To the payment of the amounts then due and unpaid upon the Securities of that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such Holder has previously given written notice to the Trustee of a continuing Event of Default with respect to Securities of such</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firstLine="644"/>
        <w:spacing w:after="0" w:line="277" w:lineRule="auto"/>
        <w:tabs>
          <w:tab w:leader="none" w:pos="15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not less than 3 3-1/3% in principal amount of the outstanding Securities of such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4"/>
        <w:spacing w:after="0" w:line="277" w:lineRule="auto"/>
        <w:tabs>
          <w:tab w:leader="none" w:pos="15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it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left="660" w:firstLine="644"/>
        <w:spacing w:after="0" w:line="255" w:lineRule="auto"/>
        <w:tabs>
          <w:tab w:leader="none" w:pos="15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 day period by the Holders of a majority in principal amount of the Outstanding Securities of such series; it being understood and intended that no one or more Holders of Securities of such series shall have any right in any manner whatever by virtue of, or by availing of, any provision of this Indenture to affect, disturb or prejudice the rights of any other Holders of Securities of such series, or to obtain or to seek to obtain priority or preference over any other such Holders or to enforce any right under this Indenture, except in the manner herein provided and for the equal and proportionate benefit of all the Holders of all Securities of such series.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Securityholders to Receive Principal, Premium and Interest</w:t>
      </w:r>
      <w:r>
        <w:rPr>
          <w:rFonts w:ascii="Arial" w:cs="Arial" w:eastAsia="Arial" w:hAnsi="Arial"/>
          <w:sz w:val="18"/>
          <w:szCs w:val="18"/>
          <w:color w:val="auto"/>
        </w:rPr>
        <w:t>. Notwithstanding any other provisions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or repayment, on the Redemption Date or Repayment Date, as the case may be) and to institute suit for the enforcement of any such payment, and such right shall not be impaired without the consent of such Holder.</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 If the Trustee or any Securityholder has instituted any proceeding to enforce any right or remedy under this Indenture and such proceeding has been discontinued or abandoned for any reason, then and in every such case the Company, the Trustee and the Securityholders shall, subject to any determination in such proceeding, be restored severally and respectively to their former positions hereunder, and thereafter all rights and remedies of the Trustee and the Securityholders shall continue as though no such proceeding had been instituted.</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Securityholders may be exercised from time to time, and as often as may be deemed expedient, by the Trustee or by the Securityholders,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6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jc w:val="both"/>
        <w:ind w:left="660" w:firstLine="644"/>
        <w:spacing w:after="0" w:line="259" w:lineRule="auto"/>
        <w:tabs>
          <w:tab w:leader="none" w:pos="15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waive any past default hereunder with respect to such series and its consequences, except a default not theretofore cured:</w:t>
      </w:r>
    </w:p>
    <w:p>
      <w:pPr>
        <w:spacing w:after="0" w:line="184" w:lineRule="exact"/>
        <w:rPr>
          <w:sz w:val="20"/>
          <w:szCs w:val="20"/>
          <w:color w:val="auto"/>
        </w:rPr>
      </w:pPr>
    </w:p>
    <w:p>
      <w:pPr>
        <w:ind w:left="660" w:firstLine="644"/>
        <w:spacing w:after="0" w:line="277" w:lineRule="auto"/>
        <w:tabs>
          <w:tab w:leader="none" w:pos="15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any Security of such series, or in the payment of any sinking or purchase fund or analogous obligation with respect to the Securities of such series,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IX cannot be modified or amended without the consent of the Holder of each Outstanding Security of such series.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in the aggregate more than 10% in principal amount of the Outstanding Securities of any series to which the suit relates, or to any suit instituted by any Securityholder for the enforcement of the payment of the principal of (or premium, if any) or interest on an Security on or after the respective Stated Maturities expressed in such Security (or, in the case of redemption or repayment, on or after the Redemption Date or Repayment Date, as the case may be).</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Waiver of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Certain Duties and Responsibilities</w:t>
      </w:r>
      <w:r>
        <w:rPr>
          <w:rFonts w:ascii="Arial" w:cs="Arial" w:eastAsia="Arial" w:hAnsi="Arial"/>
          <w:sz w:val="17"/>
          <w:szCs w:val="17"/>
          <w:color w:val="auto"/>
        </w:rPr>
        <w:t>(a). (a) Except during the continuance of an Event of Default with respect to any series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1300" w:firstLine="652"/>
        <w:spacing w:after="0" w:line="342" w:lineRule="auto"/>
        <w:tabs>
          <w:tab w:leader="none" w:pos="2163"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Trustee undertakes to perform such duties and only such duties as are specifically set forth in this Indenture with respect to the Securities of such series, and no implied covenants or obligations shall be read into this Indenture against the Trustee; and</w:t>
      </w:r>
    </w:p>
    <w:p>
      <w:pPr>
        <w:spacing w:after="0" w:line="123" w:lineRule="exact"/>
        <w:rPr>
          <w:rFonts w:ascii="Arial" w:cs="Arial" w:eastAsia="Arial" w:hAnsi="Arial"/>
          <w:sz w:val="16"/>
          <w:szCs w:val="16"/>
          <w:color w:val="auto"/>
        </w:rPr>
      </w:pPr>
    </w:p>
    <w:p>
      <w:pPr>
        <w:jc w:val="both"/>
        <w:ind w:left="1300" w:firstLine="652"/>
        <w:spacing w:after="0" w:line="255" w:lineRule="auto"/>
        <w:tabs>
          <w:tab w:leader="none" w:pos="2213"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case an Event of Default with respect to any series of Securities has occurred and is continuing, the Trustee shall exercise with respect to the Securities of such series such of the rights and powers vested in it by this Indenture and any indenture supplemental hereto or Board Resolution relating to such series of Securities, and use the same degree of care and skill in their exercise, as a prudent man would exercise or use under the circumstances in the conduct of his own affairs.</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5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2160" w:hanging="208"/>
        <w:spacing w:after="0"/>
        <w:tabs>
          <w:tab w:leader="none" w:pos="2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25" w:lineRule="exact"/>
        <w:rPr>
          <w:rFonts w:ascii="Arial" w:cs="Arial" w:eastAsia="Arial" w:hAnsi="Arial"/>
          <w:sz w:val="18"/>
          <w:szCs w:val="18"/>
          <w:color w:val="auto"/>
        </w:rPr>
      </w:pPr>
    </w:p>
    <w:p>
      <w:pPr>
        <w:ind w:left="1300" w:firstLine="652"/>
        <w:spacing w:after="0" w:line="277" w:lineRule="auto"/>
        <w:tabs>
          <w:tab w:leader="none" w:pos="22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26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left="1300" w:firstLine="652"/>
        <w:spacing w:after="0" w:line="311" w:lineRule="auto"/>
        <w:tabs>
          <w:tab w:leader="none" w:pos="2266"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48" w:lineRule="exact"/>
        <w:rPr>
          <w:rFonts w:ascii="Arial" w:cs="Arial" w:eastAsia="Arial" w:hAnsi="Arial"/>
          <w:sz w:val="16"/>
          <w:szCs w:val="16"/>
          <w:color w:val="auto"/>
        </w:rPr>
      </w:pPr>
    </w:p>
    <w:p>
      <w:pPr>
        <w:ind w:left="660" w:firstLine="644"/>
        <w:spacing w:after="0" w:line="277" w:lineRule="auto"/>
        <w:tabs>
          <w:tab w:leader="none" w:pos="15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3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Notice of Defaults</w:t>
      </w:r>
      <w:r>
        <w:rPr>
          <w:rFonts w:ascii="Arial" w:cs="Arial" w:eastAsia="Arial" w:hAnsi="Arial"/>
          <w:sz w:val="17"/>
          <w:szCs w:val="17"/>
          <w:color w:val="auto"/>
        </w:rPr>
        <w:t>. Within 90 days after the occurrence of any default hereunder with respect to Securities of any series, the Trustee shall transmit by mail to all Securityholders of such series, as their names and addresses appear in the Security Register, notice of all defaults hereunder known to the Trustee, unless such default shall have been cured or waived; provided, however, that, except in the case of a default in the payment of the principal of (or premium, if any) or interest on any Security of such series or in the payment of any sinking or purchase fund installment or analogous obligation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Securityholders of such series; and provided, further, that in the case of any default of the character specified in Section 5.0 1(4) with respect to Securities of such series no such notice to Securityholders of such series shall be given until at least 90 days after the occurrence thereof. For the purpose of this Section, the term “default”, with respect to Securities of any series, means any event which is, or after notice or lapse of time or both would become, an Event of Default with respect to Securities of such series.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Except as otherwise provided in Section 6.01:</w:t>
      </w:r>
    </w:p>
    <w:p>
      <w:pPr>
        <w:spacing w:after="0" w:line="225" w:lineRule="exact"/>
        <w:rPr>
          <w:sz w:val="20"/>
          <w:szCs w:val="20"/>
          <w:color w:val="auto"/>
        </w:rPr>
      </w:pPr>
    </w:p>
    <w:p>
      <w:pPr>
        <w:jc w:val="both"/>
        <w:ind w:left="660" w:right="20" w:firstLine="644"/>
        <w:spacing w:after="0" w:line="263" w:lineRule="auto"/>
        <w:tabs>
          <w:tab w:leader="none" w:pos="156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660" w:firstLine="644"/>
        <w:spacing w:after="0" w:line="308" w:lineRule="auto"/>
        <w:tabs>
          <w:tab w:leader="none" w:pos="157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left="660" w:firstLine="644"/>
        <w:spacing w:after="0" w:line="311" w:lineRule="auto"/>
        <w:tabs>
          <w:tab w:leader="none" w:pos="15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Securityholders pursuant to this Indenture, unless such Securityholders shall have offered to the Trustee security or indemnity reasonably satisfactory to it against the costs, expenses and liabilities which might be incurred by it in compliance with such request or direction;</w:t>
      </w:r>
    </w:p>
    <w:p>
      <w:pPr>
        <w:spacing w:after="0" w:line="148" w:lineRule="exact"/>
        <w:rPr>
          <w:rFonts w:ascii="Arial" w:cs="Arial" w:eastAsia="Arial" w:hAnsi="Arial"/>
          <w:sz w:val="16"/>
          <w:szCs w:val="16"/>
          <w:color w:val="auto"/>
        </w:rPr>
      </w:pPr>
    </w:p>
    <w:p>
      <w:pPr>
        <w:jc w:val="both"/>
        <w:ind w:left="660" w:firstLine="644"/>
        <w:spacing w:after="0" w:line="301" w:lineRule="auto"/>
        <w:tabs>
          <w:tab w:leader="none" w:pos="16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57" w:lineRule="exact"/>
        <w:rPr>
          <w:rFonts w:ascii="Arial" w:cs="Arial" w:eastAsia="Arial" w:hAnsi="Arial"/>
          <w:sz w:val="16"/>
          <w:szCs w:val="16"/>
          <w:color w:val="auto"/>
        </w:rPr>
      </w:pPr>
    </w:p>
    <w:p>
      <w:pPr>
        <w:jc w:val="both"/>
        <w:ind w:left="660" w:firstLine="644"/>
        <w:spacing w:after="0" w:line="263"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default (as defined in Section 6.02) or Event of Default with respect to the Securities of any series for which it is acting as Trustee unless either (1) a Responsible Officer of the Trustee assigned to the Corporate Trust Department of the Trustee (or any successor division or department of the Trustee) shall have actual knowledge of such default or Event of Default or (2) written notice of such default or Event of Default shall have been given to the Trustee by the Company or any other obligor on such Securities or by any Holder of such Securities;</w:t>
      </w:r>
    </w:p>
    <w:p>
      <w:pPr>
        <w:spacing w:after="0" w:line="187" w:lineRule="exact"/>
        <w:rPr>
          <w:rFonts w:ascii="Arial" w:cs="Arial" w:eastAsia="Arial" w:hAnsi="Arial"/>
          <w:sz w:val="18"/>
          <w:szCs w:val="18"/>
          <w:color w:val="auto"/>
        </w:rPr>
      </w:pPr>
    </w:p>
    <w:p>
      <w:pPr>
        <w:ind w:left="660" w:right="20" w:firstLine="644"/>
        <w:spacing w:after="0" w:line="277" w:lineRule="auto"/>
        <w:tabs>
          <w:tab w:leader="none" w:pos="15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this Indenture;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Authenticating Agent, any Paying Agent, the Security Registrar or any other agent of the Company, in its individual or any other capacity, may become the owner or pledgee of Securities and, subject to Sections 6.08 and 6.13, may otherwise deal with the Company or any Guarantor, if applicable, with the same rights it would have if it were not Trustee, Authenticating Agent, Paying Agent, Security Registrar or such other agent.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Subject to the provisions of Section 10.03 hereof, all moneys in any currency or currency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 received by it hereunder except as otherwise agreed in writing with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225" w:lineRule="exact"/>
        <w:rPr>
          <w:sz w:val="20"/>
          <w:szCs w:val="20"/>
          <w:color w:val="auto"/>
        </w:rPr>
      </w:pPr>
    </w:p>
    <w:p>
      <w:pPr>
        <w:ind w:left="660" w:firstLine="644"/>
        <w:spacing w:after="0" w:line="277" w:lineRule="auto"/>
        <w:tabs>
          <w:tab w:leader="none" w:pos="15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shall be determined to have been caused by its own negligence or bad faith; and</w:t>
      </w:r>
    </w:p>
    <w:p>
      <w:pPr>
        <w:spacing w:after="0" w:line="186" w:lineRule="exact"/>
        <w:rPr>
          <w:rFonts w:ascii="Arial" w:cs="Arial" w:eastAsia="Arial" w:hAnsi="Arial"/>
          <w:sz w:val="18"/>
          <w:szCs w:val="18"/>
          <w:color w:val="auto"/>
        </w:rPr>
      </w:pPr>
    </w:p>
    <w:p>
      <w:pPr>
        <w:jc w:val="both"/>
        <w:ind w:left="660" w:firstLine="644"/>
        <w:spacing w:after="0" w:line="286" w:lineRule="auto"/>
        <w:tabs>
          <w:tab w:leader="none" w:pos="15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indemnify the Trustee for, and to hold it harmless against, any loss, liability or expense incurred without negligence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5.01(e) or f), the expenses and the compensation for the services are intended to constitute expenses of administration under any bankruptcy law.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obligations under this Section 6.07 and any lien arising hereunder shall survive the resignation or removal of any Trustee, the discharge of the Company’s obligations pursuant to Article IV of this Indenture and/or the termination of this Indenture.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Disqualification; Conflicting Interests</w:t>
      </w:r>
      <w:r>
        <w:rPr>
          <w:rFonts w:ascii="Arial" w:cs="Arial" w:eastAsia="Arial" w:hAnsi="Arial"/>
          <w:sz w:val="17"/>
          <w:szCs w:val="17"/>
          <w:color w:val="auto"/>
        </w:rPr>
        <w:t>. The Trustee for the Securities of any series issued hereunder shall be subject to the provisions of Section 310(b) of the Trust Indenture Act during the period of time provided for therein. In determining whether the Trustee has a conflicting interest as defined in Section 310(b) of the Trust Indenture Act with respect to the Securities of any series, there shall be excluded this Indenture with respect to Securities of any particular series of Securities other than that series. Nothing herein shall prevent the Trustee from filing with the Commission the application referred to in the second to last paragraph of Section 310(b) of the Trust Indenture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firstLine="648"/>
        <w:spacing w:after="0" w:line="27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a Trustee hereunder with respect to each series of Securities, which shall be either:</w:t>
      </w:r>
    </w:p>
    <w:p>
      <w:pPr>
        <w:spacing w:after="0" w:line="170" w:lineRule="exact"/>
        <w:rPr>
          <w:sz w:val="20"/>
          <w:szCs w:val="20"/>
          <w:color w:val="auto"/>
        </w:rPr>
      </w:pPr>
    </w:p>
    <w:p>
      <w:pPr>
        <w:ind w:left="660" w:firstLine="644"/>
        <w:spacing w:after="0" w:line="277" w:lineRule="auto"/>
        <w:tabs>
          <w:tab w:leader="none" w:pos="15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organized and doing business under the laws of the United States of America or of any State, authorized under such laws to exercise corporate trust powers and subject to supervision or examination by Federal or State authority, or</w:t>
      </w:r>
    </w:p>
    <w:p>
      <w:pPr>
        <w:spacing w:after="0" w:line="170" w:lineRule="exact"/>
        <w:rPr>
          <w:rFonts w:ascii="Arial" w:cs="Arial" w:eastAsia="Arial" w:hAnsi="Arial"/>
          <w:sz w:val="18"/>
          <w:szCs w:val="18"/>
          <w:color w:val="auto"/>
        </w:rPr>
      </w:pPr>
    </w:p>
    <w:p>
      <w:pPr>
        <w:jc w:val="both"/>
        <w:ind w:left="660" w:firstLine="644"/>
        <w:spacing w:after="0" w:line="269" w:lineRule="auto"/>
        <w:tabs>
          <w:tab w:leader="none" w:pos="1563"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corporation or other Person organized and doing business under the laws of a foreign government that is permitted to act as Trustee pursuant to a rule, regulation or order of the Commission, authorized under such laws to exercise corporate trust powers, and subject to supervision or examination by authority of such foreign government or a political subdivision thereof substantially equivalent to supervision or examination applicable to United States institutional trustees; in either case having a combined capital and surplus of at least $50,000,000.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for the Securities of any series issued hereunder. If at any time the Trustee with respect to any series of Securities shall cease to be eligible in accordance with the provisions of this Section, it shall resign immediately in the manner and with the effect specified in Section 6.10.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w:t>
      </w:r>
    </w:p>
    <w:p>
      <w:pPr>
        <w:spacing w:after="0" w:line="225" w:lineRule="exact"/>
        <w:rPr>
          <w:sz w:val="20"/>
          <w:szCs w:val="20"/>
          <w:color w:val="auto"/>
        </w:rPr>
      </w:pPr>
    </w:p>
    <w:p>
      <w:pPr>
        <w:ind w:left="660" w:right="20" w:firstLine="644"/>
        <w:spacing w:after="0" w:line="277" w:lineRule="auto"/>
        <w:tabs>
          <w:tab w:leader="none" w:pos="15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under Section 6.11.</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57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Trustee may resign with respect to any series of Securities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65" w:lineRule="exact"/>
        <w:rPr>
          <w:rFonts w:ascii="Arial" w:cs="Arial" w:eastAsia="Arial" w:hAnsi="Arial"/>
          <w:sz w:val="17"/>
          <w:szCs w:val="17"/>
          <w:color w:val="auto"/>
        </w:rPr>
      </w:pPr>
    </w:p>
    <w:p>
      <w:pPr>
        <w:jc w:val="both"/>
        <w:ind w:left="660" w:firstLine="644"/>
        <w:spacing w:after="0" w:line="259" w:lineRule="auto"/>
        <w:tabs>
          <w:tab w:leader="none" w:pos="15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may be removed with respect to any series of Securities at any time by Act of the Holders of a majority in principal amount of the outstanding Securities of that series, delivered to the Trustee and to the Company. If an instrument of acceptance by a successor Trustee shall not have been delivered to the Trustee within 30 days after the giving of such notice of removal, the removed Trustee may petition any court of competent jurisdiction for the appointment of a successor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1560" w:hanging="256"/>
        <w:spacing w:after="0"/>
        <w:tabs>
          <w:tab w:leader="none" w:pos="1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16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Trustee shall fail to comply with Section 310(b) of the Trust Indenture Act pursuant to Section 6.08 with respect to any series of Securities after written request therefor by the Company or by any Securityholder who has been a bona fide Holder of a Security of that series for at least six months, unless the Trustee’s duty to resign is stayed in accordance with the provisions of Section 310(b) of the Trust Indenture Act, or</w:t>
      </w:r>
    </w:p>
    <w:p>
      <w:pPr>
        <w:spacing w:after="0" w:line="186" w:lineRule="exact"/>
        <w:rPr>
          <w:rFonts w:ascii="Arial" w:cs="Arial" w:eastAsia="Arial" w:hAnsi="Arial"/>
          <w:sz w:val="18"/>
          <w:szCs w:val="18"/>
          <w:color w:val="auto"/>
        </w:rPr>
      </w:pPr>
    </w:p>
    <w:p>
      <w:pPr>
        <w:ind w:left="1300" w:firstLine="652"/>
        <w:spacing w:after="0" w:line="277" w:lineRule="auto"/>
        <w:tabs>
          <w:tab w:leader="none" w:pos="221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with respect to any series of Securities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w:t>
      </w:r>
    </w:p>
    <w:p>
      <w:pPr>
        <w:spacing w:after="0" w:line="225" w:lineRule="exact"/>
        <w:rPr>
          <w:rFonts w:ascii="Arial" w:cs="Arial" w:eastAsia="Arial" w:hAnsi="Arial"/>
          <w:sz w:val="18"/>
          <w:szCs w:val="18"/>
          <w:color w:val="auto"/>
        </w:rPr>
      </w:pPr>
    </w:p>
    <w:p>
      <w:pPr>
        <w:jc w:val="both"/>
        <w:ind w:left="1300" w:firstLine="652"/>
        <w:spacing w:after="0" w:line="254" w:lineRule="auto"/>
        <w:tabs>
          <w:tab w:leader="none" w:pos="235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Trustee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a Board Resolution may remove the Trustee, with respect to the series, or in the case of clause (iv), with respect to all series, or (ii) subject to Section 5.14, any Securityholder who has been a bona fide Holder of a Security of such series for at least six months may, on behalf of himself and all others similarly situated, petition any court of competent jurisdiction for the removal of the Trustee and the appointment of a successor Trustee with respect to the series, or, in the case of clause (iv), with respect to all series.</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Trustee shall resign, be removed or become incapable of acting with respect to any series of Securities, or if a vacancy shall occur in the office of the Trustee with respect to any series of Securities for any cause, the Company, by Board Resolution, shall promptly appoint a successor Trustee for that series of Securities.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within one year after such resignation, removal or incapacity, or the occurrence of such vacancy, a successor Trustee with respect to such series of Securities shall be appointed by the Holders of a majority in principal amount of the Outstanding Securities of such series delivered to the Company and the retiring Trustee, the successor Trustee so appointed shall, forthwith upon its acceptance of such appointment, become the successor Trustee with respect to such series and supersede the successor Trustee appointed by the Company with respect to such series. If no successor Trustee with respect to such series shall have been so appointed by the Company or the Securityholders of such series and accepted appointment in the manner hereinafter provided, subject to Section 5.14, any Securityholder who has been a bona fide Holder of a Security of that series for at least six months may, on behalf of himself and all others similarly situated, petition any court of competent jurisdiction for the appointment of a successor Trustee with respect to such series.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left="660" w:firstLine="644"/>
        <w:spacing w:after="0" w:line="259" w:lineRule="auto"/>
        <w:tabs>
          <w:tab w:leader="none" w:pos="15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any series and each appointment of a successor Trustee with respect to any series by mailing written notice of such event by first-class mail, postage prepaid, to the Holders of Securities of that series as their names and addresses appear in the Security Register. Each notice shall include the name of the successor Trustee and the address of its principal Corporate Trust Office.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Every successor Trustee appointed hereunder shall execute, acknowledge and deliver to the Company and to the predecessor Trustee an instrument accepting such appointment, and thereupon the resignation or removal of the predecessor Trustee shall become effective with respect to any series as to which it is resigning or being removed as Trustee, and such successor Trustee, without any further act, deed or conveyance, shall become vested with all the rights, powers, trusts and duties of the predecessor Trustee with respect to any such series; but, on request of the Company or the successor Trustee, such predecessor Trustee shall, upon payment of its reasonable charges, if any, execute and deliver an instrument transferring to such successor Trustee all the rights, powers and trusts of the predecessor Trustee, and shall duly assign, transfer and deliver to such successor Trustee all property and money held by such predecessor trustee hereunder with respect to all or any such series, subject nevertheless to its lien, if any, provided for in Section 607. Upon request of any such successor Trustee, the Company shall execute any and all instruments for more fully and certainly vesting in and confirming to such successor Trustee all such rights, powers and trusts.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being succeeded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indenture supplemental hereto shall constitute such Trustees co-trustees of the same trust and that each such Trustee shall be Trustee of a trust or trusts hereunder separate and apart from any trust or trusts hereunder administered by any other such Trustee.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successor Trustee with respect to any series of Securities shall accept its appointment unless at the time of such acceptance such successor Trustee shall be qualified and eligible with respect to that series under this Article.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Preferential Collection of Claims Against Company</w:t>
      </w:r>
      <w:r>
        <w:rPr>
          <w:rFonts w:ascii="Arial" w:cs="Arial" w:eastAsia="Arial" w:hAnsi="Arial"/>
          <w:sz w:val="17"/>
          <w:szCs w:val="17"/>
          <w:color w:val="auto"/>
        </w:rPr>
        <w:t>. The Trustee shall comply with TIA Section 311(a), excluding any creditor relationship listed in TIA Section 311(b). A Trustee who has resigned or been removed shall be subject to TIA Section 311(a) to the extent indicated.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86"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with the approval of the Company, may appoint an Authenticating Agent or Agents with respect to one or more series of Securities which shall be authorized to act on behalf of the Trustee to authenticate Securities of such series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an Authenticating Agent, having a combined capital and surplus of not less than $50,000,000 and, if other than the Company itself,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if other than the Company, to the Company. The Trustee may at any time terminate the agency of an Authenticating Agent by giving written notice thereof to such Authenticating Agent and, if other than the Company, to the Company. Upon receiving such a notice of resignation or upon such a termination, or in case at any time such Authenticating Agent shall cease to be eligible in accordance with the provisions of this Section, the Trustee, with the approval of the Company, may appoint a successor Authenticating Agent which shall be acceptable to the Company and shall mail written notice of such appointment by first-class mail, postage prepaid,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agrees to pay to each Authenticating Agent from time to time reasonable compensation for its services under this Section.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Authenticating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Authorized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SECURITYHOLDERS’ LISTS AND REPORTS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 AND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Company to Furnish Trustee Names and Addresses of Securityholders</w:t>
      </w:r>
      <w:r>
        <w:rPr>
          <w:rFonts w:ascii="Arial" w:cs="Arial" w:eastAsia="Arial" w:hAnsi="Arial"/>
          <w:sz w:val="16"/>
          <w:szCs w:val="16"/>
          <w:color w:val="auto"/>
        </w:rPr>
        <w:t>. The Company will furnish or cause to be furnished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right="20" w:firstLine="644"/>
        <w:spacing w:after="0" w:line="342" w:lineRule="auto"/>
        <w:tabs>
          <w:tab w:leader="none" w:pos="1566"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Semi-annually, not more than 15 days after December 15 and June 15 in each year in such form as the Trustee may reasonably require, a list of the names and addresses of the Holders of Securities of each series as of such December 15 and June 15, as applicable, and</w:t>
      </w:r>
    </w:p>
    <w:p>
      <w:pPr>
        <w:spacing w:after="0" w:line="123" w:lineRule="exact"/>
        <w:rPr>
          <w:rFonts w:ascii="Arial" w:cs="Arial" w:eastAsia="Arial" w:hAnsi="Arial"/>
          <w:sz w:val="16"/>
          <w:szCs w:val="16"/>
          <w:color w:val="auto"/>
        </w:rPr>
      </w:pPr>
    </w:p>
    <w:p>
      <w:pPr>
        <w:jc w:val="both"/>
        <w:ind w:left="660" w:firstLine="644"/>
        <w:spacing w:after="0" w:line="311" w:lineRule="auto"/>
        <w:tabs>
          <w:tab w:leader="none" w:pos="1563" w:val="left"/>
        </w:tabs>
        <w:numPr>
          <w:ilvl w:val="0"/>
          <w:numId w:val="75"/>
        </w:numPr>
        <w:rPr>
          <w:rFonts w:ascii="Arial" w:cs="Arial" w:eastAsia="Arial" w:hAnsi="Arial"/>
          <w:sz w:val="16"/>
          <w:szCs w:val="16"/>
          <w:color w:val="auto"/>
        </w:rPr>
      </w:pPr>
      <w:r>
        <w:rPr>
          <w:rFonts w:ascii="Arial" w:cs="Arial" w:eastAsia="Arial" w:hAnsi="Arial"/>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the Security Registrar for Securities of a series, no such list need be furnished with respect to such series of Securities.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Securityholders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5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the names and addresses of Holders of Securities contained in the most recent list furnished to the Trustee as provided in Section 7.01 and the names and addresses of Holders of Securities received by the Trustee in its capacity as Security Registrar, if so acting. The Trustee may destroy any list furnished to it as provided in Section 7.01 upon receipt of a new list so furnished.</w:t>
      </w:r>
    </w:p>
    <w:p>
      <w:pPr>
        <w:spacing w:after="0" w:line="186" w:lineRule="exact"/>
        <w:rPr>
          <w:rFonts w:ascii="Arial" w:cs="Arial" w:eastAsia="Arial" w:hAnsi="Arial"/>
          <w:sz w:val="18"/>
          <w:szCs w:val="18"/>
          <w:color w:val="auto"/>
        </w:rPr>
      </w:pPr>
    </w:p>
    <w:p>
      <w:pPr>
        <w:jc w:val="both"/>
        <w:ind w:left="660" w:firstLine="644"/>
        <w:spacing w:after="0" w:line="255" w:lineRule="auto"/>
        <w:tabs>
          <w:tab w:leader="none" w:pos="15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three or more Holders of Securities of any series (hereinafter referred to as “applicants”) apply in writing to the Trustee, and furnish to the Trustee reasonable proof that each such applicant has owned a Security of such series for a period of at least six months preceding the date of such application, and such application states that the applicants desire to communicate with other Holders of Securities of such series or with the Holders of all Securities with respect to their rights under this Indenture or under such Securities and is accompanied by a copy of the form of proxy or other communication which such applicants propose to transmit, then the Trustee shall, within five Business Days after the receipt of such application, at its election, either:</w:t>
      </w:r>
    </w:p>
    <w:p>
      <w:pPr>
        <w:spacing w:after="0" w:line="192" w:lineRule="exact"/>
        <w:rPr>
          <w:rFonts w:ascii="Arial" w:cs="Arial" w:eastAsia="Arial" w:hAnsi="Arial"/>
          <w:sz w:val="18"/>
          <w:szCs w:val="18"/>
          <w:color w:val="auto"/>
        </w:rPr>
      </w:pPr>
    </w:p>
    <w:p>
      <w:pPr>
        <w:ind w:left="2160" w:hanging="208"/>
        <w:spacing w:after="0"/>
        <w:tabs>
          <w:tab w:leader="none" w:pos="21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afford such applicants access to the information preserved at the time by the Trustee in accordance with Section 7.02(a), or</w:t>
      </w:r>
    </w:p>
    <w:p>
      <w:pPr>
        <w:spacing w:after="0" w:line="248" w:lineRule="exact"/>
        <w:rPr>
          <w:rFonts w:ascii="Arial" w:cs="Arial" w:eastAsia="Arial" w:hAnsi="Arial"/>
          <w:sz w:val="16"/>
          <w:szCs w:val="16"/>
          <w:color w:val="auto"/>
        </w:rPr>
      </w:pPr>
    </w:p>
    <w:p>
      <w:pPr>
        <w:jc w:val="both"/>
        <w:ind w:left="1300" w:firstLine="652"/>
        <w:spacing w:after="0" w:line="285" w:lineRule="auto"/>
        <w:tabs>
          <w:tab w:leader="none" w:pos="2213"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inform such applicants as to the approximate number of Holders of Securities of such series or all Securities, as the case may be, whose names and addresses appear in the information preserved at the time by the Trustee in accordance with Section 7.02(a), and as to the approximate cost of mailing to such Securityholders the form of proxy or other communication, if any, specified in such application. If the Trustee shall elect not to afford such applicants access to such information, the Trustee shall, upon the written request of such applicants, mail to each Holder of a Security of such series or to all Securityholders, as the case may be, whose names and addresses appear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Securities of such series or all Securityholders,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Securityholders of such series or all Securityholders, as the case may be, with reasonable promptness after the entry of such order and the renewal of such tender; otherwise the Trustee shall be relieved of any obligation or duty to such applicants respecting their application.</w:t>
      </w:r>
    </w:p>
    <w:p>
      <w:pPr>
        <w:spacing w:after="0" w:line="173" w:lineRule="exact"/>
        <w:rPr>
          <w:rFonts w:ascii="Arial" w:cs="Arial" w:eastAsia="Arial" w:hAnsi="Arial"/>
          <w:sz w:val="16"/>
          <w:szCs w:val="16"/>
          <w:color w:val="auto"/>
        </w:rPr>
      </w:pPr>
    </w:p>
    <w:p>
      <w:pPr>
        <w:jc w:val="both"/>
        <w:ind w:left="660" w:firstLine="644"/>
        <w:spacing w:after="0" w:line="279" w:lineRule="auto"/>
        <w:tabs>
          <w:tab w:leader="none" w:pos="15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Every Holder of Securities, by receiving and holding the same, agrees with the Company and the Trustee that neither the Company nor the Trustee shall be held accountable by reason of the disclosure of any such information as to the names and addresses of the Holders of Securities in accordance with Section 7.02(b), regardless of the source from which such information was derived, and that the Trustee shall not be held accountable by reason of mailing any material pursuant to a request made under Section 7.02(b).</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311" w:lineRule="auto"/>
        <w:tabs>
          <w:tab w:leader="none" w:pos="1552"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Within 60 days after May 15 of each year commencing with the first May 15 after the issuance of Securities, the Trustee shall transmit by mail, at the Company’s expense, to all Holders as their names and addresses appear in the Security Register, as provided in Trust Indenture Act 313(c), a brief report dated as of May 15 in accordance with and with respect to the matters required by Trust Indenture Act Section 313(a).</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5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transmit by mail, at the Company’s expense, to all Holders as their names and addresses appear in the Security Register, as provided in Trust Indenture Act 313(c), a brief report in accordance with and with respect to the matters required by Trust Indenture Act Section 3 13(b).</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Holders, be furnished to the Company and, in accordance with Trust Indenture Act Section 313(d), be filed by the Trustee with each stock exchange upon which the Securities are listed, and also with the Commission.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shall file with the Trustee,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 The Company also shall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CONSOLIDATION, MERGER, CONVEYANCE OR TRANSFER</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 Merger, Amalgamation, Conveyance or Transfer on Certain Terms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the Company shall not consolidate with, merge into, or amalgamate with any other Person or convey or transfer its properties and assets substantially as an entirety to any Person, unless:</w:t>
      </w:r>
    </w:p>
    <w:p>
      <w:pPr>
        <w:spacing w:after="0" w:line="149" w:lineRule="exact"/>
        <w:rPr>
          <w:sz w:val="20"/>
          <w:szCs w:val="20"/>
          <w:color w:val="auto"/>
        </w:rPr>
      </w:pPr>
    </w:p>
    <w:p>
      <w:pPr>
        <w:jc w:val="both"/>
        <w:ind w:left="660" w:firstLine="644"/>
        <w:spacing w:after="0" w:line="296" w:lineRule="auto"/>
        <w:tabs>
          <w:tab w:leader="none" w:pos="1566"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Company is merged or the Person which acquires by conveyance or transfer the properties and assets of the Company substantially as an entirety shall be organized and existing under the laws of Canada or any province thereof, and shall expressly assume, by an indenture supplemental hereto, executed and delivered to the Trustee, in form reasonably satisfactory to the Trustee, the due and punctual payment of the principal of (and premium, if any) and interest on all the Securities and the performance of every covenant of this Indenture (as supplemented from time to time) on the part of the Company to be performed or observed;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left="660" w:firstLine="644"/>
        <w:spacing w:after="0" w:line="277" w:lineRule="auto"/>
        <w:tabs>
          <w:tab w:leader="none" w:pos="15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or transfer and such indenture supplemental hereto comply with this Article and that all conditions precedent herein provided for relating to such transaction have been complied with.</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Successor Person Substituted</w:t>
      </w:r>
      <w:r>
        <w:rPr>
          <w:rFonts w:ascii="Arial" w:cs="Arial" w:eastAsia="Arial" w:hAnsi="Arial"/>
          <w:sz w:val="17"/>
          <w:szCs w:val="17"/>
          <w:color w:val="auto"/>
        </w:rPr>
        <w:t>. Upon any consolidation, amalgamation or merger, or any conveyance or transfer of the properties and assets of the Company substantially as an entirety in accordance with Section 8.01, the successor Person formed by such consolidation or amalgamation or into which the Company is merged or to which such conveyance or transfer is made shall succeed to, and be substituted for, and may exercise every right and power of, the Company under this Indenture with the same effect as if such successor had been named as the Company herein. In the event of any such conveyance or transfer, the Company as the predecessor shall be discharged from all obligations and covenants under this Indenture and the Securities and may be dissolved, wound up or liquidated at any time thereafter.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Securityholders</w:t>
      </w:r>
      <w:r>
        <w:rPr>
          <w:rFonts w:ascii="Arial" w:cs="Arial" w:eastAsia="Arial" w:hAnsi="Arial"/>
          <w:sz w:val="18"/>
          <w:szCs w:val="18"/>
          <w:color w:val="auto"/>
        </w:rPr>
        <w:t>. Except as otherwise set forth in an indenture supplemental hereto or Board Resolution creating such series of Securities or in the form of Security for such series, without the consent of the Holders of any Securities, the Company, when authorized by a Board Resolution, and the Trustee, at any time and from time to time, may enter into one or more indentures supplemental hereto, in form reasonably satisfactory to the Trustee, for any of the following purposes:</w:t>
      </w:r>
    </w:p>
    <w:p>
      <w:pPr>
        <w:spacing w:after="0" w:line="187" w:lineRule="exact"/>
        <w:rPr>
          <w:sz w:val="20"/>
          <w:szCs w:val="20"/>
          <w:color w:val="auto"/>
        </w:rPr>
      </w:pPr>
    </w:p>
    <w:p>
      <w:pPr>
        <w:ind w:left="660" w:right="20" w:firstLine="644"/>
        <w:spacing w:after="0" w:line="308" w:lineRule="auto"/>
        <w:tabs>
          <w:tab w:leader="none" w:pos="1552" w:val="left"/>
        </w:tabs>
        <w:numPr>
          <w:ilvl w:val="1"/>
          <w:numId w:val="80"/>
        </w:numPr>
        <w:rPr>
          <w:rFonts w:ascii="Arial" w:cs="Arial" w:eastAsia="Arial" w:hAnsi="Arial"/>
          <w:sz w:val="17"/>
          <w:szCs w:val="17"/>
          <w:color w:val="auto"/>
        </w:rPr>
      </w:pPr>
      <w:r>
        <w:rPr>
          <w:rFonts w:ascii="Arial" w:cs="Arial" w:eastAsia="Arial" w:hAnsi="Arial"/>
          <w:sz w:val="17"/>
          <w:szCs w:val="17"/>
          <w:color w:val="auto"/>
        </w:rPr>
        <w:t>to evidence the succession of another corporation or Person to the Company or any Guarantor, if any, and the assumption by any such successor of the respective covenants of the Company or any Guarantor herein and in the Securities contained; or</w:t>
      </w:r>
    </w:p>
    <w:p>
      <w:pPr>
        <w:spacing w:after="0" w:line="146" w:lineRule="exact"/>
        <w:rPr>
          <w:rFonts w:ascii="Arial" w:cs="Arial" w:eastAsia="Arial" w:hAnsi="Arial"/>
          <w:sz w:val="17"/>
          <w:szCs w:val="17"/>
          <w:color w:val="auto"/>
        </w:rPr>
      </w:pPr>
    </w:p>
    <w:p>
      <w:pPr>
        <w:jc w:val="both"/>
        <w:ind w:left="660" w:firstLine="644"/>
        <w:spacing w:after="0" w:line="259" w:lineRule="auto"/>
        <w:tabs>
          <w:tab w:leader="none" w:pos="157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if any, or to surrender any right or power herein conferred upon the Company or any Guarantor, for the benefit of the Holders of the Securities of any or all series (and if such covenants or the surrender of such right or power are to be for the benefit of less than all series of Securities, stating that such covenants are expressly being included or such surrenders are expressly being made solely for the benefit of one or more specified series); or</w:t>
      </w:r>
    </w:p>
    <w:p>
      <w:pPr>
        <w:spacing w:after="0" w:line="186" w:lineRule="exact"/>
        <w:rPr>
          <w:rFonts w:ascii="Arial" w:cs="Arial" w:eastAsia="Arial" w:hAnsi="Arial"/>
          <w:sz w:val="18"/>
          <w:szCs w:val="18"/>
          <w:color w:val="auto"/>
        </w:rPr>
      </w:pPr>
    </w:p>
    <w:p>
      <w:pPr>
        <w:ind w:left="660" w:firstLine="644"/>
        <w:spacing w:after="0" w:line="277" w:lineRule="auto"/>
        <w:tabs>
          <w:tab w:leader="none" w:pos="155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inconsistent with any other provision herein, or to make any other provisions with respect to matters or questions arising under this Indenture;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add to this Indenture such provisions as may be expressly permitted by the TIA, excluding, however, the provisions referred to in Section 3 16(a)(2) of the TIA as in effect at the date as of which this instrument was executed or any corresponding provision in any similar federal statute hereafter enacted; or</w:t>
      </w:r>
    </w:p>
    <w:p>
      <w:pPr>
        <w:spacing w:after="0" w:line="183" w:lineRule="exact"/>
        <w:rPr>
          <w:rFonts w:ascii="Arial" w:cs="Arial" w:eastAsia="Arial" w:hAnsi="Arial"/>
          <w:sz w:val="18"/>
          <w:szCs w:val="18"/>
          <w:color w:val="auto"/>
        </w:rPr>
      </w:pPr>
    </w:p>
    <w:p>
      <w:pPr>
        <w:ind w:left="660" w:firstLine="644"/>
        <w:spacing w:after="0" w:line="277" w:lineRule="auto"/>
        <w:tabs>
          <w:tab w:leader="none" w:pos="155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establish any form of Security, as provided in Article II, to provide for the issuance of any series of Securities as provided in Article III and to set forth the terms thereof, and/or to add to the rights of the Holders of the Securities of any series;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2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another corporation as a successor Trustee hereunder with respect to one or more series of Securities and to add to or change any of the provisions of this Indenture as shall be necessary to provide for or facilitate the administration of the trusts hereunder by more than one Trustee, pursuant to Section 6.11;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add any additional Events of Default in respect of the Securities of any or all series (and if such additional Events of Default are to be in respect of less than all series of Securities, stating that such Events of Default are expressly being included solely for the benefit of one or more specified series); or</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59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to provide for uncertificated Securities in addition to or in place of certificated Securities and to provide for bearer Securities; provided that uncertificated Securities are issued in registered form for purposes of Section 163(f) of the Internal Revenue Code of 1986, as amended, or in a manner such that the uncertificated Securities are described in Section 163(f)(2)(B) of such Internal Revenue Code;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660" w:firstLine="644"/>
        <w:spacing w:after="0" w:line="277" w:lineRule="auto"/>
        <w:tabs>
          <w:tab w:leader="none" w:pos="15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provide for the terms and conditions of conversion into Common Stock or other Marketable Securities of the Securities of any series which are convertible into Common Stock or other Marketable Securities, if any; or</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secure the Securities of any series;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add Guarantees in respect of any series or all of the Securities; or</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any or all series of Securities; or</w:t>
      </w:r>
    </w:p>
    <w:p>
      <w:pPr>
        <w:spacing w:after="0" w:line="225" w:lineRule="exact"/>
        <w:rPr>
          <w:rFonts w:ascii="Arial" w:cs="Arial" w:eastAsia="Arial" w:hAnsi="Arial"/>
          <w:sz w:val="18"/>
          <w:szCs w:val="18"/>
          <w:color w:val="auto"/>
        </w:rPr>
      </w:pPr>
    </w:p>
    <w:p>
      <w:pPr>
        <w:ind w:left="660" w:firstLine="644"/>
        <w:spacing w:after="0" w:line="277" w:lineRule="auto"/>
        <w:tabs>
          <w:tab w:leader="none" w:pos="175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Commission in connection with the qualification of this Indenture or any supplemental indenture under the Trust Indenture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supplemental indenture for the purposes identified in clauses (b), (c) or (e) above may be entered into if to do so would adversely affect the rights of the Holders of Outstanding Securities of any series in any material respect.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Supplemental Indentures With Consent of Securityholders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with the consent of the Holders of not less than a majority in principal amount of the Outstanding Securities of all series affected by such supplemental indenture or indentures (acting as one class), by Act of said Holders delivered to the Company and the Trustee (in accordance with Section 1.04 hereof),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the Securities of each such series under this Indenture; provided, however, that no such supplemental indenture shall, without the consent of the Holder of each Outstanding Security affected thereby:</w:t>
      </w:r>
    </w:p>
    <w:p>
      <w:pPr>
        <w:spacing w:after="0" w:line="166" w:lineRule="exact"/>
        <w:rPr>
          <w:sz w:val="20"/>
          <w:szCs w:val="20"/>
          <w:color w:val="auto"/>
        </w:rPr>
      </w:pPr>
    </w:p>
    <w:p>
      <w:pPr>
        <w:jc w:val="both"/>
        <w:ind w:left="660" w:firstLine="644"/>
        <w:spacing w:after="0" w:line="254" w:lineRule="auto"/>
        <w:tabs>
          <w:tab w:leader="none" w:pos="15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 the Maturity of the principal of, or the Stated Maturity of any premium on, or any installment of interest on, any Security, or reduce the principal amount thereof or the interest or any premium thereon, or change the method of computing the amount of principal thereof or interest thereon on any date or change any Place of Payment where, or the coin or currency in which, any Security or any premium or interest thereon is payable, or impair the right to institute suit for the enforcement of any such payment on or after the Maturity or the Stated Maturity, as the case may be, thereof (or, in the case of redemption or repayment, on or after the Redemption Date or the Repayment Date, as the case may be), or alter the provisions of this Indenture so as to affect adversely the terms, if any, of conversion of any Securities into Common Stock or other securities; or</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modify any of the provisions of this Section 9.02, Section 5.13 or Section 10.06, except to increase any such percentage or to provide that certain other provisions of this Indenture cannot be modified or waived without the consent of the Holder of each Outstanding Security affected thereby;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left="660" w:firstLine="644"/>
        <w:spacing w:after="0" w:line="308" w:lineRule="auto"/>
        <w:tabs>
          <w:tab w:leader="none" w:pos="1576" w:val="left"/>
        </w:tabs>
        <w:numPr>
          <w:ilvl w:val="0"/>
          <w:numId w:val="83"/>
        </w:numPr>
        <w:rPr>
          <w:rFonts w:ascii="Arial" w:cs="Arial" w:eastAsia="Arial" w:hAnsi="Arial"/>
          <w:sz w:val="17"/>
          <w:szCs w:val="17"/>
          <w:color w:val="auto"/>
        </w:rPr>
      </w:pPr>
      <w:r>
        <w:rPr>
          <w:rFonts w:ascii="Arial" w:cs="Arial" w:eastAsia="Arial" w:hAnsi="Arial"/>
          <w:sz w:val="17"/>
          <w:szCs w:val="17"/>
          <w:color w:val="auto"/>
        </w:rPr>
        <w:t>impair or adversely affect the right of any Holder to institute suit for the enforcement of any payment on, or with respect to, the Securities of any series on or after the Stated Maturity of such Securities (or in the case of redemption, on or after the Redemption Date); or</w:t>
      </w:r>
    </w:p>
    <w:p>
      <w:pPr>
        <w:spacing w:after="0" w:line="146" w:lineRule="exact"/>
        <w:rPr>
          <w:rFonts w:ascii="Arial" w:cs="Arial" w:eastAsia="Arial" w:hAnsi="Arial"/>
          <w:sz w:val="17"/>
          <w:szCs w:val="17"/>
          <w:color w:val="auto"/>
        </w:rPr>
      </w:pPr>
    </w:p>
    <w:p>
      <w:pPr>
        <w:ind w:left="1540" w:hanging="236"/>
        <w:spacing w:after="0"/>
        <w:tabs>
          <w:tab w:leader="none" w:pos="1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amend or modify Section 12.01 of this Indenture in any manner adverse to the rights of the Holders of the Outstanding Securities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any series.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purposes of this Section 9.02, if the Securities of any series are issuable upon the exercise of warrants, each holder of an unexercised and unexpired warrant with respect to such series shall be deemed to be a Holder of Outstanding Securities of such series in the amount issuable upon the exercise of such warrant. For such purposes, the ownership of any such warrant shall be determined by the Company in a manner consistent with customary commercial practices. The Trustee for such series shall be entitled to rely on an Officers’ Certificate as to the principal amount of Securities of such series in respect of which consents shall have been executed by holders of such warrants.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Holders of Securities of any other series.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shall not be necessary for any Act of Securityholders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to the extent provided therein.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TIA as then in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648"/>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Notice of Supplemental Indentures</w:t>
      </w:r>
      <w:r>
        <w:rPr>
          <w:rFonts w:ascii="Arial" w:cs="Arial" w:eastAsia="Arial" w:hAnsi="Arial"/>
          <w:sz w:val="16"/>
          <w:szCs w:val="16"/>
          <w:color w:val="auto"/>
        </w:rPr>
        <w:t>. Promptly after the execution by the Company, any affected Guarantor and the Trustee of any Supplemental Indenture pursuant to the provisions of Section 9.02, the Company shall give notice thereof to the Securityholders of each Outstanding Security affected, in the manner provided for in Section 1.06, setting forth in general terms the substance of such Supplemental Indenture. Any failure by the Company to mail such notice, or any defect therein, shall not, however, in any way impair or affect the validity of any such amendment or waiver.</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Revocation and Effect of Consents, Waivers and Actions</w:t>
      </w:r>
      <w:r>
        <w:rPr>
          <w:rFonts w:ascii="Arial" w:cs="Arial" w:eastAsia="Arial" w:hAnsi="Arial"/>
          <w:sz w:val="18"/>
          <w:szCs w:val="18"/>
          <w:color w:val="auto"/>
        </w:rPr>
        <w:t>. Until an amendment, waiver or other action by Securityholders becomes effective, a consent to it or any other action by a Securityholder of any series hereunder is a continuing consent by such Securityholder and every subsequent Securityholder of that Security, even if notation of the consent, waiver or action is not made on such Security. However, any such Securityholder or subsequent Securityholder may revoke the consent, waiver or action as to such Securityholder’s Security if the Trustee receives the notice of revocation before the consent of the requisite aggregate principal amount of the Securities of such series affected then outstanding has been obtained and not revoked. After an amendment, waiver or action becomes effective, it shall bind every Securityholder of the affected series, except as provided in Section 9.02.</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Securityholders entitled to consent to any amendment or waiver. If a record date is fixed, then, notwithstanding the first two sentences of the immediately preceding paragraph, those persons who were Securityholders at such record date (or their duly designated proxies), and only those persons, shall be entitled to consent to such amendment, supplement or waiver or to revoke any consent previously given, whether or not such persons continue to be Securityholders after such record date. No such consent shall be valid or effective for more than 90 days after such record date.</w:t>
      </w:r>
    </w:p>
    <w:p>
      <w:pPr>
        <w:spacing w:after="0" w:line="17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Payment of Principal, Premium and Interest</w:t>
      </w:r>
      <w:r>
        <w:rPr>
          <w:rFonts w:ascii="Arial" w:cs="Arial" w:eastAsia="Arial" w:hAnsi="Arial"/>
          <w:sz w:val="17"/>
          <w:szCs w:val="17"/>
          <w:color w:val="auto"/>
        </w:rPr>
        <w:t>. With respect to each series of Securities, the Company will duly and punctually pay the principal of (and premium, if any) and interest on such Securities in accordance with their terms and this Indenture, and will duly comply with all the other terms, agreements and conditions contained in, or made in the Indenture for the benefit of, the Securities of such series.</w:t>
      </w:r>
    </w:p>
    <w:p>
      <w:pPr>
        <w:spacing w:after="0" w:line="3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The Company will maintain an office or agency in each Place of Payment where Securities may be presented or surrendered for payment, where Securities may be surrendered for registration of transfer or exchange, where notices and demands to or upon the Company in respect of the Securities and this Indenture may be served and where any Securities with conversion privileges, if any, may be presented and surrendered for conversion. The Company will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at the Corporate Trust Office of the Trustee, and the Company hereby appoints the Trustee its agent to receive all such presentations, surrenders, notices and demands.</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otherwise set forth in, or pursuant to, a Board Resolution or indenture supplemental hereto with respect to a series of Securities, the Company hereby initially designates as the Place of Payment for each series of Securities, the Borough of Manhattan, the City and State of New York, and initially appoints the Trustee at its Corporate Trust Office as the Company’s office or agency for each such purpose in such city.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301"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Security Payments to Be Held in Trust</w:t>
      </w:r>
      <w:r>
        <w:rPr>
          <w:rFonts w:ascii="Arial" w:cs="Arial" w:eastAsia="Arial" w:hAnsi="Arial"/>
          <w:sz w:val="16"/>
          <w:szCs w:val="16"/>
          <w:color w:val="auto"/>
        </w:rPr>
        <w:t>. If the Company shall at any time act as its own Paying Agent for any series of Securities, it will, on or before each due date of the principal of (and premium, if any) or interest on, any of the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to act.</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Whenever the Company shall have one or more Paying Agents for any series of Securities, it will, on or prior to each due date of the principal of (and premium, if any) or interest on, any Securities of such series, deposit with a Paying Agent a sum sufficient to pay the principal (and premium, if any) or interest so becoming due, such sum to be held in trust for the benefit of the Persons entitled to such principal (and premium, if any) or interest, and (unless such Paying Agent is the Trustee) the Company will promptly notify the Trustee of its action or failure so to act.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will cause each Paying Agent other than the Trustee for any series of Securities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left="660" w:right="20" w:firstLine="644"/>
        <w:spacing w:after="0" w:line="308" w:lineRule="auto"/>
        <w:tabs>
          <w:tab w:leader="none" w:pos="15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if any) or interest on Securities of such series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left="660" w:firstLine="644"/>
        <w:spacing w:after="0" w:line="277" w:lineRule="auto"/>
        <w:tabs>
          <w:tab w:leader="none" w:pos="15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such series) in the making of any such payment of principal (and premium, if any) or interest on the Securities of such series;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with respect to any series of Securities or for any other purpose, pay, or by Company Order direct any Paying Agent to pay, to the Trustee all sums held in trust by the Company or such Paying Agent in respect of each and every series of Securities as to which it seeks to discharge this Indenture or, if for any other purpose, all sums so held in trust by the Company in respect of all Securities,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The Trustee or such Paying Agent, before being required to make any such repayment, may at the expense of the Company mail to the Holders of the Securities as to which the money to be repaid was held in trust, as their names and addresses appear in the Security Register, a notice that such moneys remain unclaimed and that, after a date specified in the notice, which shall not be less than 30 days from the date on which the notice was first mailed to the Holders of the Securities as to which the money to be repaid was held in trust, any unclaimed balance of such moneys then remaining will be paid to the Company free of the trust formerly impressed upon 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648"/>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 The Company will deliver to the Trustee, within 120 days after the end of each fiscal year, a written statement signed by the principal executive officer, principal financial officer or principal accounting officer of the Company stating that:(a) a review of the activities of the Company during such year and of performance under this Indenture and under the terms of the Securities has been made under his supervision; and</w:t>
      </w:r>
    </w:p>
    <w:p>
      <w:pPr>
        <w:spacing w:after="0" w:line="187" w:lineRule="exact"/>
        <w:rPr>
          <w:sz w:val="20"/>
          <w:szCs w:val="20"/>
          <w:color w:val="auto"/>
        </w:rPr>
      </w:pPr>
    </w:p>
    <w:p>
      <w:pPr>
        <w:jc w:val="both"/>
        <w:ind w:left="660" w:firstLine="644"/>
        <w:spacing w:after="0" w:line="286" w:lineRule="auto"/>
        <w:tabs>
          <w:tab w:leader="none" w:pos="159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the best of his knowledge, based on such review, the Company has fulfilled all its obligations under this Indenture and has complied with all conditions and covenants on its part contained in this Indenture through such year, or, if there has been a default in the fulfillment of any such obligation, covenant or condition, specifying each such default known to him and the nature and status thereof.</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purpose of this Section 10.04, default and compliance shall be determined without regard to any grace period or requirement of notice provided pursuant to the terms of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Legal Existence</w:t>
      </w:r>
      <w:r>
        <w:rPr>
          <w:rFonts w:ascii="Arial" w:cs="Arial" w:eastAsia="Arial" w:hAnsi="Arial"/>
          <w:sz w:val="18"/>
          <w:szCs w:val="18"/>
          <w:color w:val="auto"/>
        </w:rPr>
        <w:t>. Subject to Article VIII, the Company will do or cause to be done all things necessary to preserve and keep in full force and effect its legal existence.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 The Company may omit in respect of any series of Securities, in any particular instance, to comply with any covenant or condition set forth in Sections 10.04 or 10.05 or set forth in a Board Resolution or indenture supplemental hereto with respect to the Securities of such series, unless otherwise specified in such Board Resolution or indenture supplemental hereto, if before or after the time for such compliance the Holders of not less than a majority in principal amount of the Outstanding Securities of all series affected by such waiver (voting as one class) shall, by Act of such Securityholders delivered to the Company and the Trustee (in accordance with Section 1.04 hereof),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Nothing in this Section 10.06 shall permit the waiver of compliance with any covenant or condition set forth in such Board Resolution or indenture supplemental hereto which, if in the form of an indenture supplemental hereto, would not be permitted by Section 9.02 without the consent of the Holder of each Outstanding Security affected thereby.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 The Company may reserve the right to redeem and pay before Stated Maturity all or any part of the Securities of any series, either by optional redemption, sinking or purchase fund or analogous obligation or otherwise, by provision therefor in the form of Security for such series established and approved pursuant to Section 2.02 and on such terms as are specified in such form or in the Board Resolution or indenture supplemental hereto with respect to Securities of such series as provided in Section 3.01. Redemption of Securities of any series shall be made in accordance with the terms of such Securities and, to the extent that this Article does not conflict with such terms, the succeeding Sections of this Article. Notwithstanding anything to the contrary in this Indenture, except in the case of redemption pursuant to a sinking fund, the Trustee shall not make any payment in connection with the redemption of Securities until the close of business on the Redemption Date.</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redeemable at the election of the Company shall be evidenced by, or pursuant to authority granted by, a Board Resolution. In case of any redemption at the election of the Company of less than all of the Securities of any series, the Company shall, at least 45 days prior to the Redemption Date fixed by the Company (unless a shorter notice shall be reasonably satisfactory to the Trustee), notify the Trustee of such Redemption Date and of the principal amount of Securities of such series and the Tranche (as defined in Section 11.03) to be redeemed.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48"/>
        <w:spacing w:after="0" w:line="288"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Selection by Trustee of Securities to Be Redeemed</w:t>
      </w:r>
      <w:r>
        <w:rPr>
          <w:rFonts w:ascii="Arial" w:cs="Arial" w:eastAsia="Arial" w:hAnsi="Arial"/>
          <w:sz w:val="16"/>
          <w:szCs w:val="16"/>
          <w:color w:val="auto"/>
        </w:rPr>
        <w:t>. If less than all the Securities of like tenor and terms of any series (a “Tranche”) are to be redeemed, the particular Securities to be redeemed shall be selected not more than 45 days prior to the Redemption Date by the Trustee, from the Outstanding Securities of such Tranche not previously called for redemption, by such method as the Trustee shall deem fair and appropriate and which may include provision for the selection for redemption of portions of the principal of Securities of such Tranche of a denomination larger than the minimum authorized denomination for Securities of that series. Unless otherwise provided in the terms of a particular series of Securities, the portions of the principal of Securities so selected for partial redemption shall be equal to the minimum authorized denomination of the Securities of such series, or an integral multiple thereof, and the principal amount which remains outstanding shall not be less than the minimum authorized denomination for Securities of such series. If less than all the Securities of unlike tenor and terms of a series are to be redeemed, the particular Tranche of Securities to be redeemed shall be selected by the Company.The Trustee shall promptly notify the Company in writing of the Securities selected for redemption and, in the case of any Security selected for partial redemption, the principal amount thereof to be redeemed.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Securities shall be excluded from eligibility for selection for redemption if they are identified by registration and certificate number in a written statement signed by an authorized officer of the Company and delivered to the Trustee at least 45 days prior to the Redemption Date (unless a shorter period shall be reasonably satisfactory to the Trustee) as being owned of record and beneficially by, and not pledged or hypothecated by either, (a) the Company or (b) an entity specifically identified in such written statement as being an Affiliate of the Company.</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of such Security which has been or is to be redeemed.</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 of redemption shall be given by first-class mail, postage prepaid, mailed not less than 15 (unless otherwise provided in the Board Resolution or indenture supplemental hereto establishing the relevant series) nor more than 45 days prior to the Redemption Date, to each holder of Securities to be redeemed, at his address appearing in the Security Register. All notices of redemption shall state:</w:t>
      </w:r>
    </w:p>
    <w:p>
      <w:pPr>
        <w:spacing w:after="0" w:line="149" w:lineRule="exact"/>
        <w:rPr>
          <w:sz w:val="20"/>
          <w:szCs w:val="20"/>
          <w:color w:val="auto"/>
        </w:rPr>
      </w:pPr>
    </w:p>
    <w:p>
      <w:pPr>
        <w:ind w:left="1540" w:hanging="236"/>
        <w:spacing w:after="0"/>
        <w:tabs>
          <w:tab w:leader="none" w:pos="1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firstLine="644"/>
        <w:spacing w:after="0" w:line="277" w:lineRule="auto"/>
        <w:tabs>
          <w:tab w:leader="none" w:pos="15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respective principal amounts) of the Securities to be redeemed;</w:t>
      </w:r>
    </w:p>
    <w:p>
      <w:pPr>
        <w:spacing w:after="0" w:line="170" w:lineRule="exact"/>
        <w:rPr>
          <w:rFonts w:ascii="Arial" w:cs="Arial" w:eastAsia="Arial" w:hAnsi="Arial"/>
          <w:sz w:val="18"/>
          <w:szCs w:val="18"/>
          <w:color w:val="auto"/>
        </w:rPr>
      </w:pPr>
    </w:p>
    <w:p>
      <w:pPr>
        <w:ind w:left="660" w:firstLine="644"/>
        <w:spacing w:after="0" w:line="277" w:lineRule="auto"/>
        <w:tabs>
          <w:tab w:leader="none" w:pos="15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and that interest, if any, thereon shall cease to accrue from and after said date;</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5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place where such Securities are to be surrendered for payment of the Redemption Price, which shall be the office or agency of the Company in the Place of Payment;</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 redemption is on account of a sinking or purchase fund, or other analogous obligation, if that be the case;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5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such Securities are convertible into Common Stock or other securities, the Conversion Price or other conversion price and the date on which the right to convert such Securities into Common Stock or other securities will terminate;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660" w:firstLine="644"/>
        <w:spacing w:after="0" w:line="277" w:lineRule="auto"/>
        <w:tabs>
          <w:tab w:leader="none" w:pos="15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that the redemption may be rescinded by the Company, at its sole option, pursuant to Section 11.09 of this Indenture upon the occurrence of a Redemption Rescission Event.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provided that if the Trustee is asked to give such notice it shall be given at least five Business Days prior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prior to any Redemption Date and subject to Section 11.09, the Company shall deposit with the Trustee or with a Paying Agent (or, if the Company is acting as its own Paying Agent, segregate and hold in trust as provided in Section 10.03) an amount of money sufficient to pay the Redemption Price of all the Securities which are to be redeemed on that date. If any Security to be redeemed is converted into Common Stock or other securities, any money so deposited with the Trustee or a Paying Agent shall be paid to the Company upon Company Request or, if then so segregated and held in trust by the Company, shall be discharged from such trust.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 Notice of redemption having been given as aforesaid, the Securities so to be redeemed shall, subject to Section 11.09, on the Redemption Date, become due and payable at the Redemption Price therein specified and from and after such date (unless the Company shall default in the payment of the Redemption Price) such Securities shall cease to bear interest and any rights to convert such Securities shall terminate. Upon surrender of such Securities for redemption in accordance with the notice and subject to Section 11.09, such Securities shall be paid by the Company at the Redemption Price. Unless otherwise provided with respect to such Securities pursuant to Section 3.01, installments of interest the Stated Maturity of which is on or prior to the Redemption Date shall be payable to the Holders of such Securities registered as such on the relevant Regular Record Dates according to their terms and the provisions of Section 3.07.If any Security called for redemption shall not be so paid upon surrender thereof for redemption, the principal shall, until paid, bear interest from the Redemption Date at the rate borne by the Security, or as otherwise provided in such Security.</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Security which is to be redeemed only in part shall be surrendered at the office or agency of the Company in the Place of Payment with respect to that series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Stated Maturity and of like tenor and terms, of any authorized denomination as requested by such Holder in aggregate principal amount equal to and in exchange for the unredeemed portion of the principal of the Security so surrendered.</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Provisions with Respect to Any Sinking Funds</w:t>
      </w:r>
      <w:r>
        <w:rPr>
          <w:rFonts w:ascii="Arial" w:cs="Arial" w:eastAsia="Arial" w:hAnsi="Arial"/>
          <w:sz w:val="16"/>
          <w:szCs w:val="16"/>
          <w:color w:val="auto"/>
        </w:rPr>
        <w:t>. Unless the form or terms of any series of Securities shall provide otherwise, in lieu of making all or any part of any mandatory sinking fund payment with respect to such series of Securities in cash, the Company may at its option (1) deliver to the Trustee for cancellation any Securities of such series theretofore acquired by the Company or converted by the Holder thereof into Common Stock or other securities, or (2) receive credit for any Securities of such series (not previously so credited) acquired by the Company (including by way of optional redemption (pursuant to the sinking fund or otherwise but not by way of mandatory sinking fund redemption)) or converted by the Holder thereof into Common Stock or other securities and theretofore delivered to the Trustee for cancellation, and if it does so then (i) Securities so delivered or credited shall be credited at the applicable sinking fund Redemption Price with respect to Securities of such series, and (ii) on or before the 60th day next preceding each sinking fund Redemption Date with respect to such series of Securities, the Company will deliver to the Trustee (A) an Officers’ Certificate specifying the portions of such sinking fund payment to be satisfied by payment of cash and by delivery or credit of Securities of such series acquired by the Company or converted by the Holder thereof, and (B) such Securities, to the extent not previously surrendered. Such Officers’ Certificate shall also state the basis for such credit and that the Securities for which the Company elects to receive credit have not been previously so credited and were not acquired by the Company through operation of the mandatory sinking fund, if any, provided with respect to such Securities and shall also state that no Event of Default with respect to Securities of such series has occurred and is continuing. All Securities so delivered to the Trustee shall be canceled by the Trustee and no Securities shall be authenticated in lieu thereof.If the sinking fund payment or payments (mandatory or optional) with respect to any series of Securities made in cash plus any unused balance of any preceding sinking fund payments with respect to Securities of such series made in cash shall exceed $50,000 (or a lesser sum if the Company shall so request), unless otherwise provided by the terms of such series of Securities, that cash shall be applied by the Trustee on the sinking fund Redemption Date with respect to Securities of such series next following the date of such payment to the redemption of Securities of such series at the applicable sinking fund Redemption Price with respect to Securities of such series, together with accrued interest, if any, to the date fixed for redemption, with the effect provided in Section 11.06. The Trustee shall select, in the manner provided in Section 11.03, for redemption on such sinking fund Redemption Date a sufficient principal amount of Securities of such series to utilize that cash and shall thereupon cause notice of redemption of the Securities of such series for the sinking fund to be given in the manner provided in Section 11.04 (and with the effect provided in Section 11.06) for the redemption of Securities in part at the option of the Company. Any sinking fund moneys not so applied or allocated by the Trustee to the redemption of Securities of such series shall be added to the next cash sinking fund payment with respect to Securities of such series received by the Trustee and, together with such payment, shall be applied in accordance with the provisions of this Section 11.08. Any and all sinking fund moneys with respect to Securities of any series held by the Trustee at the Maturity of Securities of such series, and not held for the payment or redemption of particular Securities of such series, shall be applied by the Trustee, together with other moneys, if necessary, to be deposited sufficient for the purpose, to the payment of the principal of the Securities of such series at Maturity.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648"/>
        <w:spacing w:after="0" w:line="263" w:lineRule="auto"/>
        <w:rPr>
          <w:sz w:val="20"/>
          <w:szCs w:val="20"/>
          <w:color w:val="auto"/>
        </w:rPr>
      </w:pPr>
      <w:r>
        <w:rPr>
          <w:rFonts w:ascii="Arial" w:cs="Arial" w:eastAsia="Arial" w:hAnsi="Arial"/>
          <w:sz w:val="18"/>
          <w:szCs w:val="18"/>
          <w:color w:val="auto"/>
        </w:rPr>
        <w:t>On or before each sinking fund Redemption Date provided with respect to Securities of any series, the Company shall pay to the Trustee in cash a sum equal to all accrued interest, if any, to the date fixed for redemption on Securities to be redeemed on such sinking fund Redemption Date pursuant to this Section 11.08.</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Rescission of Redemption</w:t>
      </w:r>
      <w:r>
        <w:rPr>
          <w:rFonts w:ascii="Arial" w:cs="Arial" w:eastAsia="Arial" w:hAnsi="Arial"/>
          <w:sz w:val="16"/>
          <w:szCs w:val="16"/>
          <w:color w:val="auto"/>
        </w:rPr>
        <w:t>. In the event that this Section 11.09 is specified to be applicable to a series of Securities pursuant to Section 3.01 and a Redemption Rescission Event shall occur following any day on which a notice of redemption shall have been given pursuant to Section 11.04 hereof but at or prior to the time and date fixed for redemption as set forth in such notice of redemption, the Company may, at its sole option, at any time prior to the earlier of (i) the close of business on that day which is two Trading Days following such Redemption Rescission Event and (ii) the time and date fixed for redemption as set forth in such notice, rescind the redemption to which such notice of redemption shall have related by making a public announcement of such rescission (the date on which such public announcement shall have been made being hereinafter referred to as the “Rescission Date”). The Company shall be deemed to have made such announcement if it shall issue a release to the Dow Jones News Service, Reuters Information Services or any successor news wire service. From and after the making of such announcement, the Company shall have no obligation to redeem Securities called for redemption pursuant to such notice of redemption or to pay the Redemption Price therefor and all rights of Holders of Securities shall be restored as if such notice of redemption had not been given. As promptly as practicable following the making of such announcement, the Company shall telephonically notify the Trustee and the Paying Agent of such rescission. The Company shall give notice of any such rescission by first-class mail, postage prepaid, mailed as promptly as practicable but in no event later than the close of business on that day which is five Trading Days following the Rescission Date to each Holder of Securities at the close of business on the Rescission Date and to the Trustee and the Paying Agent. Each notice of rescission shall</w:t>
      </w:r>
    </w:p>
    <w:p>
      <w:pPr>
        <w:spacing w:after="0" w:line="2" w:lineRule="exact"/>
        <w:rPr>
          <w:sz w:val="20"/>
          <w:szCs w:val="20"/>
          <w:color w:val="auto"/>
        </w:rPr>
      </w:pPr>
    </w:p>
    <w:p>
      <w:pPr>
        <w:jc w:val="both"/>
        <w:ind w:firstLine="8"/>
        <w:spacing w:after="0" w:line="255"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state that the redemption described in the notice of redemption has been rescinded and (B) state that such form must be properly completed and received by the Company no later than the close of business on a date that shall be 15 Trading Days following the date of the mailing of such notice of rescission.</w:t>
      </w:r>
    </w:p>
    <w:p>
      <w:pPr>
        <w:spacing w:after="0" w:line="19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Guarantees</w:t>
      </w:r>
      <w:r>
        <w:rPr>
          <w:rFonts w:ascii="Arial" w:cs="Arial" w:eastAsia="Arial" w:hAnsi="Arial"/>
          <w:sz w:val="17"/>
          <w:szCs w:val="17"/>
          <w:color w:val="auto"/>
        </w:rPr>
        <w:t>. Any series of Securities may be guaranteed by one or more of the Subsidiaries of the Company or other Persons. The terms and the form of any such Guarantee will be established in the manner contemplated by Section 3.01 for the particular series of Securities. Each Guarantor, as primary obligor and not merely as surety, will fully, irrevocably and unconditionally guarantee, to each Holder of Securities (including each Holder of Securities issued under the Indenture after the date of this Indenture) and to the Trustee and its successors and assigns (i) the full and punctual payment of principal of and interest on the Securities when due, whether at maturity, by acceleration, by redemption or otherwise, and all other monetary obligations of the Company under this Indenture (including obligations to the Trustee) and the Securities and (ii) the full and punctual performance within applicable grace periods of all other obligations of the Company under this Indenture and the Securities.</w:t>
      </w:r>
    </w:p>
    <w:p>
      <w:pPr>
        <w:spacing w:after="0" w:line="177" w:lineRule="exact"/>
        <w:rPr>
          <w:sz w:val="20"/>
          <w:szCs w:val="20"/>
          <w:color w:val="auto"/>
        </w:rPr>
      </w:pPr>
    </w:p>
    <w:p>
      <w:pPr>
        <w:jc w:val="both"/>
        <w:ind w:left="660" w:firstLine="644"/>
        <w:spacing w:after="0" w:line="257" w:lineRule="auto"/>
        <w:tabs>
          <w:tab w:leader="none" w:pos="1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the Guarantors further agrees that its obligations hereunder shall be unconditional irrespective of the absence or existence of any action to enforce the same, the recovery of any judgment against the Company or any other Guarantor (except to the extent such judgment is paid) or any waiver or amendment of the provisions of this Indenture or the Securities to the extent that any such action or any similar action would otherwise constitute a legal or equitable discharge or defense of a guarantor (except that each such waiver or amendment shall be effective in accordance with its terms).</w:t>
      </w:r>
    </w:p>
    <w:p>
      <w:pPr>
        <w:spacing w:after="0" w:line="187"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the Guarantors further agrees that each Guarantee constitutes a guarantee of payment, performance and compliance and not merely of collection.</w:t>
      </w:r>
    </w:p>
    <w:p>
      <w:pPr>
        <w:spacing w:after="0" w:line="170" w:lineRule="exact"/>
        <w:rPr>
          <w:rFonts w:ascii="Arial" w:cs="Arial" w:eastAsia="Arial" w:hAnsi="Arial"/>
          <w:sz w:val="18"/>
          <w:szCs w:val="18"/>
          <w:color w:val="auto"/>
        </w:rPr>
      </w:pPr>
    </w:p>
    <w:p>
      <w:pPr>
        <w:jc w:val="both"/>
        <w:ind w:left="660" w:firstLine="644"/>
        <w:spacing w:after="0" w:line="275" w:lineRule="auto"/>
        <w:tabs>
          <w:tab w:leader="none" w:pos="1566"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of the Guarantors further agrees to waive presentment to, demand of payment from and protest to the Company or any other Person, and also waives diligence, notice of acceptance of its Guarantee, presentment, demand for payment, notice of protest for nonpayment, the filing of claims with a court in the event of merger, amalgamatio or bankruptcy of the Company or any other Person and any right to require a proceeding first against the Company or any other Person. The obligations of the Guarantors shall not be affected by any failure or policy on the part of the Trustee to exercise any right or remedy under this Indenture or the Securities of any series.</w:t>
      </w:r>
    </w:p>
    <w:p>
      <w:pPr>
        <w:spacing w:after="0" w:line="176" w:lineRule="exact"/>
        <w:rPr>
          <w:rFonts w:ascii="Arial" w:cs="Arial" w:eastAsia="Arial" w:hAnsi="Arial"/>
          <w:sz w:val="17"/>
          <w:szCs w:val="17"/>
          <w:color w:val="auto"/>
        </w:rPr>
      </w:pPr>
    </w:p>
    <w:p>
      <w:pPr>
        <w:jc w:val="both"/>
        <w:ind w:left="660" w:firstLine="644"/>
        <w:spacing w:after="0" w:line="257" w:lineRule="auto"/>
        <w:tabs>
          <w:tab w:leader="none" w:pos="15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obligation of each Guarantor to make any payment hereunder may be satisfied by causing the Company or any other Person to make such payment. If any Holder of any Security or the Trustee is required by any court or otherwise to return to the Company or any Guarantor, or any custodian, trustee, liquidator or other similar official acting in relation to any of the Company or any Guarantor, any amount paid by any of them to the Trustee or such Holder, the Guarantee of such Guarantor, to the extent theretofore discharged, shall be reinstated in full force and effect.</w:t>
      </w:r>
    </w:p>
    <w:p>
      <w:pPr>
        <w:spacing w:after="0" w:line="187" w:lineRule="exact"/>
        <w:rPr>
          <w:rFonts w:ascii="Arial" w:cs="Arial" w:eastAsia="Arial" w:hAnsi="Arial"/>
          <w:sz w:val="18"/>
          <w:szCs w:val="18"/>
          <w:color w:val="auto"/>
        </w:rPr>
      </w:pPr>
    </w:p>
    <w:p>
      <w:pPr>
        <w:ind w:left="660" w:firstLine="644"/>
        <w:spacing w:after="0" w:line="277" w:lineRule="auto"/>
        <w:tabs>
          <w:tab w:leader="none" w:pos="15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Guarantor also agrees to pay any and all reasonable costs and expenses (including reasonable attorneys’ fees) incurred by the Trustee or any Holder of Securities in enforcing any of their respective rights under its Guarantees.</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6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term or provision of this Indenture to the contrary notwithstanding, the maximum aggregate amount of each of the Guarantees shall not exceed the maximum amount that can be guaranteed by the relevant Guarantor without rendering the relevant Guarantee under this Indenture voidable under applicable law relating to fraudulent conveyance or fraudulent transfer or similar laws affecting the rights of creditors generally.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25457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23495</wp:posOffset>
            </wp:positionV>
            <wp:extent cx="25457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2545715" cy="1714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-130175</wp:posOffset>
            </wp:positionV>
            <wp:extent cx="25457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[TRUSTEE],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25457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23495</wp:posOffset>
            </wp:positionV>
            <wp:extent cx="25457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2545715" cy="1714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-130175</wp:posOffset>
            </wp:positionV>
            <wp:extent cx="25457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908" w:right="1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7.2</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BITFARMS LTD.</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_________, ___</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Providing for Issuance of Subordinated Debt Securities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2912110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854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15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15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5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1.02</w:t>
            </w:r>
          </w:p>
        </w:tc>
        <w:tc>
          <w:tcPr>
            <w:tcW w:w="8540" w:type="dxa"/>
            <w:vAlign w:val="bottom"/>
          </w:tcPr>
          <w:p>
            <w:pPr>
              <w:ind w:left="340"/>
              <w:spacing w:after="0"/>
              <w:rPr>
                <w:sz w:val="20"/>
                <w:szCs w:val="20"/>
                <w:color w:val="auto"/>
              </w:rPr>
            </w:pPr>
            <w:r>
              <w:rPr>
                <w:rFonts w:ascii="Arial" w:cs="Arial" w:eastAsia="Arial" w:hAnsi="Arial"/>
                <w:sz w:val="18"/>
                <w:szCs w:val="18"/>
                <w:color w:val="auto"/>
              </w:rPr>
              <w:t>Compliance Certificates and Opinions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1.03</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Form of Documents Delivered to Trustee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1.04</w:t>
            </w:r>
          </w:p>
        </w:tc>
        <w:tc>
          <w:tcPr>
            <w:tcW w:w="8540" w:type="dxa"/>
            <w:vAlign w:val="bottom"/>
          </w:tcPr>
          <w:p>
            <w:pPr>
              <w:ind w:left="340"/>
              <w:spacing w:after="0"/>
              <w:rPr>
                <w:sz w:val="20"/>
                <w:szCs w:val="20"/>
                <w:color w:val="auto"/>
              </w:rPr>
            </w:pPr>
            <w:r>
              <w:rPr>
                <w:rFonts w:ascii="Arial" w:cs="Arial" w:eastAsia="Arial" w:hAnsi="Arial"/>
                <w:sz w:val="18"/>
                <w:szCs w:val="18"/>
                <w:color w:val="auto"/>
              </w:rPr>
              <w:t>Acts of Securityholders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1.05</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Notices, Etc., to Trustee and Company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1.06</w:t>
            </w:r>
          </w:p>
        </w:tc>
        <w:tc>
          <w:tcPr>
            <w:tcW w:w="8540" w:type="dxa"/>
            <w:vAlign w:val="bottom"/>
          </w:tcPr>
          <w:p>
            <w:pPr>
              <w:ind w:left="340"/>
              <w:spacing w:after="0"/>
              <w:rPr>
                <w:sz w:val="20"/>
                <w:szCs w:val="20"/>
                <w:color w:val="auto"/>
              </w:rPr>
            </w:pPr>
            <w:r>
              <w:rPr>
                <w:rFonts w:ascii="Arial" w:cs="Arial" w:eastAsia="Arial" w:hAnsi="Arial"/>
                <w:sz w:val="18"/>
                <w:szCs w:val="18"/>
                <w:color w:val="auto"/>
              </w:rPr>
              <w:t>Notices to Securityholders; Waiver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1.07</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Conflict with Trust Indenture Act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1.08</w:t>
            </w:r>
          </w:p>
        </w:tc>
        <w:tc>
          <w:tcPr>
            <w:tcW w:w="8540" w:type="dxa"/>
            <w:vAlign w:val="bottom"/>
          </w:tcPr>
          <w:p>
            <w:pPr>
              <w:ind w:left="340"/>
              <w:spacing w:after="0"/>
              <w:rPr>
                <w:sz w:val="20"/>
                <w:szCs w:val="20"/>
                <w:color w:val="auto"/>
              </w:rPr>
            </w:pPr>
            <w:r>
              <w:rPr>
                <w:rFonts w:ascii="Arial" w:cs="Arial" w:eastAsia="Arial" w:hAnsi="Arial"/>
                <w:sz w:val="18"/>
                <w:szCs w:val="18"/>
                <w:color w:val="auto"/>
              </w:rPr>
              <w:t>Effect of Headings and Table of Contents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1.09</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Successors and Assigns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1.10</w:t>
            </w:r>
          </w:p>
        </w:tc>
        <w:tc>
          <w:tcPr>
            <w:tcW w:w="8540" w:type="dxa"/>
            <w:vAlign w:val="bottom"/>
          </w:tcPr>
          <w:p>
            <w:pPr>
              <w:ind w:left="340"/>
              <w:spacing w:after="0"/>
              <w:rPr>
                <w:sz w:val="20"/>
                <w:szCs w:val="20"/>
                <w:color w:val="auto"/>
              </w:rPr>
            </w:pPr>
            <w:r>
              <w:rPr>
                <w:rFonts w:ascii="Arial" w:cs="Arial" w:eastAsia="Arial" w:hAnsi="Arial"/>
                <w:sz w:val="18"/>
                <w:szCs w:val="18"/>
                <w:color w:val="auto"/>
              </w:rPr>
              <w:t>Separability Clause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of Indenture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1.12</w:t>
            </w:r>
          </w:p>
        </w:tc>
        <w:tc>
          <w:tcPr>
            <w:tcW w:w="854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1.13</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Counterparts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1.14</w:t>
            </w:r>
          </w:p>
        </w:tc>
        <w:tc>
          <w:tcPr>
            <w:tcW w:w="8540" w:type="dxa"/>
            <w:vAlign w:val="bottom"/>
          </w:tcPr>
          <w:p>
            <w:pPr>
              <w:ind w:left="340"/>
              <w:spacing w:after="0"/>
              <w:rPr>
                <w:sz w:val="20"/>
                <w:szCs w:val="20"/>
                <w:color w:val="auto"/>
              </w:rPr>
            </w:pPr>
            <w:r>
              <w:rPr>
                <w:rFonts w:ascii="Arial" w:cs="Arial" w:eastAsia="Arial" w:hAnsi="Arial"/>
                <w:sz w:val="18"/>
                <w:szCs w:val="18"/>
                <w:color w:val="auto"/>
              </w:rPr>
              <w:t>Judgment Currency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1.15</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Legal Holidays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1.16</w:t>
            </w:r>
          </w:p>
        </w:tc>
        <w:tc>
          <w:tcPr>
            <w:tcW w:w="8540" w:type="dxa"/>
            <w:vAlign w:val="bottom"/>
          </w:tcPr>
          <w:p>
            <w:pPr>
              <w:ind w:left="340"/>
              <w:spacing w:after="0"/>
              <w:rPr>
                <w:sz w:val="20"/>
                <w:szCs w:val="20"/>
                <w:color w:val="auto"/>
              </w:rPr>
            </w:pPr>
            <w:r>
              <w:rPr>
                <w:rFonts w:ascii="Arial" w:cs="Arial" w:eastAsia="Arial" w:hAnsi="Arial"/>
                <w:sz w:val="18"/>
                <w:szCs w:val="18"/>
                <w:color w:val="auto"/>
              </w:rPr>
              <w:t>Agent for Service; Submission to Jurisdiction; Waiver of Immunities and Jury Trial</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58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2.01</w:t>
            </w:r>
          </w:p>
        </w:tc>
        <w:tc>
          <w:tcPr>
            <w:tcW w:w="8540" w:type="dxa"/>
            <w:vAlign w:val="bottom"/>
          </w:tcPr>
          <w:p>
            <w:pPr>
              <w:ind w:left="340"/>
              <w:spacing w:after="0"/>
              <w:rPr>
                <w:sz w:val="20"/>
                <w:szCs w:val="20"/>
                <w:color w:val="auto"/>
              </w:rPr>
            </w:pPr>
            <w:r>
              <w:rPr>
                <w:rFonts w:ascii="Arial" w:cs="Arial" w:eastAsia="Arial" w:hAnsi="Arial"/>
                <w:sz w:val="18"/>
                <w:szCs w:val="18"/>
                <w:color w:val="auto"/>
              </w:rPr>
              <w:t>Forms Generally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2.02</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Forms of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2.03</w:t>
            </w:r>
          </w:p>
        </w:tc>
        <w:tc>
          <w:tcPr>
            <w:tcW w:w="8540" w:type="dxa"/>
            <w:vAlign w:val="bottom"/>
          </w:tcPr>
          <w:p>
            <w:pPr>
              <w:ind w:left="340"/>
              <w:spacing w:after="0"/>
              <w:rPr>
                <w:sz w:val="20"/>
                <w:szCs w:val="20"/>
                <w:color w:val="auto"/>
              </w:rPr>
            </w:pPr>
            <w:r>
              <w:rPr>
                <w:rFonts w:ascii="Arial" w:cs="Arial" w:eastAsia="Arial" w:hAnsi="Arial"/>
                <w:sz w:val="18"/>
                <w:szCs w:val="18"/>
                <w:color w:val="auto"/>
              </w:rPr>
              <w:t>Form of Trustee’s Certificate of Authentication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2.04</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Issuable in the Form of a Global Security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THE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5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Title; General Limitations; Issuable in Series; Terms of Particular Series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3.02</w:t>
            </w:r>
          </w:p>
        </w:tc>
        <w:tc>
          <w:tcPr>
            <w:tcW w:w="8540" w:type="dxa"/>
            <w:vAlign w:val="bottom"/>
          </w:tcPr>
          <w:p>
            <w:pPr>
              <w:ind w:left="340"/>
              <w:spacing w:after="0"/>
              <w:rPr>
                <w:sz w:val="20"/>
                <w:szCs w:val="20"/>
                <w:color w:val="auto"/>
              </w:rPr>
            </w:pPr>
            <w:r>
              <w:rPr>
                <w:rFonts w:ascii="Arial" w:cs="Arial" w:eastAsia="Arial" w:hAnsi="Arial"/>
                <w:sz w:val="18"/>
                <w:szCs w:val="18"/>
                <w:color w:val="auto"/>
              </w:rPr>
              <w:t>Denominations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3.03</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Execution, Authentication and Delivery and Dating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3.04</w:t>
            </w:r>
          </w:p>
        </w:tc>
        <w:tc>
          <w:tcPr>
            <w:tcW w:w="8540" w:type="dxa"/>
            <w:vAlign w:val="bottom"/>
          </w:tcPr>
          <w:p>
            <w:pPr>
              <w:ind w:left="340"/>
              <w:spacing w:after="0"/>
              <w:rPr>
                <w:sz w:val="20"/>
                <w:szCs w:val="20"/>
                <w:color w:val="auto"/>
              </w:rPr>
            </w:pPr>
            <w:r>
              <w:rPr>
                <w:rFonts w:ascii="Arial" w:cs="Arial" w:eastAsia="Arial" w:hAnsi="Arial"/>
                <w:sz w:val="18"/>
                <w:szCs w:val="18"/>
                <w:color w:val="auto"/>
              </w:rPr>
              <w:t>Temporary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3.05</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Registration, Transfer and Exchange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3.06</w:t>
            </w:r>
          </w:p>
        </w:tc>
        <w:tc>
          <w:tcPr>
            <w:tcW w:w="8540" w:type="dxa"/>
            <w:vAlign w:val="bottom"/>
          </w:tcPr>
          <w:p>
            <w:pPr>
              <w:ind w:left="340"/>
              <w:spacing w:after="0"/>
              <w:rPr>
                <w:sz w:val="20"/>
                <w:szCs w:val="20"/>
                <w:color w:val="auto"/>
              </w:rPr>
            </w:pPr>
            <w:r>
              <w:rPr>
                <w:rFonts w:ascii="Arial" w:cs="Arial" w:eastAsia="Arial" w:hAnsi="Arial"/>
                <w:sz w:val="18"/>
                <w:szCs w:val="18"/>
                <w:color w:val="auto"/>
              </w:rPr>
              <w:t>Mutilated, Destroyed, Lost and Stolen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3.07</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Interest; Interest Rights Preserved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3.08</w:t>
            </w:r>
          </w:p>
        </w:tc>
        <w:tc>
          <w:tcPr>
            <w:tcW w:w="8540" w:type="dxa"/>
            <w:vAlign w:val="bottom"/>
          </w:tcPr>
          <w:p>
            <w:pPr>
              <w:ind w:left="340"/>
              <w:spacing w:after="0"/>
              <w:rPr>
                <w:sz w:val="20"/>
                <w:szCs w:val="20"/>
                <w:color w:val="auto"/>
              </w:rPr>
            </w:pPr>
            <w:r>
              <w:rPr>
                <w:rFonts w:ascii="Arial" w:cs="Arial" w:eastAsia="Arial" w:hAnsi="Arial"/>
                <w:sz w:val="18"/>
                <w:szCs w:val="18"/>
                <w:color w:val="auto"/>
              </w:rPr>
              <w:t>Persons Deemed Owners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3.09</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rPr>
              <w:t>Section 3.10</w:t>
            </w:r>
          </w:p>
        </w:tc>
        <w:tc>
          <w:tcPr>
            <w:tcW w:w="8540" w:type="dxa"/>
            <w:vAlign w:val="bottom"/>
          </w:tcPr>
          <w:p>
            <w:pPr>
              <w:ind w:left="340"/>
              <w:spacing w:after="0"/>
              <w:rPr>
                <w:sz w:val="20"/>
                <w:szCs w:val="20"/>
                <w:color w:val="auto"/>
              </w:rPr>
            </w:pPr>
            <w:r>
              <w:rPr>
                <w:rFonts w:ascii="Arial" w:cs="Arial" w:eastAsia="Arial" w:hAnsi="Arial"/>
                <w:sz w:val="18"/>
                <w:szCs w:val="18"/>
                <w:color w:val="auto"/>
              </w:rPr>
              <w:t>CUSIP and CINS Numbers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3.11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Computation of Interest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rPr>
              <w:t>Section 3.12</w:t>
            </w:r>
          </w:p>
        </w:tc>
        <w:tc>
          <w:tcPr>
            <w:tcW w:w="8540" w:type="dxa"/>
            <w:vAlign w:val="bottom"/>
          </w:tcPr>
          <w:p>
            <w:pPr>
              <w:ind w:left="340"/>
              <w:spacing w:after="0"/>
              <w:rPr>
                <w:sz w:val="20"/>
                <w:szCs w:val="20"/>
                <w:color w:val="auto"/>
              </w:rPr>
            </w:pPr>
            <w:r>
              <w:rPr>
                <w:rFonts w:ascii="Arial" w:cs="Arial" w:eastAsia="Arial" w:hAnsi="Arial"/>
                <w:sz w:val="18"/>
                <w:szCs w:val="18"/>
                <w:color w:val="auto"/>
              </w:rPr>
              <w:t>Delayed Issuance of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641"/>
        </w:trPr>
        <w:tc>
          <w:tcPr>
            <w:tcW w:w="158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SATISFACTION AND DISCHARGE; DEFEASANCE</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4.01</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4.02</w:t>
            </w:r>
          </w:p>
        </w:tc>
        <w:tc>
          <w:tcPr>
            <w:tcW w:w="7480" w:type="dxa"/>
            <w:vAlign w:val="bottom"/>
          </w:tcPr>
          <w:p>
            <w:pPr>
              <w:ind w:left="140"/>
              <w:spacing w:after="0"/>
              <w:rPr>
                <w:sz w:val="20"/>
                <w:szCs w:val="20"/>
                <w:color w:val="auto"/>
              </w:rPr>
            </w:pPr>
            <w:r>
              <w:rPr>
                <w:rFonts w:ascii="Arial" w:cs="Arial" w:eastAsia="Arial" w:hAnsi="Arial"/>
                <w:sz w:val="18"/>
                <w:szCs w:val="18"/>
                <w:color w:val="auto"/>
              </w:rPr>
              <w:t>Application of Trust Money</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4.03</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Defeasance Upon Deposit of Funds or Government Obligations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4.04</w:t>
            </w:r>
          </w:p>
        </w:tc>
        <w:tc>
          <w:tcPr>
            <w:tcW w:w="748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Article V. REMEDIES</w:t>
            </w:r>
          </w:p>
        </w:tc>
        <w:tc>
          <w:tcPr>
            <w:tcW w:w="7480" w:type="dxa"/>
            <w:vAlign w:val="bottom"/>
          </w:tcPr>
          <w:p>
            <w:pPr>
              <w:spacing w:after="0"/>
              <w:rPr>
                <w:sz w:val="18"/>
                <w:szCs w:val="18"/>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5.01</w:t>
            </w:r>
          </w:p>
        </w:tc>
        <w:tc>
          <w:tcPr>
            <w:tcW w:w="748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5.02</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Acceleration of Maturity; Rescission and Annulment</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5.03</w:t>
            </w:r>
          </w:p>
        </w:tc>
        <w:tc>
          <w:tcPr>
            <w:tcW w:w="7480" w:type="dxa"/>
            <w:vAlign w:val="bottom"/>
          </w:tcPr>
          <w:p>
            <w:pPr>
              <w:ind w:left="140"/>
              <w:spacing w:after="0"/>
              <w:rPr>
                <w:sz w:val="20"/>
                <w:szCs w:val="20"/>
                <w:color w:val="auto"/>
              </w:rPr>
            </w:pPr>
            <w:r>
              <w:rPr>
                <w:rFonts w:ascii="Arial" w:cs="Arial" w:eastAsia="Arial" w:hAnsi="Arial"/>
                <w:sz w:val="18"/>
                <w:szCs w:val="18"/>
                <w:color w:val="auto"/>
              </w:rPr>
              <w:t>Collection of Indebtedness and Suits for Enforcement by Trustee</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5.04</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Trustee May File Proofs of Claim</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5.05</w:t>
            </w:r>
          </w:p>
        </w:tc>
        <w:tc>
          <w:tcPr>
            <w:tcW w:w="7480" w:type="dxa"/>
            <w:vAlign w:val="bottom"/>
          </w:tcPr>
          <w:p>
            <w:pPr>
              <w:ind w:left="140"/>
              <w:spacing w:after="0"/>
              <w:rPr>
                <w:sz w:val="20"/>
                <w:szCs w:val="20"/>
                <w:color w:val="auto"/>
              </w:rPr>
            </w:pPr>
            <w:r>
              <w:rPr>
                <w:rFonts w:ascii="Arial" w:cs="Arial" w:eastAsia="Arial" w:hAnsi="Arial"/>
                <w:sz w:val="18"/>
                <w:szCs w:val="18"/>
                <w:color w:val="auto"/>
              </w:rPr>
              <w:t>Trustee May Enforce Claims Without Possession of Securities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5.06</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Application of Money Collected</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5.07</w:t>
            </w:r>
          </w:p>
        </w:tc>
        <w:tc>
          <w:tcPr>
            <w:tcW w:w="748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5.08</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Unconditional Right of Securityholders to Receive Principal, Premium and Interest</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5.09</w:t>
            </w:r>
          </w:p>
        </w:tc>
        <w:tc>
          <w:tcPr>
            <w:tcW w:w="7480" w:type="dxa"/>
            <w:vAlign w:val="bottom"/>
          </w:tcPr>
          <w:p>
            <w:pPr>
              <w:ind w:left="140"/>
              <w:spacing w:after="0"/>
              <w:rPr>
                <w:sz w:val="20"/>
                <w:szCs w:val="20"/>
                <w:color w:val="auto"/>
              </w:rPr>
            </w:pPr>
            <w:r>
              <w:rPr>
                <w:rFonts w:ascii="Arial" w:cs="Arial" w:eastAsia="Arial" w:hAnsi="Arial"/>
                <w:sz w:val="18"/>
                <w:szCs w:val="18"/>
                <w:color w:val="auto"/>
              </w:rPr>
              <w:t>Restoration of Rights and Remedies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5.10</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Rights and Remedies Cumulative</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5.11</w:t>
            </w:r>
          </w:p>
        </w:tc>
        <w:tc>
          <w:tcPr>
            <w:tcW w:w="7480" w:type="dxa"/>
            <w:vAlign w:val="bottom"/>
          </w:tcPr>
          <w:p>
            <w:pPr>
              <w:ind w:left="140"/>
              <w:spacing w:after="0"/>
              <w:rPr>
                <w:sz w:val="20"/>
                <w:szCs w:val="20"/>
                <w:color w:val="auto"/>
              </w:rPr>
            </w:pPr>
            <w:r>
              <w:rPr>
                <w:rFonts w:ascii="Arial" w:cs="Arial" w:eastAsia="Arial" w:hAnsi="Arial"/>
                <w:sz w:val="18"/>
                <w:szCs w:val="18"/>
                <w:color w:val="auto"/>
              </w:rPr>
              <w:t>Delay or Omission Not Waiver</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5.12</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 by Securityholders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5.13</w:t>
            </w:r>
          </w:p>
        </w:tc>
        <w:tc>
          <w:tcPr>
            <w:tcW w:w="7480" w:type="dxa"/>
            <w:vAlign w:val="bottom"/>
          </w:tcPr>
          <w:p>
            <w:pPr>
              <w:ind w:left="140"/>
              <w:spacing w:after="0"/>
              <w:rPr>
                <w:sz w:val="20"/>
                <w:szCs w:val="20"/>
                <w:color w:val="auto"/>
              </w:rPr>
            </w:pPr>
            <w:r>
              <w:rPr>
                <w:rFonts w:ascii="Arial" w:cs="Arial" w:eastAsia="Arial" w:hAnsi="Arial"/>
                <w:sz w:val="18"/>
                <w:szCs w:val="18"/>
                <w:color w:val="auto"/>
              </w:rPr>
              <w:t>Waiver of Past Defaults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5.14</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Undertaking for Costs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5.15</w:t>
            </w:r>
          </w:p>
        </w:tc>
        <w:tc>
          <w:tcPr>
            <w:tcW w:w="7480" w:type="dxa"/>
            <w:vAlign w:val="bottom"/>
          </w:tcPr>
          <w:p>
            <w:pPr>
              <w:ind w:left="140"/>
              <w:spacing w:after="0"/>
              <w:rPr>
                <w:sz w:val="20"/>
                <w:szCs w:val="20"/>
                <w:color w:val="auto"/>
              </w:rPr>
            </w:pPr>
            <w:r>
              <w:rPr>
                <w:rFonts w:ascii="Arial" w:cs="Arial" w:eastAsia="Arial" w:hAnsi="Arial"/>
                <w:sz w:val="18"/>
                <w:szCs w:val="18"/>
                <w:color w:val="auto"/>
              </w:rPr>
              <w:t>Waiver of Stay or Extension Laws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926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 THE TRUSTEE</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17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6.01</w:t>
            </w:r>
          </w:p>
        </w:tc>
        <w:tc>
          <w:tcPr>
            <w:tcW w:w="7480" w:type="dxa"/>
            <w:vAlign w:val="bottom"/>
          </w:tcPr>
          <w:p>
            <w:pPr>
              <w:ind w:left="140"/>
              <w:spacing w:after="0"/>
              <w:rPr>
                <w:sz w:val="20"/>
                <w:szCs w:val="20"/>
                <w:color w:val="auto"/>
              </w:rPr>
            </w:pPr>
            <w:r>
              <w:rPr>
                <w:rFonts w:ascii="Arial" w:cs="Arial" w:eastAsia="Arial" w:hAnsi="Arial"/>
                <w:sz w:val="18"/>
                <w:szCs w:val="18"/>
                <w:color w:val="auto"/>
              </w:rPr>
              <w:t>Certain Duties and Responsibilities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6.02</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 of Defaults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6.03</w:t>
            </w:r>
          </w:p>
        </w:tc>
        <w:tc>
          <w:tcPr>
            <w:tcW w:w="7480" w:type="dxa"/>
            <w:vAlign w:val="bottom"/>
          </w:tcPr>
          <w:p>
            <w:pPr>
              <w:ind w:left="140"/>
              <w:spacing w:after="0"/>
              <w:rPr>
                <w:sz w:val="20"/>
                <w:szCs w:val="20"/>
                <w:color w:val="auto"/>
              </w:rPr>
            </w:pPr>
            <w:r>
              <w:rPr>
                <w:rFonts w:ascii="Arial" w:cs="Arial" w:eastAsia="Arial" w:hAnsi="Arial"/>
                <w:sz w:val="18"/>
                <w:szCs w:val="18"/>
                <w:color w:val="auto"/>
              </w:rPr>
              <w:t>Certain Rights of Trustee</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6.04</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 Responsible for Recitals or Issuance of Securities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6.05</w:t>
            </w:r>
          </w:p>
        </w:tc>
        <w:tc>
          <w:tcPr>
            <w:tcW w:w="7480" w:type="dxa"/>
            <w:vAlign w:val="bottom"/>
          </w:tcPr>
          <w:p>
            <w:pPr>
              <w:ind w:left="140"/>
              <w:spacing w:after="0"/>
              <w:rPr>
                <w:sz w:val="20"/>
                <w:szCs w:val="20"/>
                <w:color w:val="auto"/>
              </w:rPr>
            </w:pPr>
            <w:r>
              <w:rPr>
                <w:rFonts w:ascii="Arial" w:cs="Arial" w:eastAsia="Arial" w:hAnsi="Arial"/>
                <w:sz w:val="18"/>
                <w:szCs w:val="18"/>
                <w:color w:val="auto"/>
              </w:rPr>
              <w:t>May Hold Securities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6.06</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Held in Trust</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6.07</w:t>
            </w:r>
          </w:p>
        </w:tc>
        <w:tc>
          <w:tcPr>
            <w:tcW w:w="7480" w:type="dxa"/>
            <w:vAlign w:val="bottom"/>
          </w:tcPr>
          <w:p>
            <w:pPr>
              <w:ind w:left="140"/>
              <w:spacing w:after="0"/>
              <w:rPr>
                <w:sz w:val="20"/>
                <w:szCs w:val="20"/>
                <w:color w:val="auto"/>
              </w:rPr>
            </w:pPr>
            <w:r>
              <w:rPr>
                <w:rFonts w:ascii="Arial" w:cs="Arial" w:eastAsia="Arial" w:hAnsi="Arial"/>
                <w:sz w:val="18"/>
                <w:szCs w:val="18"/>
                <w:color w:val="auto"/>
              </w:rPr>
              <w:t>Compensation and Reimbursement</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6.08</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Disqualification; Conflicting Interests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6.09</w:t>
            </w:r>
          </w:p>
        </w:tc>
        <w:tc>
          <w:tcPr>
            <w:tcW w:w="7480" w:type="dxa"/>
            <w:vAlign w:val="bottom"/>
          </w:tcPr>
          <w:p>
            <w:pPr>
              <w:ind w:left="140"/>
              <w:spacing w:after="0"/>
              <w:rPr>
                <w:sz w:val="20"/>
                <w:szCs w:val="20"/>
                <w:color w:val="auto"/>
              </w:rPr>
            </w:pPr>
            <w:r>
              <w:rPr>
                <w:rFonts w:ascii="Arial" w:cs="Arial" w:eastAsia="Arial" w:hAnsi="Arial"/>
                <w:sz w:val="18"/>
                <w:szCs w:val="18"/>
                <w:color w:val="auto"/>
              </w:rPr>
              <w:t>Corporate Trustee Required; Eligibility</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6.10</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Resignation and Removal</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6.11</w:t>
            </w:r>
          </w:p>
        </w:tc>
        <w:tc>
          <w:tcPr>
            <w:tcW w:w="7480" w:type="dxa"/>
            <w:vAlign w:val="bottom"/>
          </w:tcPr>
          <w:p>
            <w:pPr>
              <w:ind w:left="140"/>
              <w:spacing w:after="0"/>
              <w:rPr>
                <w:sz w:val="20"/>
                <w:szCs w:val="20"/>
                <w:color w:val="auto"/>
              </w:rPr>
            </w:pPr>
            <w:r>
              <w:rPr>
                <w:rFonts w:ascii="Arial" w:cs="Arial" w:eastAsia="Arial" w:hAnsi="Arial"/>
                <w:sz w:val="18"/>
                <w:szCs w:val="18"/>
                <w:color w:val="auto"/>
              </w:rPr>
              <w:t>Acceptance of Appointment by Successor</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6.12</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Merger, Conversion, Consolidation or Succession to Business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ind w:left="340"/>
              <w:spacing w:after="0"/>
              <w:rPr>
                <w:sz w:val="20"/>
                <w:szCs w:val="20"/>
                <w:color w:val="auto"/>
              </w:rPr>
            </w:pPr>
            <w:r>
              <w:rPr>
                <w:rFonts w:ascii="Arial" w:cs="Arial" w:eastAsia="Arial" w:hAnsi="Arial"/>
                <w:sz w:val="18"/>
                <w:szCs w:val="18"/>
                <w:color w:val="auto"/>
              </w:rPr>
              <w:t>Section 6.13</w:t>
            </w:r>
          </w:p>
        </w:tc>
        <w:tc>
          <w:tcPr>
            <w:tcW w:w="748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6.14</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Appointment of Authenticating Agent</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926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SECURITYHOLDERS’ LISTS AND REPORTS BY TRUSTEE AND COMPANY</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17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7.01</w:t>
            </w: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r>
      <w:tr>
        <w:trPr>
          <w:trHeight w:val="655"/>
        </w:trPr>
        <w:tc>
          <w:tcPr>
            <w:tcW w:w="17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3800"/>
              <w:spacing w:after="0"/>
              <w:rPr>
                <w:sz w:val="20"/>
                <w:szCs w:val="20"/>
                <w:color w:val="auto"/>
              </w:rPr>
            </w:pPr>
            <w:r>
              <w:rPr>
                <w:rFonts w:ascii="Arial" w:cs="Arial" w:eastAsia="Arial" w:hAnsi="Arial"/>
                <w:sz w:val="18"/>
                <w:szCs w:val="18"/>
                <w:color w:val="auto"/>
              </w:rPr>
              <w:t>3</w:t>
            </w: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2"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7.02</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Preservation of Information; Communications to Securityholders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7.03</w:t>
            </w:r>
          </w:p>
        </w:tc>
        <w:tc>
          <w:tcPr>
            <w:tcW w:w="7300" w:type="dxa"/>
            <w:vAlign w:val="bottom"/>
          </w:tcPr>
          <w:p>
            <w:pPr>
              <w:ind w:left="20"/>
              <w:spacing w:after="0"/>
              <w:rPr>
                <w:sz w:val="20"/>
                <w:szCs w:val="20"/>
                <w:color w:val="auto"/>
              </w:rPr>
            </w:pPr>
            <w:r>
              <w:rPr>
                <w:rFonts w:ascii="Arial" w:cs="Arial" w:eastAsia="Arial" w:hAnsi="Arial"/>
                <w:sz w:val="18"/>
                <w:szCs w:val="18"/>
                <w:color w:val="auto"/>
              </w:rPr>
              <w:t>Reports by Trustee</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7.04</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Reports by Company</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92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CONSOLIDATION, MERGER, CONVEYANCE OR TRANSFER</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8.01</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Consolidation, Merger, Amalgamation, Conveyance or Transfer on Certain Terms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8.02</w:t>
            </w:r>
          </w:p>
        </w:tc>
        <w:tc>
          <w:tcPr>
            <w:tcW w:w="7300" w:type="dxa"/>
            <w:vAlign w:val="bottom"/>
          </w:tcPr>
          <w:p>
            <w:pPr>
              <w:ind w:left="20"/>
              <w:spacing w:after="0"/>
              <w:rPr>
                <w:sz w:val="20"/>
                <w:szCs w:val="20"/>
                <w:color w:val="auto"/>
              </w:rPr>
            </w:pPr>
            <w:r>
              <w:rPr>
                <w:rFonts w:ascii="Arial" w:cs="Arial" w:eastAsia="Arial" w:hAnsi="Arial"/>
                <w:sz w:val="18"/>
                <w:szCs w:val="18"/>
                <w:color w:val="auto"/>
              </w:rPr>
              <w:t>Successor Person Substituted</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9200" w:type="dxa"/>
            <w:vAlign w:val="bottom"/>
            <w:gridSpan w:val="2"/>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9.01</w:t>
            </w:r>
          </w:p>
        </w:tc>
        <w:tc>
          <w:tcPr>
            <w:tcW w:w="7300" w:type="dxa"/>
            <w:vAlign w:val="bottom"/>
          </w:tcPr>
          <w:p>
            <w:pPr>
              <w:ind w:left="20"/>
              <w:spacing w:after="0"/>
              <w:rPr>
                <w:sz w:val="20"/>
                <w:szCs w:val="20"/>
                <w:color w:val="auto"/>
              </w:rPr>
            </w:pPr>
            <w:r>
              <w:rPr>
                <w:rFonts w:ascii="Arial" w:cs="Arial" w:eastAsia="Arial" w:hAnsi="Arial"/>
                <w:sz w:val="18"/>
                <w:szCs w:val="18"/>
                <w:color w:val="auto"/>
              </w:rPr>
              <w:t>Supplemental Indentures Without Consent of Securityholders</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9.02</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Indentures With Consent of Securityholders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9.03</w:t>
            </w:r>
          </w:p>
        </w:tc>
        <w:tc>
          <w:tcPr>
            <w:tcW w:w="7300" w:type="dxa"/>
            <w:vAlign w:val="bottom"/>
          </w:tcPr>
          <w:p>
            <w:pPr>
              <w:ind w:left="20"/>
              <w:spacing w:after="0"/>
              <w:rPr>
                <w:sz w:val="20"/>
                <w:szCs w:val="20"/>
                <w:color w:val="auto"/>
              </w:rPr>
            </w:pPr>
            <w:r>
              <w:rPr>
                <w:rFonts w:ascii="Arial" w:cs="Arial" w:eastAsia="Arial" w:hAnsi="Arial"/>
                <w:sz w:val="18"/>
                <w:szCs w:val="18"/>
                <w:color w:val="auto"/>
              </w:rPr>
              <w:t>Execution of Supplemental Indentures</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57</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9.04</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Supplemental Indentures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9.05</w:t>
            </w:r>
          </w:p>
        </w:tc>
        <w:tc>
          <w:tcPr>
            <w:tcW w:w="7300" w:type="dxa"/>
            <w:vAlign w:val="bottom"/>
          </w:tcPr>
          <w:p>
            <w:pPr>
              <w:ind w:left="20"/>
              <w:spacing w:after="0"/>
              <w:rPr>
                <w:sz w:val="20"/>
                <w:szCs w:val="20"/>
                <w:color w:val="auto"/>
              </w:rPr>
            </w:pPr>
            <w:r>
              <w:rPr>
                <w:rFonts w:ascii="Arial" w:cs="Arial" w:eastAsia="Arial" w:hAnsi="Arial"/>
                <w:sz w:val="18"/>
                <w:szCs w:val="18"/>
                <w:color w:val="auto"/>
              </w:rPr>
              <w:t>Conformity with Trust Indenture Act</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57</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9.06</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in Securities to Supplemental Indentures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9.07</w:t>
            </w:r>
          </w:p>
        </w:tc>
        <w:tc>
          <w:tcPr>
            <w:tcW w:w="7300" w:type="dxa"/>
            <w:vAlign w:val="bottom"/>
          </w:tcPr>
          <w:p>
            <w:pPr>
              <w:ind w:left="20"/>
              <w:spacing w:after="0"/>
              <w:rPr>
                <w:sz w:val="20"/>
                <w:szCs w:val="20"/>
                <w:color w:val="auto"/>
              </w:rPr>
            </w:pPr>
            <w:r>
              <w:rPr>
                <w:rFonts w:ascii="Arial" w:cs="Arial" w:eastAsia="Arial" w:hAnsi="Arial"/>
                <w:sz w:val="18"/>
                <w:szCs w:val="18"/>
                <w:color w:val="auto"/>
              </w:rPr>
              <w:t>Notice of Supplemental Indentures</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9.08</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Revocation and Effect of Consents, Waivers and Actions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9.09</w:t>
            </w:r>
          </w:p>
        </w:tc>
        <w:tc>
          <w:tcPr>
            <w:tcW w:w="7300" w:type="dxa"/>
            <w:vAlign w:val="bottom"/>
          </w:tcPr>
          <w:p>
            <w:pPr>
              <w:ind w:left="20"/>
              <w:spacing w:after="0"/>
              <w:rPr>
                <w:sz w:val="20"/>
                <w:szCs w:val="20"/>
                <w:color w:val="auto"/>
              </w:rPr>
            </w:pPr>
            <w:r>
              <w:rPr>
                <w:rFonts w:ascii="Arial" w:cs="Arial" w:eastAsia="Arial" w:hAnsi="Arial"/>
                <w:sz w:val="18"/>
                <w:szCs w:val="18"/>
                <w:color w:val="auto"/>
              </w:rPr>
              <w:t>Subordination Unimpaired</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19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99"/>
              </w:rPr>
              <w:t>Article X. COVENANTS</w:t>
            </w:r>
          </w:p>
        </w:tc>
        <w:tc>
          <w:tcPr>
            <w:tcW w:w="7300" w:type="dxa"/>
            <w:vAlign w:val="bottom"/>
          </w:tcPr>
          <w:p>
            <w:pPr>
              <w:spacing w:after="0"/>
              <w:rPr>
                <w:sz w:val="18"/>
                <w:szCs w:val="18"/>
                <w:color w:val="auto"/>
              </w:rPr>
            </w:pP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19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10.01</w:t>
            </w:r>
          </w:p>
        </w:tc>
        <w:tc>
          <w:tcPr>
            <w:tcW w:w="7300" w:type="dxa"/>
            <w:vAlign w:val="bottom"/>
          </w:tcPr>
          <w:p>
            <w:pPr>
              <w:ind w:left="20"/>
              <w:spacing w:after="0"/>
              <w:rPr>
                <w:sz w:val="20"/>
                <w:szCs w:val="20"/>
                <w:color w:val="auto"/>
              </w:rPr>
            </w:pPr>
            <w:r>
              <w:rPr>
                <w:rFonts w:ascii="Arial" w:cs="Arial" w:eastAsia="Arial" w:hAnsi="Arial"/>
                <w:sz w:val="18"/>
                <w:szCs w:val="18"/>
                <w:color w:val="auto"/>
              </w:rPr>
              <w:t>Payment of Principal, Premium and Interest</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10.02</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of Office or Agency</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10.03</w:t>
            </w:r>
          </w:p>
        </w:tc>
        <w:tc>
          <w:tcPr>
            <w:tcW w:w="7300" w:type="dxa"/>
            <w:vAlign w:val="bottom"/>
          </w:tcPr>
          <w:p>
            <w:pPr>
              <w:ind w:left="20"/>
              <w:spacing w:after="0"/>
              <w:rPr>
                <w:sz w:val="20"/>
                <w:szCs w:val="20"/>
                <w:color w:val="auto"/>
              </w:rPr>
            </w:pPr>
            <w:r>
              <w:rPr>
                <w:rFonts w:ascii="Arial" w:cs="Arial" w:eastAsia="Arial" w:hAnsi="Arial"/>
                <w:sz w:val="18"/>
                <w:szCs w:val="18"/>
                <w:color w:val="auto"/>
              </w:rPr>
              <w:t>Money for Security Payments to Be Held in Trust</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10.04</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 as to Compliance</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10.05</w:t>
            </w:r>
          </w:p>
        </w:tc>
        <w:tc>
          <w:tcPr>
            <w:tcW w:w="7300" w:type="dxa"/>
            <w:vAlign w:val="bottom"/>
          </w:tcPr>
          <w:p>
            <w:pPr>
              <w:ind w:left="20"/>
              <w:spacing w:after="0"/>
              <w:rPr>
                <w:sz w:val="20"/>
                <w:szCs w:val="20"/>
                <w:color w:val="auto"/>
              </w:rPr>
            </w:pPr>
            <w:r>
              <w:rPr>
                <w:rFonts w:ascii="Arial" w:cs="Arial" w:eastAsia="Arial" w:hAnsi="Arial"/>
                <w:sz w:val="18"/>
                <w:szCs w:val="18"/>
                <w:color w:val="auto"/>
              </w:rPr>
              <w:t>Legal Existence</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10.06</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Waiver of Certain Covenants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92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REDEMPTION OF SECURITIES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19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11.01</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Applicability of Article</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11.02</w:t>
            </w:r>
          </w:p>
        </w:tc>
        <w:tc>
          <w:tcPr>
            <w:tcW w:w="7300" w:type="dxa"/>
            <w:vAlign w:val="bottom"/>
          </w:tcPr>
          <w:p>
            <w:pPr>
              <w:ind w:left="20"/>
              <w:spacing w:after="0"/>
              <w:rPr>
                <w:sz w:val="20"/>
                <w:szCs w:val="20"/>
                <w:color w:val="auto"/>
              </w:rPr>
            </w:pPr>
            <w:r>
              <w:rPr>
                <w:rFonts w:ascii="Arial" w:cs="Arial" w:eastAsia="Arial" w:hAnsi="Arial"/>
                <w:sz w:val="18"/>
                <w:szCs w:val="18"/>
                <w:color w:val="auto"/>
              </w:rPr>
              <w:t>Election to Redeem; Notice to Trustee</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11.03</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Selection by Trustee of Securities to Be Redeemed</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11.04</w:t>
            </w:r>
          </w:p>
        </w:tc>
        <w:tc>
          <w:tcPr>
            <w:tcW w:w="730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11.05</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 of Redemption Price</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11.06</w:t>
            </w:r>
          </w:p>
        </w:tc>
        <w:tc>
          <w:tcPr>
            <w:tcW w:w="7300" w:type="dxa"/>
            <w:vAlign w:val="bottom"/>
          </w:tcPr>
          <w:p>
            <w:pPr>
              <w:ind w:left="20"/>
              <w:spacing w:after="0"/>
              <w:rPr>
                <w:sz w:val="20"/>
                <w:szCs w:val="20"/>
                <w:color w:val="auto"/>
              </w:rPr>
            </w:pPr>
            <w:r>
              <w:rPr>
                <w:rFonts w:ascii="Arial" w:cs="Arial" w:eastAsia="Arial" w:hAnsi="Arial"/>
                <w:sz w:val="18"/>
                <w:szCs w:val="18"/>
                <w:color w:val="auto"/>
              </w:rPr>
              <w:t>Securities Payable on Redemption Date</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11.07</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Redeemed in Part</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11.08</w:t>
            </w:r>
          </w:p>
        </w:tc>
        <w:tc>
          <w:tcPr>
            <w:tcW w:w="7300" w:type="dxa"/>
            <w:vAlign w:val="bottom"/>
          </w:tcPr>
          <w:p>
            <w:pPr>
              <w:ind w:left="20"/>
              <w:spacing w:after="0"/>
              <w:rPr>
                <w:sz w:val="20"/>
                <w:szCs w:val="20"/>
                <w:color w:val="auto"/>
              </w:rPr>
            </w:pPr>
            <w:r>
              <w:rPr>
                <w:rFonts w:ascii="Arial" w:cs="Arial" w:eastAsia="Arial" w:hAnsi="Arial"/>
                <w:sz w:val="18"/>
                <w:szCs w:val="18"/>
                <w:color w:val="auto"/>
              </w:rPr>
              <w:t>Provisions with Respect to Any Sinking Funds</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11.09</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Rescission of Redemption</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92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 SUBORDINATION OF SECURITIES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19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12.01</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Agreement of Subordination</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Section 12.02</w:t>
            </w:r>
          </w:p>
        </w:tc>
        <w:tc>
          <w:tcPr>
            <w:tcW w:w="7300" w:type="dxa"/>
            <w:vAlign w:val="bottom"/>
          </w:tcPr>
          <w:p>
            <w:pPr>
              <w:ind w:left="20"/>
              <w:spacing w:after="0"/>
              <w:rPr>
                <w:sz w:val="20"/>
                <w:szCs w:val="20"/>
                <w:color w:val="auto"/>
              </w:rPr>
            </w:pPr>
            <w:r>
              <w:rPr>
                <w:rFonts w:ascii="Arial" w:cs="Arial" w:eastAsia="Arial" w:hAnsi="Arial"/>
                <w:sz w:val="18"/>
                <w:szCs w:val="18"/>
                <w:color w:val="auto"/>
              </w:rPr>
              <w:t>Payments to Securityholders</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12.03</w:t>
            </w: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Subrogation of Securities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w:t>
            </w:r>
          </w:p>
        </w:tc>
      </w:tr>
      <w:tr>
        <w:trPr>
          <w:trHeight w:val="655"/>
        </w:trPr>
        <w:tc>
          <w:tcPr>
            <w:tcW w:w="19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ind w:left="3680"/>
              <w:spacing w:after="0"/>
              <w:rPr>
                <w:sz w:val="20"/>
                <w:szCs w:val="20"/>
                <w:color w:val="auto"/>
              </w:rPr>
            </w:pPr>
            <w:r>
              <w:rPr>
                <w:rFonts w:ascii="Arial" w:cs="Arial" w:eastAsia="Arial" w:hAnsi="Arial"/>
                <w:sz w:val="18"/>
                <w:szCs w:val="18"/>
                <w:color w:val="auto"/>
              </w:rPr>
              <w:t>4</w:t>
            </w: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2"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12.04</w:t>
            </w:r>
          </w:p>
        </w:tc>
        <w:tc>
          <w:tcPr>
            <w:tcW w:w="3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Authorization by Securityholders</w:t>
            </w:r>
          </w:p>
        </w:tc>
        <w:tc>
          <w:tcPr>
            <w:tcW w:w="6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w:t>
            </w:r>
          </w:p>
        </w:tc>
      </w:tr>
      <w:tr>
        <w:trPr>
          <w:trHeight w:val="216"/>
        </w:trPr>
        <w:tc>
          <w:tcPr>
            <w:tcW w:w="1620" w:type="dxa"/>
            <w:vAlign w:val="bottom"/>
          </w:tcPr>
          <w:p>
            <w:pPr>
              <w:ind w:left="340"/>
              <w:spacing w:after="0"/>
              <w:rPr>
                <w:sz w:val="20"/>
                <w:szCs w:val="20"/>
                <w:color w:val="auto"/>
              </w:rPr>
            </w:pPr>
            <w:r>
              <w:rPr>
                <w:rFonts w:ascii="Arial" w:cs="Arial" w:eastAsia="Arial" w:hAnsi="Arial"/>
                <w:sz w:val="18"/>
                <w:szCs w:val="18"/>
                <w:color w:val="auto"/>
              </w:rPr>
              <w:t>Section 12.05</w:t>
            </w:r>
          </w:p>
        </w:tc>
        <w:tc>
          <w:tcPr>
            <w:tcW w:w="3620" w:type="dxa"/>
            <w:vAlign w:val="bottom"/>
          </w:tcPr>
          <w:p>
            <w:pPr>
              <w:ind w:left="300"/>
              <w:spacing w:after="0"/>
              <w:rPr>
                <w:sz w:val="20"/>
                <w:szCs w:val="20"/>
                <w:color w:val="auto"/>
              </w:rPr>
            </w:pPr>
            <w:r>
              <w:rPr>
                <w:rFonts w:ascii="Arial" w:cs="Arial" w:eastAsia="Arial" w:hAnsi="Arial"/>
                <w:sz w:val="18"/>
                <w:szCs w:val="18"/>
                <w:color w:val="auto"/>
              </w:rPr>
              <w:t>Notice to Trustee</w:t>
            </w:r>
          </w:p>
        </w:tc>
        <w:tc>
          <w:tcPr>
            <w:tcW w:w="6000" w:type="dxa"/>
            <w:vAlign w:val="bottom"/>
          </w:tcPr>
          <w:p>
            <w:pPr>
              <w:jc w:val="right"/>
              <w:ind w:right="390"/>
              <w:spacing w:after="0"/>
              <w:rPr>
                <w:sz w:val="20"/>
                <w:szCs w:val="20"/>
                <w:color w:val="auto"/>
              </w:rPr>
            </w:pPr>
            <w:r>
              <w:rPr>
                <w:rFonts w:ascii="Arial" w:cs="Arial" w:eastAsia="Arial" w:hAnsi="Arial"/>
                <w:sz w:val="18"/>
                <w:szCs w:val="18"/>
                <w:color w:val="auto"/>
              </w:rPr>
              <w:t>68</w:t>
            </w:r>
          </w:p>
        </w:tc>
      </w:tr>
      <w:tr>
        <w:trPr>
          <w:trHeight w:val="216"/>
        </w:trPr>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12.06</w:t>
            </w:r>
          </w:p>
        </w:tc>
        <w:tc>
          <w:tcPr>
            <w:tcW w:w="3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Trustee’s Relation to Senior Indebtedness</w:t>
            </w:r>
          </w:p>
        </w:tc>
        <w:tc>
          <w:tcPr>
            <w:tcW w:w="6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w:t>
            </w:r>
          </w:p>
        </w:tc>
      </w:tr>
      <w:tr>
        <w:trPr>
          <w:trHeight w:val="216"/>
        </w:trPr>
        <w:tc>
          <w:tcPr>
            <w:tcW w:w="1620" w:type="dxa"/>
            <w:vAlign w:val="bottom"/>
          </w:tcPr>
          <w:p>
            <w:pPr>
              <w:ind w:left="340"/>
              <w:spacing w:after="0"/>
              <w:rPr>
                <w:sz w:val="20"/>
                <w:szCs w:val="20"/>
                <w:color w:val="auto"/>
              </w:rPr>
            </w:pPr>
            <w:r>
              <w:rPr>
                <w:rFonts w:ascii="Arial" w:cs="Arial" w:eastAsia="Arial" w:hAnsi="Arial"/>
                <w:sz w:val="18"/>
                <w:szCs w:val="18"/>
                <w:color w:val="auto"/>
              </w:rPr>
              <w:t>Section 12.07</w:t>
            </w:r>
          </w:p>
        </w:tc>
        <w:tc>
          <w:tcPr>
            <w:tcW w:w="3620" w:type="dxa"/>
            <w:vAlign w:val="bottom"/>
          </w:tcPr>
          <w:p>
            <w:pPr>
              <w:ind w:left="300"/>
              <w:spacing w:after="0"/>
              <w:rPr>
                <w:sz w:val="20"/>
                <w:szCs w:val="20"/>
                <w:color w:val="auto"/>
              </w:rPr>
            </w:pPr>
            <w:r>
              <w:rPr>
                <w:rFonts w:ascii="Arial" w:cs="Arial" w:eastAsia="Arial" w:hAnsi="Arial"/>
                <w:sz w:val="18"/>
                <w:szCs w:val="18"/>
                <w:color w:val="auto"/>
              </w:rPr>
              <w:t>No Impairment of Subordination</w:t>
            </w:r>
          </w:p>
        </w:tc>
        <w:tc>
          <w:tcPr>
            <w:tcW w:w="6000" w:type="dxa"/>
            <w:vAlign w:val="bottom"/>
          </w:tcPr>
          <w:p>
            <w:pPr>
              <w:jc w:val="right"/>
              <w:ind w:right="390"/>
              <w:spacing w:after="0"/>
              <w:rPr>
                <w:sz w:val="20"/>
                <w:szCs w:val="20"/>
                <w:color w:val="auto"/>
              </w:rPr>
            </w:pPr>
            <w:r>
              <w:rPr>
                <w:rFonts w:ascii="Arial" w:cs="Arial" w:eastAsia="Arial" w:hAnsi="Arial"/>
                <w:sz w:val="18"/>
                <w:szCs w:val="18"/>
                <w:color w:val="auto"/>
              </w:rPr>
              <w:t>69</w:t>
            </w:r>
          </w:p>
        </w:tc>
      </w:tr>
      <w:tr>
        <w:trPr>
          <w:trHeight w:val="216"/>
        </w:trPr>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12.08</w:t>
            </w:r>
          </w:p>
        </w:tc>
        <w:tc>
          <w:tcPr>
            <w:tcW w:w="3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Rights of Trustee</w:t>
            </w:r>
          </w:p>
        </w:tc>
        <w:tc>
          <w:tcPr>
            <w:tcW w:w="6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w:t>
            </w:r>
          </w:p>
        </w:tc>
      </w:tr>
      <w:tr>
        <w:trPr>
          <w:trHeight w:val="216"/>
        </w:trPr>
        <w:tc>
          <w:tcPr>
            <w:tcW w:w="1620" w:type="dxa"/>
            <w:vAlign w:val="bottom"/>
          </w:tcPr>
          <w:p>
            <w:pPr>
              <w:ind w:left="340"/>
              <w:spacing w:after="0"/>
              <w:rPr>
                <w:sz w:val="20"/>
                <w:szCs w:val="20"/>
                <w:color w:val="auto"/>
              </w:rPr>
            </w:pPr>
            <w:r>
              <w:rPr>
                <w:rFonts w:ascii="Arial" w:cs="Arial" w:eastAsia="Arial" w:hAnsi="Arial"/>
                <w:sz w:val="18"/>
                <w:szCs w:val="18"/>
                <w:color w:val="auto"/>
              </w:rPr>
              <w:t>Section 12.09</w:t>
            </w:r>
          </w:p>
        </w:tc>
        <w:tc>
          <w:tcPr>
            <w:tcW w:w="3620" w:type="dxa"/>
            <w:vAlign w:val="bottom"/>
          </w:tcPr>
          <w:p>
            <w:pPr>
              <w:ind w:left="300"/>
              <w:spacing w:after="0"/>
              <w:rPr>
                <w:sz w:val="20"/>
                <w:szCs w:val="20"/>
                <w:color w:val="auto"/>
              </w:rPr>
            </w:pPr>
            <w:r>
              <w:rPr>
                <w:rFonts w:ascii="Arial" w:cs="Arial" w:eastAsia="Arial" w:hAnsi="Arial"/>
                <w:sz w:val="18"/>
                <w:szCs w:val="18"/>
                <w:color w:val="auto"/>
              </w:rPr>
              <w:t>Applicable to Paying Agents</w:t>
            </w:r>
          </w:p>
        </w:tc>
        <w:tc>
          <w:tcPr>
            <w:tcW w:w="6000" w:type="dxa"/>
            <w:vAlign w:val="bottom"/>
          </w:tcPr>
          <w:p>
            <w:pPr>
              <w:jc w:val="right"/>
              <w:ind w:right="390"/>
              <w:spacing w:after="0"/>
              <w:rPr>
                <w:sz w:val="20"/>
                <w:szCs w:val="20"/>
                <w:color w:val="auto"/>
              </w:rPr>
            </w:pPr>
            <w:r>
              <w:rPr>
                <w:rFonts w:ascii="Arial" w:cs="Arial" w:eastAsia="Arial" w:hAnsi="Arial"/>
                <w:sz w:val="18"/>
                <w:szCs w:val="18"/>
                <w:color w:val="auto"/>
              </w:rPr>
              <w:t>69</w:t>
            </w:r>
          </w:p>
        </w:tc>
      </w:tr>
      <w:tr>
        <w:trPr>
          <w:trHeight w:val="216"/>
        </w:trPr>
        <w:tc>
          <w:tcPr>
            <w:tcW w:w="5240" w:type="dxa"/>
            <w:vAlign w:val="bottom"/>
            <w:gridSpan w:val="2"/>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Article XIII. GUARANTEES</w:t>
            </w:r>
          </w:p>
        </w:tc>
        <w:tc>
          <w:tcPr>
            <w:tcW w:w="6000" w:type="dxa"/>
            <w:vAlign w:val="bottom"/>
          </w:tcPr>
          <w:p>
            <w:pPr>
              <w:jc w:val="right"/>
              <w:ind w:right="390"/>
              <w:spacing w:after="0"/>
              <w:rPr>
                <w:sz w:val="20"/>
                <w:szCs w:val="20"/>
                <w:color w:val="auto"/>
              </w:rPr>
            </w:pPr>
            <w:r>
              <w:rPr>
                <w:rFonts w:ascii="Arial" w:cs="Arial" w:eastAsia="Arial" w:hAnsi="Arial"/>
                <w:sz w:val="18"/>
                <w:szCs w:val="18"/>
                <w:color w:val="auto"/>
              </w:rPr>
              <w:t>69</w:t>
            </w:r>
          </w:p>
        </w:tc>
      </w:tr>
      <w:tr>
        <w:trPr>
          <w:trHeight w:val="216"/>
        </w:trPr>
        <w:tc>
          <w:tcPr>
            <w:tcW w:w="1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r>
      <w:tr>
        <w:trPr>
          <w:trHeight w:val="230"/>
        </w:trPr>
        <w:tc>
          <w:tcPr>
            <w:tcW w:w="1620" w:type="dxa"/>
            <w:vAlign w:val="bottom"/>
          </w:tcPr>
          <w:p>
            <w:pPr>
              <w:ind w:left="340"/>
              <w:spacing w:after="0"/>
              <w:rPr>
                <w:sz w:val="20"/>
                <w:szCs w:val="20"/>
                <w:color w:val="auto"/>
              </w:rPr>
            </w:pPr>
            <w:r>
              <w:rPr>
                <w:rFonts w:ascii="Arial" w:cs="Arial" w:eastAsia="Arial" w:hAnsi="Arial"/>
                <w:sz w:val="18"/>
                <w:szCs w:val="18"/>
                <w:color w:val="auto"/>
              </w:rPr>
              <w:t>Section 13.01</w:t>
            </w:r>
          </w:p>
        </w:tc>
        <w:tc>
          <w:tcPr>
            <w:tcW w:w="3620" w:type="dxa"/>
            <w:vAlign w:val="bottom"/>
          </w:tcPr>
          <w:p>
            <w:pPr>
              <w:ind w:left="300"/>
              <w:spacing w:after="0"/>
              <w:rPr>
                <w:sz w:val="20"/>
                <w:szCs w:val="20"/>
                <w:color w:val="auto"/>
              </w:rPr>
            </w:pPr>
            <w:r>
              <w:rPr>
                <w:rFonts w:ascii="Arial" w:cs="Arial" w:eastAsia="Arial" w:hAnsi="Arial"/>
                <w:sz w:val="18"/>
                <w:szCs w:val="18"/>
                <w:color w:val="auto"/>
              </w:rPr>
              <w:t>Guarantees</w:t>
            </w:r>
          </w:p>
        </w:tc>
        <w:tc>
          <w:tcPr>
            <w:tcW w:w="6000" w:type="dxa"/>
            <w:vAlign w:val="bottom"/>
          </w:tcPr>
          <w:p>
            <w:pPr>
              <w:jc w:val="right"/>
              <w:ind w:right="390"/>
              <w:spacing w:after="0"/>
              <w:rPr>
                <w:sz w:val="20"/>
                <w:szCs w:val="20"/>
                <w:color w:val="auto"/>
              </w:rPr>
            </w:pPr>
            <w:r>
              <w:rPr>
                <w:rFonts w:ascii="Arial" w:cs="Arial" w:eastAsia="Arial" w:hAnsi="Arial"/>
                <w:sz w:val="18"/>
                <w:szCs w:val="18"/>
                <w:color w:val="auto"/>
              </w:rPr>
              <w:t>69</w:t>
            </w:r>
          </w:p>
        </w:tc>
      </w:tr>
      <w:tr>
        <w:trPr>
          <w:trHeight w:val="641"/>
        </w:trPr>
        <w:tc>
          <w:tcPr>
            <w:tcW w:w="16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22"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This INDENTURE between Bitfarms Ltd., company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(hereinafter called the “Company”), having its principal office at 18 King St. E, Suite 902, Toronto, ON M5C 1C4, and, as trustee (hereinafter called the “Trustee”), is made and entered into as of ____________, ___.</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of its debentures, notes, bonds or other evidences of indebtedness, in an unlimited aggregate principal amount, to be issued in one or more fully registered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is subject to the provisions of the Trust Indenture Act that are deemed to be incorporated into this Indenture and shall, to the extent applicable, be governed by such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AGREEMENTS OF THE PARTIES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set forth or to provide for the establishment of the terms and conditions upon which the Securities are and are to be authenticated, issued and delivered, and in consideration of the premises and the purchase of Securities by the Holders thereof, it is mutually agreed as follows, for the equal and proportionate benefit of all Holders of the Securities or of a series thereof, as the case may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Indenture and of any indenture supplemental hereto, except as otherwise expressly provided or unless the context otherwise requires:</w:t>
      </w:r>
    </w:p>
    <w:p>
      <w:pPr>
        <w:spacing w:after="0" w:line="170" w:lineRule="exact"/>
        <w:rPr>
          <w:sz w:val="20"/>
          <w:szCs w:val="20"/>
          <w:color w:val="auto"/>
        </w:rPr>
      </w:pPr>
    </w:p>
    <w:p>
      <w:pPr>
        <w:ind w:left="1540" w:hanging="236"/>
        <w:spacing w:after="0"/>
        <w:tabs>
          <w:tab w:leader="none" w:pos="1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jc w:val="both"/>
        <w:ind w:left="660" w:firstLine="644"/>
        <w:spacing w:after="0" w:line="259" w:lineRule="auto"/>
        <w:tabs>
          <w:tab w:leader="none" w:pos="156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or by Commission rule under the Trust Indenture Act, either directly or by reference therein, have the meanings assigned to them herein; provided that, if any provision of this Indenture modifies or excludes any provision of the TIA that may be so modified or excluded, the latter provision shall be deemed to apply to this Indenture as so modified, or to be excluded, as the case may be;</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 and, except as otherwise herein expressly provided, the term “generally accepted accounting principles” with respect to any computation required or permitted hereunder shall mean such accounting principles as are generally accepted in Canada and any accounting rules or interpretations promulgated by the Commission as, in each case at the date of this Indenture;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left="660" w:firstLine="644"/>
        <w:spacing w:after="0" w:line="263" w:lineRule="auto"/>
        <w:tabs>
          <w:tab w:leader="none" w:pos="15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terms, used principally in Article VI, are defined in that Article.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Securityholder, has the meaning specified in Section 1.04.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“Authenticating Agent” means any Person authorized by the Company to authenticate Securities under Section 6.14.</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“Board of Directors” means (i) the board of directors of the Company, (ii) any duly authorized committee of such board, (iii) any committee of officers of the Company or (iv) any officer of the Company acting, in the case of clause (iii) or (iv), pursuant to authority granted by the board of directors of the Company or any committee of such board.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any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Day” means, with respect to any series of Securities, unless otherwise specified in a Board Resolution, in an indenture supplemental hereto or an Officer’s Certificate with respect to a particular series of Securities, each day which is not a Saturday, Sunday or other day on which banking institutions in the pertinent Place or Places of Payment, including, but not limited to New York, Montreal and Toronto, or the city in which the Corporate Trust Office is located are authorized or required by law or executive order to be closed.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“Closing Price” of the Common Stock or other Marketable Security, as the case may be, shall mean the last reported sale price of such stock or other Marketable Security (regular way) as shown on the Composite Tape of the Nasdaq (or, if such stock or other Marketable Security is not listed or admitted to trading on the Nasdaq, on the principal national securities exchange on which such stock or other Marketable Security is listed or admitted to trading, including the NYSE), or, in case no such sale takes place on such day, the average of the closing bid and asked prices on the Nasdaq (or, if such stock or other Marketable Security is not listed or admitted to trading on the Nasdaq, on the principal national securities exchange on which such stock or other Marketable Security is listed or admitted to trading, including the NYSE), or if such stock or other Marketable Security is not so reported, the average of the closing bid and asked prices as furnished by any member of the Financial Industry Regulatory Authority, selected from time to time by the Company for that purpose.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648"/>
        <w:spacing w:after="0" w:line="263"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“Common Stock” shall mean the Common Stock, par value $0.001 per share, of the Company authorized at the date of this Indenture as originally signed, or any other class of stock resulting from successive changes or reclassifications of such Common Stock, and in any such case including any shares thereof authorized after the date of this Indenture.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“Company” means the Person named as the “Company” in the first paragraph of this instrument until a successor shall have become such pursuant to the applicable provisions of this Indenture, and thereafter “Company” shall mean such successor.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“Company Request”, “Company Order” and “Company Consent” mean a written request, order or consent, respectively, signed in the name of the Company by its Chairman of the Board, President, Chief Executive Officer, Chief Financial Officer, Treasurer, Controller, General Counsel, Secretary or any Vice President, and delivered to the Trustee.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“Conversion Price” means, with respect to any series of Securities which are convertible into Common Stock or other Marketable Securities, the price per share of Common Stock or the price per designated unit of other Marketable Security at which the Securities of such series are so convertible as set forth in the Board Resolution or indenture supplemental hereto with respect to such series (or in any indenture supplemental hereto entered into pursuant to Section 9.01(9) with respect to such series), as the same may be adjusted from time to time in accordance with an indenture supplemental hereto.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________________</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“Current Market Price” on any date shall mean the average of the daily Closing Prices per share of Common Stock or of such other Marketable Securities for any 30 consecutive Trading Days selected by the Company prior to the day in question, which 30 consecutive Trading Day period shall not commence more than 45 Trading Days prior to the day in question.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63" w:lineRule="auto"/>
        <w:rPr>
          <w:sz w:val="20"/>
          <w:szCs w:val="20"/>
          <w:color w:val="auto"/>
        </w:rPr>
      </w:pPr>
      <w:r>
        <w:rPr>
          <w:rFonts w:ascii="Arial" w:cs="Arial" w:eastAsia="Arial" w:hAnsi="Arial"/>
          <w:sz w:val="18"/>
          <w:szCs w:val="18"/>
          <w:color w:val="auto"/>
        </w:rPr>
        <w:t>“Depository” means, unless otherwise specified by the Company pursuant to either Section 2.04 or 3.01, with respect to Securities of any series issuable or issued as a Global Security, The Depository Trust Company, New York, New York, or any successor thereto registered as a clearing agency under the Securities Exchange Act of 1934, as amended, or other applicable statute or regulation.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“Discharged” has the meaning specified in Section 4.03.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Article 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“Federal Bankruptcy Act” has the meaning specified in Section 5.01(5).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means generally accepted accounting principles as such principles are in effect in Canada as of the date of this Indenture.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“Global Security”, when used with respect to any series of Securities issued hereunder, means a Security which is executed by the Company and authenticated and delivered by the Trustee to the Depository or pursuant to the Depository’s instruction, all in accordance with this Indenture and an indenture supplemental hereto, if any, or Board Resolution and pursuant to a Company Request, which shall be registered in the name of the Depository or its nominee and which shall represent, and shall be denominated in an amount equal to the aggregate principal amount of, all of the Outstanding Securities of such series or any portion thereof, in either case having the same terms, including, without limitation, the same original issue date, date or dates on which principal is due, and interest rate or method of determining interest.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“Guarantee” means the guarantees specified in Section 13.01(a).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“Guarantor” means any Person who guarantees any series of Securities issued hereunder as specified in Section 13.01(a).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 when used with respect to any Security, means a Securityholder, which means a Person in whose name a security is registered in the Security Register.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“Indenture” or “this 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with respect to the Securities, means interest on the Securities; provided, that, when used with respect to an Original Issue Discount Security which by its terms bears interest only after Maturity, the term means interest payable after Maturity.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Payment Date”, when used with respect to any series of Securities, means the Stated Maturity of any installment of interest on those 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59" w:lineRule="auto"/>
        <w:rPr>
          <w:sz w:val="20"/>
          <w:szCs w:val="20"/>
          <w:color w:val="auto"/>
        </w:rPr>
      </w:pPr>
      <w:r>
        <w:rPr>
          <w:rFonts w:ascii="Arial" w:cs="Arial" w:eastAsia="Arial" w:hAnsi="Arial"/>
          <w:sz w:val="18"/>
          <w:szCs w:val="18"/>
          <w:color w:val="auto"/>
        </w:rPr>
        <w:t>“Marketable Security” means any common stock, debt security or other security of a Person which is (or will, upon distribution thereof, be) listed on the NYSE, the NYSE Amex, NASDAQ or any other national securities exchange registered under Section 6 of the Securities Exchange Act of 1934, as amended, or approved for quotation in any system of automated dissemination of quotations of securities prices in the United States or for which there is a recognized market maker or trading market.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“Maturity”, when used with respect to any Securities, means the date on which the principal of any such Security becomes due and payable as therein or herein provided, whether on a Repayment Date, at the Stated Maturity or by declaration of acceleration, call for redemption or otherwise.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“NASDAQ” shall mean the NASDAQ Global Select Market, the NASDAQ Global Market or the NASDAQ Capital Market. “NYSE” shall mean the New York Stock Exchange, Inc.</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“Officers’ Certificate” means a certificate signed by the Chairman of the Board, President, Chief Executive Officer, Chief Financial Officer, Treasurer, Controller, General Counsel, Secretary or any Vice President, and delivered to the Trustee. Wherever this Indenture requires that an Officers’ Certificate be signed also by a financial expert or an accountant or other expert, such financial expert, accountant or other expert (except as otherwise expressly provided in this Indenture) may be in the employ of the Company, and shall be acceptable to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(except as otherwise expressly provided in this Indenture) be an employee of or of counsel to the Company, which is delivered to the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“Original Issue Discount Security” means (i) any Security which provides for an amount less than the principal amount thereof to be due and payable upon a declaration of acceleration of the Maturity thereof, and (ii) any other security which is issued with “original issue discount” within the meaning of Section 1273(a) of the Internal Revenue Code of 1986, as amended, and the regulations thereunder.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“Outstanding”, when used with respect to the Securities or Securities of any series, means, as of the date of determination, all such Securities theretofore authenticated and delivered under this Indenture, except:</w:t>
      </w:r>
    </w:p>
    <w:p>
      <w:pPr>
        <w:spacing w:after="0" w:line="170" w:lineRule="exact"/>
        <w:rPr>
          <w:sz w:val="20"/>
          <w:szCs w:val="20"/>
          <w:color w:val="auto"/>
        </w:rPr>
      </w:pPr>
    </w:p>
    <w:p>
      <w:pPr>
        <w:ind w:left="1540" w:hanging="236"/>
        <w:spacing w:after="0"/>
        <w:tabs>
          <w:tab w:leader="none" w:pos="1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57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such Securities for whose payment or redemption money in the necessary amount has been theretofore deposited with the Trustee or any Paying Agent in trust for the Holders of such Securities; provided that, if such Securities are to be redeemed, notice of such redemption has been duly given pursuant to this Indenture or provision therefor reasonably satisfactory to the Trustee has been made; and</w:t>
      </w:r>
    </w:p>
    <w:p>
      <w:pPr>
        <w:spacing w:after="0" w:line="165" w:lineRule="exact"/>
        <w:rPr>
          <w:rFonts w:ascii="Arial" w:cs="Arial" w:eastAsia="Arial" w:hAnsi="Arial"/>
          <w:sz w:val="17"/>
          <w:szCs w:val="17"/>
          <w:color w:val="auto"/>
        </w:rPr>
      </w:pPr>
    </w:p>
    <w:p>
      <w:pPr>
        <w:jc w:val="both"/>
        <w:ind w:left="660" w:firstLine="644"/>
        <w:spacing w:after="0" w:line="311" w:lineRule="auto"/>
        <w:tabs>
          <w:tab w:leader="none" w:pos="1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such Securities in exchange for or in lieu of which other Securities have been authenticated and delivered pursuant to this Indenture, or which shall have been paid pursuant to the terms of Section 3.06 (except with respect to any such Security as to which proof satisfactory to the Trustee is presented that such Security is held by a Person in whose hands such Security is a legal, valid and binding obligation of the Company).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648"/>
        <w:spacing w:after="0" w:line="269" w:lineRule="auto"/>
        <w:rPr>
          <w:sz w:val="20"/>
          <w:szCs w:val="20"/>
          <w:color w:val="auto"/>
        </w:rPr>
      </w:pPr>
      <w:r>
        <w:rPr>
          <w:rFonts w:ascii="Arial" w:cs="Arial" w:eastAsia="Arial" w:hAnsi="Arial"/>
          <w:sz w:val="17"/>
          <w:szCs w:val="17"/>
          <w:color w:val="auto"/>
        </w:rPr>
        <w:t>In determining whether the Holders of the requisite principal amount of such Securities Outstanding have given any request, demand, authorization, direction, notice, consent or waiver hereunder, (i) the principal amount of any Original Issue Discount Security that shall be deemed to be Outstanding shall be the amount of the principal thereof that would be due and payable as of the date of the taking of such action upon a declaration of acceleration of the Maturity thereof, and (ii) Securities owned by the Company or any other obligor upon the Securities or any Affiliate of the Company or of such other obligor shall be disregarded and deemed not to be Outstanding. In determining whether the Trustee shall be protected in relying upon any such request, demand, authorization, direction, notice, consent or waiver, only Securities which a Responsible Officer assigned to the Corporate Trust Department of the Trustee knows to be owned by the Company or any other obligor upon the Securities or any Affiliate of the Company or such other obligor shall be so disregarded. Securities so owned which have been pledged in good faith may be regarded as Outstanding if the pledgee establishes to the satisfaction of the Trustee the pledgee’s right to act as owner with respect to such Securities and that the pledgee is not the Company or any other obligor upon the Securities or any Affiliate of the Company or such other obligor.</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“Paying Agent” means any Person authorized by the Company to pay the principal of (and premium, if any) or interest on any Securities on behalf of the Company. The Company initially authorizes the Trustee to act as Paying Agent for the Securities on its behalf. The Company may at any time and from time to time authorize one or more Persons to act as Paying Agent in addition to or in place of the Trustee with respect to any series of Securities issued under this Indenture.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“Place of Payment” means with respect to any series of Securities issued hereunder, the city or political subdivision so designated with respect to the series of Securities in question in accordance with the provisions of Section 3.01.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“Predecessor Securities” of any particular Security means every previous Security evidencing all or a portion of the same debt as that evidenced by such particular Security; and, for the purposes of this definition, any Security authenticated and delivered under Section 3.06 in lieu of a lost, destroyed or stolen Security shall be deemed to evidence the same debt as the lost, destroyed or stolen Security.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specified in the Security at which it is to be redeemed pursuant to this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648"/>
        <w:spacing w:after="0" w:line="286" w:lineRule="auto"/>
        <w:rPr>
          <w:sz w:val="20"/>
          <w:szCs w:val="20"/>
          <w:color w:val="auto"/>
        </w:rPr>
      </w:pPr>
      <w:r>
        <w:rPr>
          <w:rFonts w:ascii="Arial" w:cs="Arial" w:eastAsia="Arial" w:hAnsi="Arial"/>
          <w:sz w:val="16"/>
          <w:szCs w:val="16"/>
          <w:color w:val="auto"/>
        </w:rPr>
        <w:t>“Redemption Rescission Event” shall mean the occurrence of (a) any general suspension of trading in, or limitation on prices for, securities on the principal national securities exchange on which shares of Common Stock or Marketable Securities are registered and listed for trading (or, if shares of Common Stock or Marketable Securities are not registered and listed for trading on any such exchange, in the over-the-counter market) for more than six-and-one-half (6-1/2) consecutive trading hours, (b) any decline in either the Dow Jones Industrial Average or the S&amp;P 500 Index (or any successor index published by Dow Jones &amp; Company, Inc. or S&amp;P) by either (i) an amount in excess of 10%, measured from the close of business on any Trading Day to the close of business on the next succeeding Trading Day during the period commencing on the Trading Day preceding the day notice of any redemption of Securities is given (or, if such notice is given after the close of business on a Trading Day, commencing on such Trading Day) and ending at the time and date fixed for redemption in such notice or (ii) an amount in excess of 15% (or if the time and date fixed for redemption is more than 15 days following the date on which such notice of redemption is given, 20%), measured from the close of business on the Trading Day preceding the day notice of such redemption is given (or, if such notice is given after the close of business on a Trading Day, from such Trading Day) to the close of business on any Trading Day at or prior to the time and date fixed for redemption, (c) a declaration of a banking moratorium or any suspension of payments in respect of banks by Federal or state authorities in the United States or (d) the occurrence of an act of terrorism or commencement of a war or armed hostilities or other national or international calamity directly or indirectly involving the United States which in the reasonable judgment of the Company could have a material adverse effect on the market for the Common Stock or Marketable Securities.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“Regular Record Date” for the interest payable on any Security on any Interest Payment Date means the date specified in such Security as the Regular Record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“Repayment Date”, when used with respect to any Security to be repaid, means the date fixed for such repayment pursuant to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“Repayment Price”, when used with respect to any Security to be repaid, means the price at which it is to be repaid pursuant to such Security.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“Required Currency”, when used with respect to any Security, has the meaning set forth in Section 1.14.</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“Responsible Officer”, when used with respect to the Trustee, means any officer of the Trustee with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“Responsible Officer”, when used with respect to the Company, means any of the Chairman of the Board, President, Chief Executive Officer, Chief Financial Officer, Treasurer, Controller, General Counsel, Secretary or any Vice President (or any equivalent of the foregoing officers).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Standard &amp; Poor’s Rating Service or any successor to the rating agency business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“Security” or “Securities” means any note or notes, bond or bonds, debenture or debentures, or any other evidences of indebtedness, as the case may be, of any series authenticated and delivered from time to time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shall have the meaning specified in Section 3.05.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48"/>
        <w:spacing w:after="0" w:line="263" w:lineRule="auto"/>
        <w:rPr>
          <w:sz w:val="20"/>
          <w:szCs w:val="20"/>
          <w:color w:val="auto"/>
        </w:rPr>
      </w:pPr>
      <w:r>
        <w:rPr>
          <w:rFonts w:ascii="Arial" w:cs="Arial" w:eastAsia="Arial" w:hAnsi="Arial"/>
          <w:sz w:val="18"/>
          <w:szCs w:val="18"/>
          <w:color w:val="auto"/>
        </w:rPr>
        <w:t>“Security Registrar” means the Person who keeps the Security Register specified in Section 3.05. The Company initially appoints the Trustee to act as Security Registrar for the Securities on its behalf. The Company may at any time and from time to time authorize any Person to act as Security Registrar in place of the Trustee with respect to any series of Securities issued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“Securityholder” means a Person in whose name a security is registered in the Security Register.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“Senior Indebtedness” of the Company or a Guarantor, as the case may be, means the principal of, premium, if any, interest on, and any other payment due pursuant to any of the following, whether outstanding at the date hereof or hereafter incurred or created:</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 (including any indebtedness secured by a mortgage, conditional sales contract or other lien which is (a) given to secure all or part of the purchase price of property subject thereto, whether given to the vendor of such property or to another or (b) existing on property at the time of acquisition thereof);</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indebtedness of such Person evidenced by notes, debentures, bonds or other similar interests sold by such Person for money;</w:t>
      </w:r>
    </w:p>
    <w:p>
      <w:pPr>
        <w:spacing w:after="0" w:line="23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lease obligations of such Person which are capitalized on the books of such Person in accordance with generally accepted accounting principles;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(i) or (ii) and all lease obligations of others of the kind described in the preceding clause (iii) assumed by or guaranteed in any manner by such Person or in effect guaranteed by such Person through an agreement to purchase, contingent or otherwise; and</w:t>
      </w:r>
    </w:p>
    <w:p>
      <w:pPr>
        <w:spacing w:after="0" w:line="183"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renewals, extensions or refundings of indebtedness of the kinds described in any of the preceding clauses (i), (ii) and (iv) and all renewals or extensions of lease obligations of the kinds described in either of the preceding clauses (iii) and (iv); unless, in the case of any particular indebtedness, guarantee, lease, renewal, extension or refunding, the instrument or lease creating or evidencing the same or the assumption or guarantee of the same expressly provides that such indebtedness, lease, renewal, extension or refunding is not superior in right of payment to the Securities or the Guarantees, as the case may be.</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“Significant Subsidiary” means any Subsidiary which would be a “significant subsidiary” as defined in Article 1, Rule 12 of Regulation S-X, promulgated pursuant to the Securities Act of 1933, as in effect on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“Subsidiary”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“Trading Day” shall mean, with respect to the Common Stock or a Marketable Security, so long as the common stock or such Marketable Security, as the case may be, is listed or admitted to trading on the Nasdaq, a day on which the Nasdaq is open for the transaction of business, or, if the Common Stock or such Marketable Security, as the case may be, is not listed or admitted to trading on the Nasdaq, a day on which the principal national securities exchange on which the Common Stock or such Marketable Security, as the case may be, is listed is open for the transaction of business, or, if the Common Stock or such Marketable Security, as the case may be, is not so listed or admitted for trading on any national securities exchange, a day on which the member of the Financial Industry Regulatory Authority selected by the Company to provide pricing information for the Common Stock or such Marketable Security is open for the transaction of business.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“Trust Indenture Act” or “TIA” means the Trust Indenture Act of 1939 as in force at the date as of which this instrument was executed; provided, however, that, in the event the Trust Indenture Act of 1939 is amended after such date, “Trust Indenture Act” or “TIA” means, to the extent required by any such amendment, the Trust Indenture Act of 1939 as so amended.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and include each Person who is then a Trustee hereunder.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 including without limitation, an assistant vice president.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“Voting Stock”, as applied to the stock of any corporation, means stock of any class or classes (however designated) having by the terms thereof ordinary voting power to elect a majority of the members of the board of directors (or other governing body) of such corporation other than stock having such power only by reason of the happening of a contingency.</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“Yield to Maturity” means the yield to maturity on a series of Securities, calculated by the Company at the time of issuance of such series of Securities, or, if applicable, at the most recent redetermination of interest on such series, in accordance with accepted financial practice.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5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(including any covenants compliance with which constitutes a condition precedent), provided for in this Indenture relating to the proposed action have been complied with and an Opinion of Counsel stating that in the opinion of such Counsel all such conditions precedent, if any (including any covenants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annual statements of compliance provided pursuant to Section 10.04) shall include:</w:t>
      </w:r>
    </w:p>
    <w:p>
      <w:pPr>
        <w:spacing w:after="0" w:line="170" w:lineRule="exact"/>
        <w:rPr>
          <w:sz w:val="20"/>
          <w:szCs w:val="20"/>
          <w:color w:val="auto"/>
        </w:rPr>
      </w:pPr>
    </w:p>
    <w:p>
      <w:pPr>
        <w:ind w:left="660" w:right="20" w:firstLine="644"/>
        <w:spacing w:after="0" w:line="277" w:lineRule="auto"/>
        <w:tabs>
          <w:tab w:leader="none" w:pos="15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8"/>
          <w:szCs w:val="18"/>
          <w:color w:val="auto"/>
        </w:rPr>
      </w:pPr>
    </w:p>
    <w:p>
      <w:pPr>
        <w:ind w:left="660" w:firstLine="644"/>
        <w:spacing w:after="0" w:line="277" w:lineRule="auto"/>
        <w:tabs>
          <w:tab w:leader="none" w:pos="15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4"/>
        <w:spacing w:after="0" w:line="277" w:lineRule="auto"/>
        <w:tabs>
          <w:tab w:leader="none" w:pos="1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as to the other matters, and any such Person may certify or give an opinion as to such matters in one or several documents.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of an officer of the Company or Opinion of Counsel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Securityholders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7" w:lineRule="auto"/>
        <w:tabs>
          <w:tab w:leader="none" w:pos="899"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Securityholders or Securityholders of any series may be embodied in and evidenced by one or more instruments of substantially similar tenor signed by such Securityholders in person or by an agent duly appointed in writing or may be embodied in or evidenced by an electronic transmission which identifies the documents containing the proposal on which such consent is requested and certifies such Securityholders’ consent thereto and agreement to be bound thereby; and, except as herein otherwise expressly provided, such action shall become effective when such instrument or instruments are delivered to the Trustee, and, where it is hereby expressly required, to the Company. If any Securities are denominated in coin or currency other than that of the United States, then for the purposes of determining whether the Holders of the requisite principal amount of Securities have taken any action as herein described, the principal amount of such Securities shall be deemed to be that amount of United States dollars that could be obtained for such principal amount on the basis of the spot rate of exchange into United States dollars for the currency in which such Securities are denominated (as evidenced to the Trustee by an Officers’ Certificate) as of the date the taking of such action by the Holders of such requisite principal amount is evidenced to the Trustee as provided in the immediately preceding sentence. If any Securities are Original Issue Discount Securities, then for the purposes of determining whether the Holders of the requisite principal amount of Securities have taken any action as herein described, the principal amount of such Original Issue Discount Securities shall be deemed to be the amount of the principal thereof that would be due and payable upon a declaration of acceleration of the Maturity thereof as of the date the taking of such action by the Holders of such requisite principal amount is evidenced to the Trustee as provided in the first sentence of this Section 1.04(a). Such instrument or instruments (and the action embodied therein and evidenced thereby) are herein sometimes referred to as the “Act” of the Securityholders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88" w:lineRule="exact"/>
        <w:rPr>
          <w:rFonts w:ascii="Arial" w:cs="Arial" w:eastAsia="Arial" w:hAnsi="Arial"/>
          <w:sz w:val="17"/>
          <w:szCs w:val="17"/>
          <w:color w:val="auto"/>
        </w:rPr>
      </w:pPr>
    </w:p>
    <w:p>
      <w:pPr>
        <w:jc w:val="both"/>
        <w:ind w:firstLine="644"/>
        <w:spacing w:after="0" w:line="255" w:lineRule="auto"/>
        <w:tabs>
          <w:tab w:leader="none" w:pos="9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92" w:lineRule="exact"/>
        <w:rPr>
          <w:rFonts w:ascii="Arial" w:cs="Arial" w:eastAsia="Arial" w:hAnsi="Arial"/>
          <w:sz w:val="18"/>
          <w:szCs w:val="18"/>
          <w:color w:val="auto"/>
        </w:rPr>
      </w:pPr>
    </w:p>
    <w:p>
      <w:pPr>
        <w:ind w:left="880" w:hanging="236"/>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2" w:name="page133"/>
    <w:bookmarkEnd w:id="132"/>
    <w:p>
      <w:pPr>
        <w:jc w:val="both"/>
        <w:ind w:left="660" w:firstLine="644"/>
        <w:spacing w:after="0" w:line="287" w:lineRule="auto"/>
        <w:tabs>
          <w:tab w:leader="none" w:pos="1574"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the Company shall solicit from the Holders any request, demand, authorization, direction, notice, consent, waiver or other action, the Company may, at its option, fix in advance a record date for the determination of Holders entitled to give such request, demand, authorization, direction, notice, consent, waiver or other action, but the Company shall have no obligation to do so. Such record date shall be the later of 10 days prior to the first solicitation of such action or the date of the most recent list of Holders furnished to the Trustee pursuant to Section 7.01. If such a record date is fixed, such request, demand, authorization, direction, notice, consent, waiver or other action may be given before or after the record date, but only the Holders of record at the close of business on the record date shall be deemed to be Holders for the purposes of determining whether Holders of the requisite proportion of Securities outstanding have authorized or agreed or consented to such request, demand, authorization, direction, notice, consent, waiver or other action, and for that purpose the Securities outstanding shall be computed as of the record date; provided that no such authorization, agreement or consent by the Holders on the record date shall be deemed effective unless it shall become effective pursuant to the provisions of this Indenture not later than six months after the record date, and that no such authorization, agreement or consent may be amended, withdrawn or revoked once given by a Holder, unless the Company shall provide for such amendment, withdrawal or revocation in conjunction with such solicitation of authorizations, agreements or consents or unless and to the extent required by applicable law.</w:t>
      </w:r>
    </w:p>
    <w:p>
      <w:pPr>
        <w:spacing w:after="0" w:line="167" w:lineRule="exact"/>
        <w:rPr>
          <w:rFonts w:ascii="Arial" w:cs="Arial" w:eastAsia="Arial" w:hAnsi="Arial"/>
          <w:sz w:val="16"/>
          <w:szCs w:val="16"/>
          <w:color w:val="auto"/>
        </w:rPr>
      </w:pPr>
    </w:p>
    <w:p>
      <w:pPr>
        <w:jc w:val="both"/>
        <w:ind w:left="660" w:firstLine="644"/>
        <w:spacing w:after="0" w:line="286" w:lineRule="auto"/>
        <w:tabs>
          <w:tab w:leader="none" w:pos="157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by the Holder of any Security shall bind the Holder of every Security issued upon the registration of transfer thereof or in exchange therefor or in lieu thereof, in respect of anything done or suffered to be done by the Trustee or the Company in reliance thereon whether or not notation of such action is made upon such Security.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Securityholders or other document provided or permitted by this Indenture to be made upon, given or furnished to, or filed with:</w:t>
      </w:r>
    </w:p>
    <w:p>
      <w:pPr>
        <w:spacing w:after="0" w:line="211" w:lineRule="exact"/>
        <w:rPr>
          <w:sz w:val="20"/>
          <w:szCs w:val="20"/>
          <w:color w:val="auto"/>
        </w:rPr>
      </w:pPr>
    </w:p>
    <w:p>
      <w:pPr>
        <w:ind w:left="660" w:right="20" w:firstLine="644"/>
        <w:spacing w:after="0" w:line="277" w:lineRule="auto"/>
        <w:tabs>
          <w:tab w:leader="none" w:pos="15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by any Securityholder or by the Company shall be sufficient for every purpose hereunder if made, given, furnished or filed in writing to or with the Trustee at its Corporate Trust Office, Attention: Corporate Trust Administration; or</w:t>
      </w:r>
    </w:p>
    <w:p>
      <w:pPr>
        <w:spacing w:after="0" w:line="170" w:lineRule="exact"/>
        <w:rPr>
          <w:rFonts w:ascii="Arial" w:cs="Arial" w:eastAsia="Arial" w:hAnsi="Arial"/>
          <w:sz w:val="18"/>
          <w:szCs w:val="18"/>
          <w:color w:val="auto"/>
        </w:rPr>
      </w:pPr>
    </w:p>
    <w:p>
      <w:pPr>
        <w:jc w:val="both"/>
        <w:ind w:left="660" w:firstLine="644"/>
        <w:spacing w:after="0" w:line="279" w:lineRule="auto"/>
        <w:tabs>
          <w:tab w:leader="none" w:pos="157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by the Trustee or by any Securityholder shall be sufficient for every purpose hereunder (except as provided in Section 5.0 1(4) or, in the case of a request for repayment, as specified in the Security carrying the right to repayment) if in writing and mailed, first-class postage prepaid, to the Company addressed to it at the address of its principal office specified in the first paragraph of this instrument, Attention: Chief Financial Officer, or at the address last furnished in writing to the Trustee by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90"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Notices to Securityholders; Waiver</w:t>
      </w:r>
      <w:r>
        <w:rPr>
          <w:rFonts w:ascii="Arial" w:cs="Arial" w:eastAsia="Arial" w:hAnsi="Arial"/>
          <w:sz w:val="16"/>
          <w:szCs w:val="16"/>
          <w:color w:val="auto"/>
        </w:rPr>
        <w:t>. Where this Indenture or any Security provides for notice to Securityholders of any event, such notice shall be sufficiently given (unless otherwise herein or in such Security expressly provided) if in writing and mailed, first−class postage prepaid, to each Securityholder affected by such event, at his address as it appears in the Security Register, not later than the latest date, and not earlier than the earliest date, prescribed for the giving of such notice. In any case where notice to Securityholders is given by mail, neither the failure to mail such notice, nor any defect in any notice so mailed, to any particular Securityholder shall affect the sufficiency of such notice with respect to other Securityholders. Where this Indenture or any Security provides for notice in any manner, such notice may be waived in writing by the Person entitled to receive such notice, either before or after the event, and such waiver shall be the equivalent of such notice. Waivers of notice by Securityholders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case, by reason of the suspension of regular mail service as a result of a strike, work stoppage or otherwise, it shall be impractical to mail notice of any event to any Securityholder when such notice is required to be given pursuant to any provision of this Indenture, then any method of notification as shall be satisfactory to the Trustee and the Company shall be deemed to be a sufficient giving of such notice.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and to the extent that any provision hereof limits, qualifies or conflicts with the duties imposed by, or with another provision (an “incorporated provision”) included in this Indenture by operation of, any of Sections 310 to 318, inclusive, of the Trust Indenture Act, such imposed duties or incorporated provision shall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and the Guarantors, if any, shall bind their respective successors and assigns, whether so expressed or not.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any Securities, express or implied, shall give to any Person, other than the parties hereto and their successors hereunder, any Authenticating Agent or Paying Agent, the Security Registrar and the Holders of Securities (or such of them as may be affected thereby), any benefit or any legal or equitable right, remedy or claim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Indenture shall be construed in accordance with and governed by the laws of the State of New York.</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instrument may be executed in any number of counterparts, each of which so executed shall be deemed to be an original, but all such counterparts shall together constitute but one and the same instrument.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648"/>
        <w:spacing w:after="0" w:line="284"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premium or interest, if any,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New York Banking Day preceding that on which a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w:t>
      </w:r>
    </w:p>
    <w:p>
      <w:pPr>
        <w:spacing w:after="0" w:line="1" w:lineRule="exact"/>
        <w:rPr>
          <w:sz w:val="20"/>
          <w:szCs w:val="20"/>
          <w:color w:val="auto"/>
        </w:rPr>
      </w:pPr>
    </w:p>
    <w:p>
      <w:pPr>
        <w:jc w:val="both"/>
        <w:ind w:firstLine="8"/>
        <w:spacing w:after="0" w:line="253" w:lineRule="auto"/>
        <w:tabs>
          <w:tab w:leader="none" w:pos="269"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or a day on which banking institutions in the City of New York are authorized or required by law or executive order to close.</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Legal Holidays</w:t>
      </w:r>
      <w:r>
        <w:rPr>
          <w:rFonts w:ascii="Arial" w:cs="Arial" w:eastAsia="Arial" w:hAnsi="Arial"/>
          <w:sz w:val="17"/>
          <w:szCs w:val="17"/>
          <w:color w:val="auto"/>
        </w:rPr>
        <w:t>. In any case where any Interest Payment Date, Redemption Date, date established for payment of Defaulted Interest pursuant to Section 3.07, Stated Maturity or Maturity with respect to any Security or other day on which principal or interest is due, shall not be a Business Day, then (notwithstanding any other provision of this Indenture or any Security) payment of principal or interest need not be made on such date, but may be made on the next succeeding Business Day with the same force and effect as if made on the Interest Payment Date, Redemption Date, date established for payment of Defaulted Interest pursuant to Section 3.07 or Stated Maturity or Maturity; provided that no interest shall accrue for the period from and after such Interest Payment Date or other such day, Redemption Date, date established for payment of Defaulted Interest pursuant to Section 3.07, Stated Maturity or Maturity, as the case may be, to the next succeeding Business Day.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85"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Agent for Service; Submission to Jurisdiction; Waiver of Immunities and Jury Trial</w:t>
      </w:r>
      <w:r>
        <w:rPr>
          <w:rFonts w:ascii="Arial" w:cs="Arial" w:eastAsia="Arial" w:hAnsi="Arial"/>
          <w:sz w:val="16"/>
          <w:szCs w:val="16"/>
          <w:color w:val="auto"/>
        </w:rPr>
        <w:t>. The Company and each Guarantor agree that any suit, action or proceeding against the Company or any Guarantor arising out of or based upon this Indenture or the transactions contemplated hereby may be instituted in any State or Federal court in The City of New York, New York, and waives any objection which it may now or hereafter have to the laying of venue of any such proceeding, and irrevocably submits to the nonexclusive jurisdiction of such courts in any suit, action or proceeding. The Company and each Guarantor shall maintain in the Borough of Manhattan, The City of New York an office or agency to act as its authorized agent (the “Authorized Agent”) upon whom process may be served in any suit, action or proceeding arising out of or based upon this Indenture, any Security or the transactions contemplated herein or thereby which may be instituted in any State or Federal court in The City of New York, New York, and expressly accepts the nonexclusive jurisdiction of any such court in respect of any such suit, action or proceeding. The Company shall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at the Corporate Trust Office of the Trustee. The Company hereby designates the Corporate Trust Office as the Authorized Agent and appoints the Trustee its agent to receive all such process so long as such Corporate Trust Office remains the Authorized Agent. The Company and each Guarantor further agree to take any and all action as may be necessary to maintain such designation and appointment of such agent in full force and effect for a period of ten years from the date of this Indenture. If for any reason the Authorized Agent shall cease to be available to act as such authorized agent for the Company and any Guarantor, the Company and each Guarantor agree to designate a new agent in the State of New York on the terms and for the purpose of this Section 1.16. The Company and each Guarantor hereby represent and warrant that the Authorized Agent has accepted such appointment and has agreed to act as said agent for service of process, and the Company and each Guarantor agree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FORMS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 The Securities shall have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Any portion of the text of any Security may be set forth on the reverse thereof, with an appropriate reference thereto on the face of the Security.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definitive Securities shall be printed, lithographed or engraved or produced by any combination of these methods on steel engraved borders or may be produced in any other manner, all as determined by the officers executing such Securities, as evidenced by their execution of such Securities, subject, with respect to the Securities of any series, to the rules of any securities exchange on which such Securities are listed.</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Forms of Securities</w:t>
      </w:r>
      <w:r>
        <w:rPr>
          <w:rFonts w:ascii="Arial" w:cs="Arial" w:eastAsia="Arial" w:hAnsi="Arial"/>
          <w:sz w:val="18"/>
          <w:szCs w:val="18"/>
          <w:color w:val="auto"/>
        </w:rPr>
        <w:t>. Each Security shall be in one of the forms approved from time to time by or pursuant to a Board Resolution, or established in one or more indentures supplemental hereto. Prior to the delivery of a Security to the Trustee for authentication in any form approved by or pursuant to a Board Resolution, the Company shall deliver to the Trustee the Board Resolution by or pursuant to which such form of Security has been approved, which Board Resolution shall have attached thereto a true and correct copy of the form of Security which has been approved thereby or, if a Board Resolution authorizes a specific officer or officers to approve a form of Security, a certificate of such officer or officers approving the form of Security attached thereto. Any form of Security approved by or pursuant to a Board Resolution must be acceptable as to form to the Trustee, such acceptance to be evidenced by the Trustee’s authentication of Securities in that form or a certificate signed by a Responsible Officer of the Trustee and delivered to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firstLine="648"/>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The form of Trustee’s Certificate of Authentication for any Security issued pursuant to this Indenture shall be substantially as follows:</w:t>
      </w:r>
    </w:p>
    <w:p>
      <w:pPr>
        <w:spacing w:after="0" w:line="17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Securities Issuable in the Form of a Global Security</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7" w:lineRule="auto"/>
        <w:tabs>
          <w:tab w:leader="none" w:pos="1556" w:val="left"/>
        </w:tabs>
        <w:numPr>
          <w:ilvl w:val="1"/>
          <w:numId w:val="99"/>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Sections 2.02 and 3.01 that the Securities of a particular series are to be issued in whole or in part in the form of one or more Global Securities, then the Company shall execute and the Trustee or its agent shall, in accordance with Section 3.03 and the Company Order delivered to the Trustee or its agent thereunder, authenticate and deliver, such Global Security or Securities, which</w:t>
      </w:r>
    </w:p>
    <w:p>
      <w:pPr>
        <w:spacing w:after="0" w:line="2" w:lineRule="exact"/>
        <w:rPr>
          <w:rFonts w:ascii="Arial" w:cs="Arial" w:eastAsia="Arial" w:hAnsi="Arial"/>
          <w:sz w:val="16"/>
          <w:szCs w:val="16"/>
          <w:color w:val="auto"/>
        </w:rPr>
      </w:pPr>
    </w:p>
    <w:p>
      <w:pPr>
        <w:jc w:val="both"/>
        <w:ind w:left="660" w:hanging="4"/>
        <w:spacing w:after="0" w:line="286" w:lineRule="auto"/>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shall represent, and shall be denominated in an amount equal to the aggregate principal amount of, the Outstanding Securities of such series to be represented by such Global Security or Securities, or such portion thereof as the Company shall specify in a Company Order, (ii) shall be registered in the name of the Depository for such Global Security or Securities or its nominee, (iii) shall be delivered by the Trustee or its agent to the Depository or pursuant to the Depository’s instruction and (iv) shall bear a legend substantially to the following effect: “Unless this certificate is presented by an authorized representative of the Depository to Issuer or its agent for registration of transfer, exchange, or payment, and any certificate issued is registered in the name of the nominee of the Depository or in such other name as is requested by an authorized representative of the Depository (and any payment is made to the nominee of the Depository or to such other entity as is requested by an authorized representative of the Depository), ANY TRANSFER, PLEDGE, OR OTHER USE HEREOF FOR VALUE OR OTHERWISE BY OR TO ANY PERSON IS WRONGFUL inasmuch as the registered owner hereof, the nominee of the Depository, has an interest herein.”</w:t>
      </w:r>
    </w:p>
    <w:p>
      <w:pPr>
        <w:spacing w:after="0" w:line="172" w:lineRule="exact"/>
        <w:rPr>
          <w:rFonts w:ascii="Arial" w:cs="Arial" w:eastAsia="Arial" w:hAnsi="Arial"/>
          <w:sz w:val="16"/>
          <w:szCs w:val="16"/>
          <w:color w:val="auto"/>
        </w:rPr>
      </w:pPr>
    </w:p>
    <w:p>
      <w:pPr>
        <w:jc w:val="both"/>
        <w:ind w:left="660" w:firstLine="644"/>
        <w:spacing w:after="0" w:line="257" w:lineRule="auto"/>
        <w:tabs>
          <w:tab w:leader="none" w:pos="15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2.04 or of Section 3.05, and subject to the provisions of paragraph (iii) below, unless the terms of a Global Security expressly permit such Global Security to be exchanged in whole or in part for individual Securities, a Global Security may be transferred, in whole but not in part and in the manner provided in Section 3.05, only to a nominee of the Depository for such Global Security, or to the Depository, or a successor Depository for such Global Security selected or approved by the Company, or to a nominee of such successor Depository.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left="-460" w:firstLine="644"/>
        <w:spacing w:after="0" w:line="271" w:lineRule="auto"/>
        <w:tabs>
          <w:tab w:leader="none" w:pos="43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If at any time the Depository for a Global Security notifies the Company that it is unwilling or unable to continue as Depository for such Global Security or if at any time the Depository for the Securities for such series shall no longer be eligible or in good standing under the Securities Exchange Act of 1934, as amended, or other applicable statute or regulation, the Company shall appoint a successor Depository with respect to such Global Security. If a successor Depository for such Global Security is not appointed by the Company within 90 days after the Company receives such notice or becomes aware of such ineligibility, the Company will execute, and the Trustee or its agent, upon receipt of a Company Request for the authentication and delivery of individual Securities of such series in exchange for such Global Security, will authenticate and deliver, individual Securities of such series of like tenor and terms in an aggregate principal amount equal to the principal amount of the Global Security in exchange for such Global Security.</w:t>
      </w:r>
    </w:p>
    <w:p>
      <w:pPr>
        <w:spacing w:after="0" w:line="178" w:lineRule="exact"/>
        <w:rPr>
          <w:rFonts w:ascii="Arial" w:cs="Arial" w:eastAsia="Arial" w:hAnsi="Arial"/>
          <w:sz w:val="17"/>
          <w:szCs w:val="17"/>
          <w:color w:val="auto"/>
        </w:rPr>
      </w:pPr>
    </w:p>
    <w:p>
      <w:pPr>
        <w:jc w:val="both"/>
        <w:ind w:left="180" w:firstLine="652"/>
        <w:spacing w:after="0" w:line="273" w:lineRule="auto"/>
        <w:tabs>
          <w:tab w:leader="none" w:pos="1099"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Company may at any time and in its sole discretion determine that the Securities of any series or portion thereof issued or issuable in the form of one or more Global Securities shall no longer be represented by such Global Security or Securities. In such event the Company will execute, and the Trustee, upon receipt of a Company Request for the authentication and delivery of individual Securities of such series in exchange in whole or in part for such Global Security, will authenticate and deliver individual Securities of such series of like tenor and terms in definitive form in an aggregate principal amount equal to the principal amount of such Global Security or Securities representing such series or portion thereof in exchange for such Global Security or Securities.</w:t>
      </w:r>
    </w:p>
    <w:p>
      <w:pPr>
        <w:spacing w:after="0" w:line="177" w:lineRule="exact"/>
        <w:rPr>
          <w:rFonts w:ascii="Arial" w:cs="Arial" w:eastAsia="Arial" w:hAnsi="Arial"/>
          <w:sz w:val="17"/>
          <w:szCs w:val="17"/>
          <w:color w:val="auto"/>
        </w:rPr>
      </w:pPr>
    </w:p>
    <w:p>
      <w:pPr>
        <w:jc w:val="both"/>
        <w:ind w:left="180" w:firstLine="652"/>
        <w:spacing w:after="0" w:line="270" w:lineRule="auto"/>
        <w:tabs>
          <w:tab w:leader="none" w:pos="114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specified by the Company pursuant to Sections 2.02 and 3.02 with respect to Securities issued or issuable in the form of a Global Security, the Depository for such Global Security may surrender such Global Security in exchange in whole or in part for individual Securities of such series of like tenor and terms in definitive form on such terms as are acceptable to the Company and such Depository Thereupon the Company shall execute, and the Trustee or its agent shall authenticate and deliver, without service charge, (1) to each Person specified by such Depository a new Security or Securities of the same series of like tenor and terms and of any authorized denomination as requested by such Person in aggregate principal amount equal to and in exchange for such Person’s beneficial interest as specified by such Depository in the Global Security; and (2) to such Depository a new Global Security of like tenor and terms and in an authorized denomination equal to the difference, if any, between the principal amount of the surrendered Global Security and the aggregate principal amount of Securities delivered to Holders thereof.</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8" w:name="page139"/>
    <w:bookmarkEnd w:id="138"/>
    <w:p>
      <w:pPr>
        <w:jc w:val="both"/>
        <w:ind w:left="1300" w:firstLine="652"/>
        <w:spacing w:after="0" w:line="291" w:lineRule="auto"/>
        <w:tabs>
          <w:tab w:leader="none" w:pos="227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any exchange provided for in any of the preceding three paragraphs, the Company will execute and the Trustee or its agent will authenticate and deliver individual Securities in definitive registered form in authorized denominations. Upon the exchange of the entire principal amount of a Global Security for individual Securities, such Global Security shall be canceled by the Trustee or its agent. Except as provided in the preceding paragraph, Securities issued in exchange for a Global Security pursuant to this Section shall be registered in such names and in such authorized denominations as the Depository for such Global Security, pursuant to instructions from its direct or indirect participants or otherwise, shall instruct the Trustee or the Security Registrar. The Trustee or the Security Registrar shall deliver at its Corporate Trust Office such Securities to the Persons in whose names such Securities are so registered.</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General Title; General Limitations; Issuable in Series; Terms of Particular Series</w:t>
      </w:r>
      <w:r>
        <w:rPr>
          <w:rFonts w:ascii="Arial" w:cs="Arial" w:eastAsia="Arial" w:hAnsi="Arial"/>
          <w:sz w:val="18"/>
          <w:szCs w:val="18"/>
          <w:color w:val="auto"/>
        </w:rPr>
        <w:t>. The aggregate principal amount of Securities which may be authenticated and delivered and Outstanding under this Indenture is not limited.</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Securities may be issued in one or more series as from time to time may be authorized by the Board of Directors. There shall be established in or pursuant to a Board Resolution or in an indenture supplemental hereto, subject to Section 3.12, prior to the issuance of Securities of any such series:</w:t>
      </w:r>
    </w:p>
    <w:p>
      <w:pPr>
        <w:spacing w:after="0" w:line="124" w:lineRule="exact"/>
        <w:rPr>
          <w:sz w:val="20"/>
          <w:szCs w:val="20"/>
          <w:color w:val="auto"/>
        </w:rPr>
      </w:pPr>
    </w:p>
    <w:p>
      <w:pPr>
        <w:ind w:left="1540" w:hanging="236"/>
        <w:spacing w:after="0"/>
        <w:tabs>
          <w:tab w:leader="none" w:pos="15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title of the Securities of such series (which shall distinguish the Securities of such series from Securities of any other series);</w:t>
      </w:r>
    </w:p>
    <w:p>
      <w:pPr>
        <w:spacing w:after="0" w:line="236" w:lineRule="exact"/>
        <w:rPr>
          <w:rFonts w:ascii="Arial" w:cs="Arial" w:eastAsia="Arial" w:hAnsi="Arial"/>
          <w:sz w:val="17"/>
          <w:szCs w:val="17"/>
          <w:color w:val="auto"/>
        </w:rPr>
      </w:pPr>
    </w:p>
    <w:p>
      <w:pPr>
        <w:ind w:left="660" w:right="20" w:firstLine="644"/>
        <w:spacing w:after="0" w:line="308" w:lineRule="auto"/>
        <w:tabs>
          <w:tab w:leader="none" w:pos="156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Person to whom any interest on a Security of such series shall be payable, if other than the Person in whose name that Security (or one or more Predecessor Securities) is registered at the close of business on the Regular Record Date for such interest;</w:t>
      </w:r>
    </w:p>
    <w:p>
      <w:pPr>
        <w:spacing w:after="0" w:line="146" w:lineRule="exact"/>
        <w:rPr>
          <w:rFonts w:ascii="Arial" w:cs="Arial" w:eastAsia="Arial" w:hAnsi="Arial"/>
          <w:sz w:val="17"/>
          <w:szCs w:val="17"/>
          <w:color w:val="auto"/>
        </w:rPr>
      </w:pPr>
    </w:p>
    <w:p>
      <w:pPr>
        <w:ind w:left="1540" w:hanging="236"/>
        <w:spacing w:after="0"/>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such series is payable;</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at which the Securities of such series shall bear interest, if any, the date or dates from which such interest shall accrue, the Interest Payment Dates on which any such interest shall be payable and the Regular Record Date for any interest payable on any Interest Payment Date;</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Securities of such series shall be payable;</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3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period or periods within which, the Redemption Price or Prices or the Repayment Price or Prices, as the case may be, at which and the terms and conditions upon which Securities of such series may be redeemed or repaid (including the applicability of Section 11.09), as the case may be, in whole or in part, at the option of the Company or the Holder;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4"/>
        <w:spacing w:after="0" w:line="263" w:lineRule="auto"/>
        <w:tabs>
          <w:tab w:leader="none" w:pos="9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obligation, if any, of the Company to purchase Securities of such series pursuant to any sinking fund or analogous provisions or at the option of a Holder thereof and the period or periods within which, the price or prices at which and the terms and conditions upon which Securities of such series shall be purchased, in whole or in part, pursuant to such obligation;</w:t>
      </w:r>
    </w:p>
    <w:p>
      <w:pPr>
        <w:spacing w:after="0" w:line="183" w:lineRule="exact"/>
        <w:rPr>
          <w:rFonts w:ascii="Arial" w:cs="Arial" w:eastAsia="Arial" w:hAnsi="Arial"/>
          <w:sz w:val="18"/>
          <w:szCs w:val="18"/>
          <w:color w:val="auto"/>
        </w:rPr>
      </w:pPr>
    </w:p>
    <w:p>
      <w:pPr>
        <w:ind w:left="900" w:hanging="256"/>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such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firstLine="644"/>
        <w:spacing w:after="0" w:line="277" w:lineRule="auto"/>
        <w:tabs>
          <w:tab w:leader="none" w:pos="8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provisions, if any, with regard to the conversion or exchange of the Securities of such series, at the option of the Holders thereof or the Company, as the case may be, for or into new Securities of a different series or other securities;</w:t>
      </w:r>
    </w:p>
    <w:p>
      <w:pPr>
        <w:spacing w:after="0" w:line="170" w:lineRule="exact"/>
        <w:rPr>
          <w:rFonts w:ascii="Arial" w:cs="Arial" w:eastAsia="Arial" w:hAnsi="Arial"/>
          <w:sz w:val="18"/>
          <w:szCs w:val="18"/>
          <w:color w:val="auto"/>
        </w:rPr>
      </w:pPr>
    </w:p>
    <w:p>
      <w:pPr>
        <w:ind w:firstLine="644"/>
        <w:spacing w:after="0" w:line="342" w:lineRule="auto"/>
        <w:tabs>
          <w:tab w:leader="none" w:pos="87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Securities of such series shall be denominated and in which payments of principal of, and any premium and interest on, such Securities shall or may be payable;</w:t>
      </w:r>
    </w:p>
    <w:p>
      <w:pPr>
        <w:spacing w:after="0" w:line="123" w:lineRule="exact"/>
        <w:rPr>
          <w:rFonts w:ascii="Arial" w:cs="Arial" w:eastAsia="Arial" w:hAnsi="Arial"/>
          <w:sz w:val="16"/>
          <w:szCs w:val="16"/>
          <w:color w:val="auto"/>
        </w:rPr>
      </w:pPr>
    </w:p>
    <w:p>
      <w:pPr>
        <w:jc w:val="both"/>
        <w:ind w:firstLine="644"/>
        <w:spacing w:after="0" w:line="286" w:lineRule="auto"/>
        <w:tabs>
          <w:tab w:leader="none" w:pos="91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the principal of (and premium, if any) or interest, if any, on the Securities of such series are to be payable, at the election of the Company or a Holder thereof, in a coin or currency (including a composite currency) other than that in which the Securities are stated to be payable, the period or periods within which, and the terms and conditions upon which, such election may be made;</w:t>
      </w:r>
    </w:p>
    <w:p>
      <w:pPr>
        <w:spacing w:after="0" w:line="165" w:lineRule="exact"/>
        <w:rPr>
          <w:rFonts w:ascii="Arial" w:cs="Arial" w:eastAsia="Arial" w:hAnsi="Arial"/>
          <w:sz w:val="17"/>
          <w:szCs w:val="17"/>
          <w:color w:val="auto"/>
        </w:rPr>
      </w:pPr>
    </w:p>
    <w:p>
      <w:pPr>
        <w:jc w:val="both"/>
        <w:ind w:firstLine="644"/>
        <w:spacing w:after="0" w:line="263" w:lineRule="auto"/>
        <w:tabs>
          <w:tab w:leader="none" w:pos="8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Securities of such series may be determined with reference to an index based on a coin or currency (including a composite currency) other than that in which the Securities are stated to be payable, the manner in which such amounts shall be determined;</w:t>
      </w:r>
    </w:p>
    <w:p>
      <w:pPr>
        <w:spacing w:after="0" w:line="183" w:lineRule="exact"/>
        <w:rPr>
          <w:rFonts w:ascii="Arial" w:cs="Arial" w:eastAsia="Arial" w:hAnsi="Arial"/>
          <w:sz w:val="18"/>
          <w:szCs w:val="18"/>
          <w:color w:val="auto"/>
        </w:rPr>
      </w:pPr>
    </w:p>
    <w:p>
      <w:pPr>
        <w:jc w:val="both"/>
        <w:ind w:firstLine="644"/>
        <w:spacing w:after="0" w:line="259" w:lineRule="auto"/>
        <w:tabs>
          <w:tab w:leader="none" w:pos="96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which may be authenticated and delivered under this Indenture (except for Securities authenticated and delivered upon registration of transfer of, or in exchange for, or in lieu of, other Securities of such series pursuant to Sections 3.04, 3.05, 3.06, 9.06 and 11.07 and except for any Securities which, pursuant to Section 3.03, are deemed never to have been authenticated and delivered hereunder);</w:t>
      </w:r>
    </w:p>
    <w:p>
      <w:pPr>
        <w:spacing w:after="0" w:line="186" w:lineRule="exact"/>
        <w:rPr>
          <w:rFonts w:ascii="Arial" w:cs="Arial" w:eastAsia="Arial" w:hAnsi="Arial"/>
          <w:sz w:val="18"/>
          <w:szCs w:val="18"/>
          <w:color w:val="auto"/>
        </w:rPr>
      </w:pPr>
    </w:p>
    <w:p>
      <w:pPr>
        <w:jc w:val="both"/>
        <w:ind w:firstLine="644"/>
        <w:spacing w:after="0" w:line="263" w:lineRule="auto"/>
        <w:tabs>
          <w:tab w:leader="none" w:pos="9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provisions, if any, with regard to the exchange of Securities of such series, at the option of the Holders thereof, for other Securities of the same series of the same aggregate principal amount or of a different authorized series or different authorized denomination or denominations, or both;</w:t>
      </w:r>
    </w:p>
    <w:p>
      <w:pPr>
        <w:spacing w:after="0" w:line="183" w:lineRule="exact"/>
        <w:rPr>
          <w:rFonts w:ascii="Arial" w:cs="Arial" w:eastAsia="Arial" w:hAnsi="Arial"/>
          <w:sz w:val="18"/>
          <w:szCs w:val="18"/>
          <w:color w:val="auto"/>
        </w:rPr>
      </w:pPr>
    </w:p>
    <w:p>
      <w:pPr>
        <w:jc w:val="both"/>
        <w:ind w:firstLine="644"/>
        <w:spacing w:after="0" w:line="259" w:lineRule="auto"/>
        <w:tabs>
          <w:tab w:leader="none" w:pos="91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provisions, if any, with regard to the appointment by the Company of an Authenticating Agent in one or more places other than the location of the office of the Trustee with power to act on behalf of the Trustee and subject to its direction in the authentication and delivery of the Securities of any one or more series in connection with such transactions as shall be specified in the provisions of this Indenture or in or pursuant to such Board Resolution or indenture supplemental hereto;</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0" w:name="page141"/>
    <w:bookmarkEnd w:id="140"/>
    <w:p>
      <w:pPr>
        <w:ind w:left="660" w:right="20" w:firstLine="644"/>
        <w:spacing w:after="0" w:line="308" w:lineRule="auto"/>
        <w:tabs>
          <w:tab w:leader="none" w:pos="156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portion of the principal amount of Securities of the series, if other than the principal amount thereof, which shall be payable upon declaration of acceleration of the Maturity thereof pursuant to Section 5.02 or provable in bankruptcy pursuant to Section 5.04;</w:t>
      </w:r>
    </w:p>
    <w:p>
      <w:pPr>
        <w:spacing w:after="0" w:line="146" w:lineRule="exact"/>
        <w:rPr>
          <w:rFonts w:ascii="Arial" w:cs="Arial" w:eastAsia="Arial" w:hAnsi="Arial"/>
          <w:sz w:val="17"/>
          <w:szCs w:val="17"/>
          <w:color w:val="auto"/>
        </w:rPr>
      </w:pPr>
    </w:p>
    <w:p>
      <w:pPr>
        <w:ind w:left="660" w:firstLine="644"/>
        <w:spacing w:after="0" w:line="277" w:lineRule="auto"/>
        <w:tabs>
          <w:tab w:leader="none" w:pos="156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Event of Default with respect to the Securities of such series, if not set forth herein, and any additions, deletions or other changes to the Events of Default set forth herein that shall be applicable to the Securities of such series;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4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covenant solely for the benefit of the Securities of such series and any additions, deletions or other changes to the provisions of Article VIII, Article X or Section 1.01 or any definitions relating to such Article that would otherwise be applicable to the Securities of such series;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Section 4.03 of this Indenture shall not be applicable to the Securities of such series and if Section 4.03 shall be applicable to any covenant or Event of Default established in or pursuant to a Board Resolution or in an indenture supplemental hereto as described above that has not already been established herein;</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amendments or modifications to the subordination provisions in Article XII;</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Securities of such series shall be issued in whole or in part in the form of a Global Security or Securities, the terms and conditions, if any, upon which such Global Security or Securities may be exchanged in whole or in part for other individual Securities; and the Depository for such Global Security or Securities;</w:t>
      </w:r>
    </w:p>
    <w:p>
      <w:pPr>
        <w:spacing w:after="0" w:line="183"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Securities of such series shall be guaranteed, the terms and conditions of such Guarantees and provisions for the accession of the guarantors to certain obligations hereunder;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6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terms of such series, including, without limitations, any restrictions on transfer related thereto all upon such terms as may be determined in or pursuant to such Board Resolution or indenture supplemental hereto with respect to such series.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form of the Securities of each series shall be established pursuant to the provisions of this Indenture in or pursuant to the Board Resolution or in the indenture supplemental hereto creating such series. The Securities of each series shall be distinguished from the Securities of each other series in such manner, reasonably satisfactory to the Trustee, as the Board of Directors may determine.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provided with respect to Securities of a particular series, the Securities of any series may only be issuable in registered form, without coupons.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terms or provisions in respect of the Securities of any series issued under this Indenture may be determined pursuant to this Section by providing for the method by which such terms or provisions shall be determined.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648"/>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The Securities of each series shall be issuable in such denominations and currency as shall be provided in the provisions of this Indenture or in or pursuant to the Board Resolution or the indenture supplemental hereto creating such series. In the absence of any such provisions with respect to the Securities of any series, the Securities of that series shall be issuable only in fully registered form in denominations of $1,000 and any integral multiple thereof.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and Delivery and Dating</w:t>
      </w:r>
      <w:r>
        <w:rPr>
          <w:rFonts w:ascii="Arial" w:cs="Arial" w:eastAsia="Arial" w:hAnsi="Arial"/>
          <w:sz w:val="18"/>
          <w:szCs w:val="18"/>
          <w:color w:val="auto"/>
        </w:rPr>
        <w:t>. The Securities shall be executed on behalf of the Company by any Responsible Officer. The signature of any of these officers on the Securities may be manual or facsimile.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executed by the Company to the Trustee for authentication; and the Trustee shall, upon Company Order, authenticate and deliver such Securities as in this Indenture provided and not otherwise.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any such authentication and delivery, the Trustee shall be provided with the Officers’ Certificate required to be furnished to the Trustee pursuant to Section 1.02, and the Board Resolution and any certificate relating to the issuance of the series of Securities required to be furnished pursuant to Section 2.02, an Opinion of Counsel substantially to the effect that:</w:t>
      </w:r>
    </w:p>
    <w:p>
      <w:pPr>
        <w:spacing w:after="0" w:line="184" w:lineRule="exact"/>
        <w:rPr>
          <w:sz w:val="20"/>
          <w:szCs w:val="20"/>
          <w:color w:val="auto"/>
        </w:rPr>
      </w:pPr>
    </w:p>
    <w:p>
      <w:pPr>
        <w:ind w:left="660" w:right="20" w:firstLine="644"/>
        <w:spacing w:after="0" w:line="277" w:lineRule="auto"/>
        <w:tabs>
          <w:tab w:leader="none" w:pos="15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instruments furnished to the Trustee conform to the requirements of the Indenture and constitute sufficient authority hereunder for the Trustee to authenticate and deliver such Securities;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form and terms of such Securities have been established in conformity with the provisions of this Indenture;</w:t>
      </w:r>
    </w:p>
    <w:p>
      <w:pPr>
        <w:spacing w:after="0" w:line="225" w:lineRule="exact"/>
        <w:rPr>
          <w:rFonts w:ascii="Arial" w:cs="Arial" w:eastAsia="Arial" w:hAnsi="Arial"/>
          <w:sz w:val="18"/>
          <w:szCs w:val="18"/>
          <w:color w:val="auto"/>
        </w:rPr>
      </w:pPr>
    </w:p>
    <w:p>
      <w:pPr>
        <w:jc w:val="both"/>
        <w:ind w:left="660" w:firstLine="644"/>
        <w:spacing w:after="0" w:line="293" w:lineRule="auto"/>
        <w:tabs>
          <w:tab w:leader="none" w:pos="155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laws and requirements with respect to the execution and delivery by the Company of such Securities have been complied with, the Company has the corporate power to issue such Securities and such Securities have been duly authorized and delivered by the Company and, assuming due authentication and delivery by the Trustee, constitute legal, valid and binding obligations of the Company enforceable in accordance with their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 and entitled to the benefits of this Indenture, equally and ratably with all other Securities, if any, of such series Outstanding;</w:t>
      </w:r>
    </w:p>
    <w:p>
      <w:pPr>
        <w:spacing w:after="0" w:line="164" w:lineRule="exact"/>
        <w:rPr>
          <w:rFonts w:ascii="Arial" w:cs="Arial" w:eastAsia="Arial" w:hAnsi="Arial"/>
          <w:sz w:val="16"/>
          <w:szCs w:val="16"/>
          <w:color w:val="auto"/>
        </w:rPr>
      </w:pPr>
    </w:p>
    <w:p>
      <w:pPr>
        <w:ind w:left="1560" w:hanging="256"/>
        <w:spacing w:after="0"/>
        <w:tabs>
          <w:tab w:leader="none" w:pos="15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when applicable, the Indenture is qualified under the Trust Indenture Act;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left="660" w:firstLine="644"/>
        <w:spacing w:after="0" w:line="254" w:lineRule="auto"/>
        <w:tabs>
          <w:tab w:leader="none" w:pos="156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other matters as the Trustee may reasonably request; and, if the authentication and delivery relates to a new series of Securities created by an indenture supplemental hereto, also stating that all laws and requirements with respect to the form and execution by the Company of the supplemental indenture with respect to that series of Securities have been complied with, the Company has corporate power to execute and deliver any such supplemental indenture and has taken all necessary corporate action for those purposes and any such supplemental indenture has been duly executed and delivered and constitutes the legal, valid and binding obligation of the Company enforceable in accordance with its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not be required to authenticate such Securities if the issue thereof will adversely affect the Trustee’s own rights, duties or immunities under the Securities and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provided in the form of Security for any series, all Securities shall be dated the date of their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Pending the preparation of definitive Securities of any series, the Company may execute, and, upon receipt of the documents required by Section 3.03, together with a Company Order, the Trustee shall authenticate and deliver, temporary Securities which are printed, lithographed, typewritten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temporary Securities of any series are issued, the Company will cause definitive Securities of such series to be prepared without unreasonable delay. After the preparation of definitive Securities, the temporary Securities of such series shall be exchangeable for definitive Securities of such series upon surrender of the temporary Securities of such series at the office or agency of the Company in a Place of Payment, without charge to the Holder; and upon surrender for cancellation of any one or more temporary Securities the Company shall execute and the Trustee shall authenticate and deliver in exchange therefor a like principal amount of definitive Securities of such series of authorized denominations and of like tenor and terms. Until so exchanged the temporary Securities of such series shall in all respects be entitled to the same benefits under this Indenture as definitive Securities of such series.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648"/>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Transfer and Exchange</w:t>
      </w:r>
      <w:r>
        <w:rPr>
          <w:rFonts w:ascii="Arial" w:cs="Arial" w:eastAsia="Arial" w:hAnsi="Arial"/>
          <w:sz w:val="18"/>
          <w:szCs w:val="18"/>
          <w:color w:val="auto"/>
        </w:rPr>
        <w:t>. The Company shall keep or cause to be kept a register or registers (herein sometimes referred to as the “Security Register”) in which, subject to such reasonable regulations as it may prescribe, the Company shall provide for the registration of Securities, or of Securities of a particular series, and of transfers of Securities or of Securities of such series. Any such register shall be in written form or in any other form capable of being converted into written form within a reasonable time. At all reasonable times the information contained in such register or registers shall be available for inspection by the Trustee at the office or agency to be maintained by the Company as provided in Section 10.02. There shall be only one Security Register per series of Securities.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2.04, upon surrender for registration of transfer of any Security of any series at the office or agency of the Company maintained for such purpose in a Place of Payment, the Company shall execute, and the Trustee shall authenticate and deliver, in the name of the designated transferee or transferees, one or more new Securities of such series of any authorized denominations, of a like aggregate principal amount and Stated Maturity and of like tenor and terms.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2.04, at the option of the Holder, Securities of any series may be exchanged for other Securities of such series of any authorized denominations, of a like aggregate principal amount and Stated Maturity and of like tenor and terms, upon surrender of the Securities to be exchanged at such office or agency. Whenever any Securities are so surrendered for exchange, the Company shall execute, and the Trustee shall authenticate and deliver, the Securities which the Securityholder making the exchange is entitled to receive.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Every Security presented or surrendered for registration of transfer or exchange shall (if so required by the Company or the Trustee) be duly endorsed, or be accompanied by a written instrument of transfer in form satisfactory to the Company and the Trustee duly executed, by the Holder thereof or his attorney duly authorized in writing.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in the Security to be registered for transfer or exchanged, no service charge shall be made on any Securityholder for any registration of transfer or exchange of Securities, but the Company may (unless otherwise provided in such Security)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not be required (i) to issue, register the transfer of or exchange any Security of any series during a period beginning at the opening of business 15 days before the day of the mailing of a notice of redemption of Securities of such series selected for redemption under Section 11.03 and ending at the close of business on the date of such mailing, or (ii) to register the transfer of or exchange any Security so selected for redemption in whole or in part.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48"/>
        <w:spacing w:after="0" w:line="255"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If (i) any mutilated Security is surrendered to the Trustee, or the Company and the Trustee receive evidence to their satisfaction of the destruction, loss or theft of any Security, and (ii) there is delivered to the Company and the Trustee such security or indemnity as may be required by them to save each of them harmless, then, in the absence of notice to the Company or the Trustee that such Security has been acquired by a protected purchaser, the Company shall execute and upon its written request the Trustee shall authenticate and deliver, in exchange for or in lieu of any such mutilated, destroyed, lost or stolen Security, a new Security of like tenor, series, Stated Maturity and principal amount, bearing a number not contemporaneously outstanding.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Every new Security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the same series duly issued hereunder.</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 Unless otherwise provided with respect to such Security pursuant to Section 3.01,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59" w:lineRule="auto"/>
        <w:rPr>
          <w:sz w:val="20"/>
          <w:szCs w:val="20"/>
          <w:color w:val="auto"/>
        </w:rPr>
      </w:pPr>
      <w:r>
        <w:rPr>
          <w:rFonts w:ascii="Arial" w:cs="Arial" w:eastAsia="Arial" w:hAnsi="Arial"/>
          <w:sz w:val="18"/>
          <w:szCs w:val="18"/>
          <w:color w:val="auto"/>
        </w:rPr>
        <w:t>Any interest on any Security which is payable, but is not punctually paid or duly provided for, on any Interest Payment Date (herein called “Defaulted Interest”) shall forthwith cease to be payable to the registered Holder on the relevant Regular Record Date by virtue of his having been such Holder; and, except as hereinafter provided, such Defaulted Interest may be paid by the Company, at its election in each case, as provided in clause (a) or clause (b) below:</w:t>
      </w:r>
    </w:p>
    <w:p>
      <w:pPr>
        <w:spacing w:after="0" w:line="187" w:lineRule="exact"/>
        <w:rPr>
          <w:sz w:val="20"/>
          <w:szCs w:val="20"/>
          <w:color w:val="auto"/>
        </w:rPr>
      </w:pPr>
    </w:p>
    <w:p>
      <w:pPr>
        <w:jc w:val="both"/>
        <w:ind w:left="660" w:firstLine="644"/>
        <w:spacing w:after="0" w:line="268" w:lineRule="auto"/>
        <w:tabs>
          <w:tab w:leader="none" w:pos="157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any such Securities (or their respective Predecessor Securities) are registered at the close of business on a special record date for the payment of such Defaulted Interest, which shall be fixed in the following manner (the “Special Record Date”).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in trust for the benefit of the Persons entitled to such Defaulted Interest as in this clause (a) provided. Thereupon the Trustee shall fix a Special Record Date for the payment of such Defaulted Interest which shall be not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the Holder of each such Security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and shall no longer be payable pursuant to the following clause (b).</w:t>
      </w:r>
    </w:p>
    <w:p>
      <w:pPr>
        <w:spacing w:after="0" w:line="181" w:lineRule="exact"/>
        <w:rPr>
          <w:rFonts w:ascii="Arial" w:cs="Arial" w:eastAsia="Arial" w:hAnsi="Arial"/>
          <w:sz w:val="17"/>
          <w:szCs w:val="17"/>
          <w:color w:val="auto"/>
        </w:rPr>
      </w:pPr>
    </w:p>
    <w:p>
      <w:pPr>
        <w:jc w:val="both"/>
        <w:ind w:left="660" w:firstLine="644"/>
        <w:spacing w:after="0" w:line="259" w:lineRule="auto"/>
        <w:tabs>
          <w:tab w:leader="none" w:pos="15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(b), such manner of payment shall be deemed practicable by the Trustee.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installment of interest the Stated Maturity of which is on or prior to the Redemption Date for any Security called for redemption pursuant to Article XI is not paid or duly provided for on or prior to the Redemption Date in accordance with the foregoing provisions of this Section, such interest shall be payable as part of the Redemption Price of such Securities.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Company, the Trustee and any agent of the Company or the Trustee may treat the Person in whose name any Security is registered as the owner of such Security for the purpose of receiving payment of principal of (and premium, if any), and (subject to Section 3.07) interest on, such Security and for all other purposes whatsoever, whether or not such Security be overdue, and neither the Company, the Trustee nor any agent of the Company or the Trustee shall be affected by notice to the contrary.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648"/>
        <w:spacing w:after="0" w:line="25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Cancellation</w:t>
      </w:r>
      <w:r>
        <w:rPr>
          <w:rFonts w:ascii="Arial" w:cs="Arial" w:eastAsia="Arial" w:hAnsi="Arial"/>
          <w:sz w:val="18"/>
          <w:szCs w:val="18"/>
          <w:color w:val="auto"/>
        </w:rPr>
        <w:t>. All Securities surrendered for payment, redemption, registration of transfer, exchange or credit against a sinking fund shall, if surrendered to any Person other than the Trustee, be delivered to the Trustee and, if not already canceled,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Security shall be authenticated in lieu of or in exchange for any Securities canceled as provided in this Section, except as expressly permitted by this Indenture. The Trustee shall dispose of all canceled Securities in accordance with its standard procedures and deliver a certificate of such disposition to the Company upon its written request therefor.</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CUSIP and CINS Numbers</w:t>
      </w:r>
      <w:r>
        <w:rPr>
          <w:rFonts w:ascii="Arial" w:cs="Arial" w:eastAsia="Arial" w:hAnsi="Arial"/>
          <w:sz w:val="17"/>
          <w:szCs w:val="17"/>
          <w:color w:val="auto"/>
        </w:rPr>
        <w:t>. The Company in issuing any Securities may use “CUSIP” and “CINS” numbers (if then generally in use) and, if so, the Trustee shall use “CUSIP” and “CINS” numbers in notices of redemption as a convenience to Securityholders; provided that any such notice may state that no representation is made as to the correctness of such numbers either as printed on such Securities or as contained in any notice of a redemption and that reliance may be placed only on the other identification numbers printed on such Securities, and any such redemption shall not be affected by any defect in or omission of such numbers in such notices of redemption.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Unless otherwise provided as contemplated in Section 3.01, interest on the Securities shall be calculated on the basis of a 360-day year of twelve 30 day months.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Delayed Issuance of Securities</w:t>
      </w:r>
      <w:r>
        <w:rPr>
          <w:rFonts w:ascii="Arial" w:cs="Arial" w:eastAsia="Arial" w:hAnsi="Arial"/>
          <w:sz w:val="16"/>
          <w:szCs w:val="16"/>
          <w:color w:val="auto"/>
        </w:rPr>
        <w:t>. Notwithstanding any contrary provision herein, if all Securities of a series are not to be originally issued at one time, it shall not be necessary for the Company to deliver to the Trustee an Officers’ Certificate, Board Resolution, indenture supplemental hereto, Opinion of Counsel or Company Order otherwise required pursuant to Sections 1.02, 2.02, 3.01 and 3.03 at or prior to the time of authentication of each Security of such series if such documents are delivered to the Trustee or its agent at or prior to the authentication upon original issuance of the first Security of such series to be issued; provided that any subsequent request by the Company to the Trustee to authenticate Securities of such series upon original issuance shall constitute a representation and warranty by the Company that as of the date of such request, the statements made in the Officers’ Certificate or other certificates delivered pursuant to Sections 1.02 and 2.02 shall be true and correct as if made on such date.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Company Order, Officers’ Certificate or Board Resolution or indenture supplemental hereto delivered by the Company to the Trustee in the circumstances set forth in the preceding paragraph may provide that Securities which are the subject thereof will be authenticated and delivered by the Trustee or its agent on original issue from time to time in the aggregate principal amount, if any, established for such series pursuant to such procedures reasonably acceptable to the Trustee as may be specified from time to time by Company Order upon the telephonic, electronic or written order of Persons designated in such Company Order, Officers’ Certificate, indenture supplemental hereto or Board Resolution (any such telephonic or electronic instructions to be promptly confirmed in writing by such Persons) and that such Persons are authorized to determine, consistent with such Company Order, Officers’ Certificate, indenture supplemental hereto or Board Resolution, such terms and conditions of said Securities as are specified in such Company Order, Officers’ Certificate, indenture supplemental hereto or Board Resolution.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center"/>
        <w:ind w:right="4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Unless pursuant to Section 3.01 provision is made that this Section shall not be applicable to the Securities of any series, this Indenture shall cease to be of further effect with respect to any series of Securities (except as to any surviving rights of registration of transfer or exchange of Securities of such series expressly provided for herein or in the form of Security for such series), and the Trustee, on receipt of a Company Request and at the expense of the Company, shall execute proper instruments acknowledging satisfaction and discharge of this Indenture as to such series, when:</w:t>
      </w:r>
    </w:p>
    <w:p>
      <w:pPr>
        <w:spacing w:after="0" w:line="188" w:lineRule="exact"/>
        <w:rPr>
          <w:sz w:val="20"/>
          <w:szCs w:val="20"/>
          <w:color w:val="auto"/>
        </w:rPr>
      </w:pPr>
    </w:p>
    <w:p>
      <w:pPr>
        <w:ind w:left="1540" w:hanging="236"/>
        <w:spacing w:after="0"/>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1300" w:firstLine="652"/>
        <w:spacing w:after="0" w:line="257" w:lineRule="auto"/>
        <w:tabs>
          <w:tab w:leader="none" w:pos="217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Securities of that series theretofore authenticated and delivered (other than (x) Securities of such series which have been destroyed, lost or stolen and which have been replaced or paid as provided in Section 3.06 and (y) Securities of such series for whose payment money in the Required Currency has theretofore been deposited in trust or segregated and held in trust by the Company and thereafter repaid to the Company or discharged from such trust, as provided in Section 10.03) have been delivered to the Trustee canceled or for cancellation; or</w:t>
      </w:r>
    </w:p>
    <w:p>
      <w:pPr>
        <w:spacing w:after="0" w:line="187" w:lineRule="exact"/>
        <w:rPr>
          <w:rFonts w:ascii="Arial" w:cs="Arial" w:eastAsia="Arial" w:hAnsi="Arial"/>
          <w:sz w:val="18"/>
          <w:szCs w:val="18"/>
          <w:color w:val="auto"/>
        </w:rPr>
      </w:pPr>
    </w:p>
    <w:p>
      <w:pPr>
        <w:ind w:left="2220" w:hanging="268"/>
        <w:spacing w:after="0"/>
        <w:tabs>
          <w:tab w:leader="none" w:pos="22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such Securities of that series not theretofore delivered to the Trustee canceled or for cancellation:</w:t>
      </w:r>
    </w:p>
    <w:p>
      <w:pPr>
        <w:spacing w:after="0" w:line="225" w:lineRule="exact"/>
        <w:rPr>
          <w:rFonts w:ascii="Arial" w:cs="Arial" w:eastAsia="Arial" w:hAnsi="Arial"/>
          <w:sz w:val="18"/>
          <w:szCs w:val="18"/>
          <w:color w:val="auto"/>
        </w:rPr>
      </w:pPr>
    </w:p>
    <w:p>
      <w:pPr>
        <w:ind w:left="2900" w:hanging="300"/>
        <w:spacing w:after="0"/>
        <w:tabs>
          <w:tab w:leader="none" w:pos="29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880" w:hanging="280"/>
        <w:spacing w:after="0"/>
        <w:tabs>
          <w:tab w:leader="none" w:pos="28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left="1960" w:firstLine="640"/>
        <w:spacing w:after="0" w:line="254" w:lineRule="auto"/>
        <w:tabs>
          <w:tab w:leader="none" w:pos="290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reasonably satisfactory to the Trustee for the giving of notice of redemption by the Trustee in the name, and at the expense, of the Company, and the Company, in the case of (i), (ii) or (iii) above, has irrevocably deposited or caused to be deposited with the Trustee as trust funds in trust for the purpose an amount in the Required Currency sufficient to pay and discharge the entire indebtedness on such Securities not theretofore delivered to the Trustee canceled or for cancellation, for principal (and premium, if any) and interest to the date of such deposit (in the case of Securities which have become due and payable), or to the Stated Maturity or Redemption Date, as the case may be;</w:t>
      </w:r>
    </w:p>
    <w:p>
      <w:pPr>
        <w:spacing w:after="0" w:line="194" w:lineRule="exact"/>
        <w:rPr>
          <w:rFonts w:ascii="Arial" w:cs="Arial" w:eastAsia="Arial" w:hAnsi="Arial"/>
          <w:sz w:val="18"/>
          <w:szCs w:val="18"/>
          <w:color w:val="auto"/>
        </w:rPr>
      </w:pPr>
    </w:p>
    <w:p>
      <w:pPr>
        <w:ind w:left="1560" w:hanging="256"/>
        <w:spacing w:after="0"/>
        <w:tabs>
          <w:tab w:leader="none" w:pos="1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hereunder by the Company with respect to the Securities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series; and</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15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Notwithstanding the satisfaction and discharge of this Indenture with respect to any series of Securities, the obligations of the Company to the Trustee with respect to that series under Section 6.07 shall survive and the obligations of the Company and the Trustee under Sections 3.05, 3.06, 4.02, 10.02 and 10.03 shall survive such satisfaction and discharge.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ind w:firstLine="648"/>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 Subject to the provisions of the last paragraph of Section 10.03, all money, property and securities deposited with the Trustee pursuant to Section 4.01 or Section 4.03 shall be held in trust and applied by it, in accordance with the provisions of the series of Securities in respect of which it was deposited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Anything herein to the contrary notwithstanding, the Trustee shall deliver or pay to the Company from time to time upon Company Request any money, property or securities deposited with and held by it as provided in Section 4.03 and this Section 4.02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Discharge (as defined below) or covenant defeasance, provided that the Trustee shall not be required to liquidate any securities in order to comply with the provisions of this paragraph.</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Defeasance Upon Deposit of Funds or Government Obligations</w:t>
      </w:r>
      <w:r>
        <w:rPr>
          <w:rFonts w:ascii="Arial" w:cs="Arial" w:eastAsia="Arial" w:hAnsi="Arial"/>
          <w:sz w:val="17"/>
          <w:szCs w:val="17"/>
          <w:color w:val="auto"/>
        </w:rPr>
        <w:t>. Unless pursuant to Section 3.01 provision is made that this Section shall not be applicable to the Securities of any series, at the Company’s option, either (a) the Company and the Guarantors, if any, shall be deemed to have been Discharged (as defined below) from its obligations with respect to any series of Securities after the applicable conditions set forth below have been satisfied or (b) the Company shall cease to be under any obligation to comply with any term, provision or condition set forth in Section 10.05 and Article VIII (and any other Sections or covenants applicable to such Securities that are determined pursuant to Section 3.01 to be subject to this provision), the Guarantors, if any, shall be released from the Guarantees and clause (d) of Section 5.01 of this Indenture (and any other Events of Default applicable to such Securities that are determined pursuant to Section 3.01 to be subject to this provision) shall be deemed not to be an Event of Default with respect to any series of Securities at any time after the applicable conditions set forth below have been satisfied:</w:t>
      </w:r>
    </w:p>
    <w:p>
      <w:pPr>
        <w:spacing w:after="0" w:line="178" w:lineRule="exact"/>
        <w:rPr>
          <w:sz w:val="20"/>
          <w:szCs w:val="20"/>
          <w:color w:val="auto"/>
        </w:rPr>
      </w:pPr>
    </w:p>
    <w:p>
      <w:pPr>
        <w:jc w:val="both"/>
        <w:ind w:left="660" w:firstLine="644"/>
        <w:spacing w:after="0" w:line="287" w:lineRule="auto"/>
        <w:tabs>
          <w:tab w:leader="none" w:pos="1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irrevocably with the Trustee as trust funds, specifically pledged as security for, and dedicated solely to, the benefit of the Holders of the Securities of such series, (i) money in an amount, or (ii) the equivalent in securities of the government which issued the currency in which the Securities are denominated or government agencies backed by the full faith and credit of such government which through the payment of interest and principal in respect thereof in accordance with their terms will provide freely available funds on or prior to the due date of any payment, money in an amount, or (iii) a combination of (i) and (ii), sufficient, in the opinion (with respect to (ii) and (iii)) of a nationally recognized firm of independent public accountants expressed in a written certification thereof delivered to the Trustee, to pay and discharge each installment of principal (including mandatory sinking fund payments) and any premium of, interest on and any repurchase or redemption obligations with respect to the outstanding Securities of such series on the dates such installments of interest or principal or repurchase or redemption obligations are due (before such a deposit, if the Securities of such series are then redeemable or may be redeemed in the future pursuant to the terms thereof, in either case at the option of the Company, the Company may give to the Trustee, in accordance with Section 11.02, a notice of its election to redeem all of the Securities of such series at a future date in accordance with Article XI);</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left="660" w:firstLine="644"/>
        <w:spacing w:after="0" w:line="263" w:lineRule="auto"/>
        <w:tabs>
          <w:tab w:leader="none" w:pos="1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Event of Default or event (including such deposit) which with notice or lapse of time would become an Event of Default with respect to the Securities of such series shall have occurred and be continuing on the date of such deposit (other than an Event of Default resulting from the borrowing of funds to be applied to such deposit);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55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Opinion of Counsel to the effect that Holders of the Securities of such series will not recognize income, gain or loss for Federal income tax purposes as a result of the Company’s exercise of its option under this Section 4.03 and will be subject to Federal income tax on the same amount and in the same manner and at the same times as would have been the case if such option had not been exercised, and, in the case of Securities being Discharged, accompanied by a ruling to that effect from the Internal Revenue Service, unless, as set forth in such Opinion of Counsel, there has been a change in the applicable Federal income tax law since the date of this Indenture such that a ruling from the Internal Revenue Service is no longer required;</w:t>
      </w:r>
    </w:p>
    <w:p>
      <w:pPr>
        <w:spacing w:after="0" w:line="177" w:lineRule="exact"/>
        <w:rPr>
          <w:rFonts w:ascii="Arial" w:cs="Arial" w:eastAsia="Arial" w:hAnsi="Arial"/>
          <w:sz w:val="17"/>
          <w:szCs w:val="17"/>
          <w:color w:val="auto"/>
        </w:rPr>
      </w:pPr>
    </w:p>
    <w:p>
      <w:pPr>
        <w:jc w:val="both"/>
        <w:ind w:left="660" w:firstLine="644"/>
        <w:spacing w:after="0" w:line="263" w:lineRule="auto"/>
        <w:tabs>
          <w:tab w:leader="none" w:pos="15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referred to in paragraph (a) above was not made by the Company with the intent of preferring the Holders over other creditors of the Company or with the intent of defeating, hindering, delaying or defrauding creditors of the Company or others; and</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Company, at its option, with respect to a series of Securities, satisfies the applicable conditions pursuant to either clause (a) or (b) of the first sentence of this Section, then (A), in the event the Company satisfies the conditions to clause (a) and elects clause (a) to be applicable, each of the Guarantors, if any, shall be deemed to have paid and discharged the entire indebtedness represented by, and obligations under, its respective guarantee of the Securities of such series and to have satisfied all the obligations under this Indenture relating to the Securities of such series and (B) in either case, each of the Guarantors, if any, shall cease to be under any obligation to comply with any term, provision or condition set forth in any covenants applicable to such Securities that are determined pursuant to Section 3.01 to be subject to this provision, and any Events of Default applicable to such series of Securities that are determined pursuant to Section 3.01 to be subject to this provision shall be deemed not to be an Event of Default with respect to such series of Securities at any time thereafter.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firstLine="648"/>
        <w:spacing w:after="0" w:line="269" w:lineRule="auto"/>
        <w:rPr>
          <w:sz w:val="20"/>
          <w:szCs w:val="20"/>
          <w:color w:val="auto"/>
        </w:rPr>
      </w:pPr>
      <w:r>
        <w:rPr>
          <w:rFonts w:ascii="Arial" w:cs="Arial" w:eastAsia="Arial" w:hAnsi="Arial"/>
          <w:sz w:val="17"/>
          <w:szCs w:val="17"/>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on receipt of a Company Request and at the expense of the Company, shall execute proper instruments acknowledging the same), except (A) the rights of Holders of Securities to receive, from the trust fund described in clause (a) above, payment of the principal and any premium of and any interest on such Securities when such payments are due; (B) the Company’s obligations with respect to such Securities under Sections 3.05, 3.06, 4.02, 6.07, 10.02 and 10.03; (C) the Company’s right of redemption, if any, with respect to any Securities of such series pursuant to Article XI, in which case the Company may redeem the Securities of such series in accordance with Article XI by complying with such Article and depositing with the Trustee, in accordance with Section 11.05, an amount of money sufficient, together with all amounts held in trust pursuant to Section 4.02 with respect to Securities of such series, to pay the Redemption Price of all the Securities of such series to be redeemed; and (D) the rights, powers, trusts, duties and immunities of the Trustee hereunder. A “Discharge” shall mean the meeting by the Company of the foregoing requirements.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Reinstatement</w:t>
      </w:r>
      <w:r>
        <w:rPr>
          <w:rFonts w:ascii="Arial" w:cs="Arial" w:eastAsia="Arial" w:hAnsi="Arial"/>
          <w:sz w:val="18"/>
          <w:szCs w:val="18"/>
          <w:color w:val="auto"/>
        </w:rPr>
        <w:t>. If the Trustee or Paying Agent is unable to apply any money, property or securities in accordance with Section 4.02 of this Indenture, by reason of any legal proceeding or by reason of any order or judgment of any court or governmental authority enjoining, restraining or otherwise prohibiting such application, the Company’s and, if applicable, the Guarantors’ obligations under this Indenture and the Securities shall be revived and reinstated as though no deposit had occurred pursuant to Section 4.01 or 4.03 of this Indenture, as the case may be, until such time as the Trustee or Paying Agent is permitted to apply all such money, property or securities in accordance with Section 4.02 of this Indenture; provided that, if the Company has made any payment of principal of or interest on any Securities because of the reinstatement of its obligations, the Company shall be subrogated to the rights of the Holders of such Securities to receive such payment from the money, property or securities held by the Trustee or Paying Agent.</w:t>
      </w: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“Event of Default”, wherever used herein, means with respect to any series of Securities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either inapplicable to a particular series or it is specifically deleted or modified in or pursuant to the indenture supplemental hereto or Board Resolution creating such series of Securities or in the form of Security for such series:</w:t>
      </w:r>
    </w:p>
    <w:p>
      <w:pPr>
        <w:spacing w:after="0" w:line="188" w:lineRule="exact"/>
        <w:rPr>
          <w:sz w:val="20"/>
          <w:szCs w:val="20"/>
          <w:color w:val="auto"/>
        </w:rPr>
      </w:pPr>
    </w:p>
    <w:p>
      <w:pPr>
        <w:ind w:left="660" w:firstLine="644"/>
        <w:spacing w:after="0" w:line="277" w:lineRule="auto"/>
        <w:tabs>
          <w:tab w:leader="none" w:pos="156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left="-460" w:firstLine="644"/>
        <w:spacing w:after="0" w:line="277" w:lineRule="auto"/>
        <w:tabs>
          <w:tab w:leader="none" w:pos="4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default in the payment of any sinking or purchase fund or analogous obligation when the same becomes due by the terms of the Securities of such series; or</w:t>
      </w:r>
    </w:p>
    <w:p>
      <w:pPr>
        <w:spacing w:after="0" w:line="170" w:lineRule="exact"/>
        <w:rPr>
          <w:rFonts w:ascii="Arial" w:cs="Arial" w:eastAsia="Arial" w:hAnsi="Arial"/>
          <w:sz w:val="18"/>
          <w:szCs w:val="18"/>
          <w:color w:val="auto"/>
        </w:rPr>
      </w:pPr>
    </w:p>
    <w:p>
      <w:pPr>
        <w:jc w:val="both"/>
        <w:ind w:left="-460" w:firstLine="644"/>
        <w:spacing w:after="0" w:line="291" w:lineRule="auto"/>
        <w:tabs>
          <w:tab w:leader="none" w:pos="45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this Indenture in respect of the Securities of such series (other than a covenant or warranty in respect of the Securities of such series a default in the performance of which or the breach of which is elsewhere in this Section specifically dealt with), all of such covenants and warranties in the Indenture which are not expressly stated to be for the benefit of a particular series of Securities being deemed in respect of the Securities of all series for this purpose, and continuance of such default or breach for a period of 90 days after there has been given, by registered or certified mail, to the Company by the Trustee or to the Company and the Trustee by the Holders of at least 3 3-1/3% in aggregate principal amount of the Outstanding Securities of such series, a written notice specifying such default or breach and requiring it to be remedied and stating that such notice is a “Notice of Default” hereunder; or</w:t>
      </w:r>
    </w:p>
    <w:p>
      <w:pPr>
        <w:spacing w:after="0" w:line="166" w:lineRule="exact"/>
        <w:rPr>
          <w:rFonts w:ascii="Arial" w:cs="Arial" w:eastAsia="Arial" w:hAnsi="Arial"/>
          <w:sz w:val="16"/>
          <w:szCs w:val="16"/>
          <w:color w:val="auto"/>
        </w:rPr>
      </w:pPr>
    </w:p>
    <w:p>
      <w:pPr>
        <w:jc w:val="both"/>
        <w:ind w:left="-460" w:firstLine="644"/>
        <w:spacing w:after="0" w:line="290" w:lineRule="auto"/>
        <w:tabs>
          <w:tab w:leader="none" w:pos="4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entry of an order for relief against the Company or any Significant Subsidiary thereof under Title 11, United States Code (the “Federal Bankruptcy Act”) or any analogous law of Canada by a court having jurisdiction in the premises or a decree or order by a court having jurisdiction in the premises adjudging the Company or any Significant Subsidiary thereof a bankrupt or insolvent under any other applicable federal, state or provincial law, or the entry of a decree or order approving as properly filed a petition seeking reorganization, arrangement, adjustment or composition of or in respect of the Company or any Significant Subsidiary thereof under the Federal Bankruptcy Act or any analogous law of Canada or any other applicable federal, state or provincial law, or appointing a receiver, liquidator, assignee, trustee, sequestrator (or other similar official) of the Company or any Significant Subsidiary thereof or of any substantial part of its property, or ordering the winding up or liquidation of its affairs, and the continuance of any such decree or order unstayed and in effect for a period of 90 consecutive days; or</w:t>
      </w:r>
    </w:p>
    <w:p>
      <w:pPr>
        <w:spacing w:after="0" w:line="165" w:lineRule="exact"/>
        <w:rPr>
          <w:rFonts w:ascii="Arial" w:cs="Arial" w:eastAsia="Arial" w:hAnsi="Arial"/>
          <w:sz w:val="16"/>
          <w:szCs w:val="16"/>
          <w:color w:val="auto"/>
        </w:rPr>
      </w:pPr>
    </w:p>
    <w:p>
      <w:pPr>
        <w:jc w:val="both"/>
        <w:ind w:left="-460" w:firstLine="644"/>
        <w:spacing w:after="0" w:line="293" w:lineRule="auto"/>
        <w:tabs>
          <w:tab w:leader="none" w:pos="41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consent by the Company or any Significant Subsidiary thereof to the institution of bankruptcy or insolvency proceedings against it, or the filing by it of a petition or answer or consent seeking reorganization or relief under the Federal Bankruptcy Act or any other applicable Federal or State law, or the consent by it to the filing of any such petition or to the appointment of a receiver, liquidator, assignee, trustee, sequestrator (or other similar official) of the Company or any Significant Subsidiary thereof or of any substantial part of its property, or the making by it of an assignment for the benefit of creditors, or the admission by it in writing of its inability to pay its debts generally as they become due, or the taking of corporate action by the Company or any Significant Subsidiary thereof in furtherance of any such action; or</w:t>
      </w:r>
    </w:p>
    <w:p>
      <w:pPr>
        <w:spacing w:after="0" w:line="164" w:lineRule="exact"/>
        <w:rPr>
          <w:rFonts w:ascii="Arial" w:cs="Arial" w:eastAsia="Arial" w:hAnsi="Arial"/>
          <w:sz w:val="16"/>
          <w:szCs w:val="16"/>
          <w:color w:val="auto"/>
        </w:rPr>
      </w:pPr>
    </w:p>
    <w:p>
      <w:pPr>
        <w:ind w:left="-460" w:firstLine="644"/>
        <w:spacing w:after="0" w:line="277" w:lineRule="auto"/>
        <w:tabs>
          <w:tab w:leader="none" w:pos="4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Event of Default provided in the indenture supplemental hereto or Board Resolution under which such series of Securities is issued or in the form of Security for such series.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2" w:name="page153"/>
    <w:bookmarkEnd w:id="152"/>
    <w:p>
      <w:pPr>
        <w:jc w:val="both"/>
        <w:ind w:firstLine="648"/>
        <w:spacing w:after="0" w:line="267"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Acceleration of Maturity; Rescission and Annulment</w:t>
      </w:r>
      <w:r>
        <w:rPr>
          <w:rFonts w:ascii="Arial" w:cs="Arial" w:eastAsia="Arial" w:hAnsi="Arial"/>
          <w:sz w:val="17"/>
          <w:szCs w:val="17"/>
          <w:color w:val="auto"/>
        </w:rPr>
        <w:t>. If an Event of Default described in paragraph (a), (b), (c), (d) or (g) (if the Event of Default under clause (d) or (g) is with respect to less than all series of Securities then Outstanding) of Section 5.01 occurs and is continuing with respect to any series, then and in each and every such case, unless the principal of all the Securities of such series shall have already become due and payable, either the Trustee or the Holders of not less than 33-1/3% in aggregate principal amount of the Securities of such series then Outstanding hereunder (each such series acting as a separate class), by notice in writing to the Company (and to the Trustee if given by Holders), may declare the principal amount (or, if the Securities of such series are Original Issue Discount Securities, such portion of the principal amount as may be specified in the terms of that series) of all the Securities of such series and all accrued interest thereon to be due and payable immediately, and upon any such declaration the same shall become and shall be immediately due and payable, anything in this Indenture or in the Securities of such series contained to the contrary notwithstanding. If an Event of Default described in clause (d) or (g) (if the Event of Default under clause (d) or (g) is with respect to all series of Securities then Outstanding), of Section 5.01 occurs and is continuing, then and in each and every such case, unless the principal of all the Securities shall have already become due and payable, either the Trustee or the Holders of not less than 3 3-1/3% in aggregate principal amount of all the Securities then Outstanding hereunder (treated as one class), by notice in writing to the Company (and to the Trustee if given by Holders), may declare the principal amount (or, if any Securities are Original Issue Discount Securities, such portion of the principal amount as may be specified in the terms thereof) of all the Securities then Outstanding and all accrued interest thereon to be due and payable immediately, and upon any such declaration the same shall become and shall be immediately due and payable, anything in this Indenture or in the Securities contained to the contrary notwithstanding. If an Event of Default of the type set forth in clause (e) or (f) of Section 5.01 occurs and is continuing, the principal of and any interest on the Securities then Outstanding shall become immediately due and payable.</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after such a declaration of acceleration has been made with respect to the Securities of any or all series, as the case may be, and before a judgment or decree for payment of the money due has been obtained by the Trustee as hereinafter in this Article provided, the Holders of a majority in principal amount of the Outstanding Securities of such series, by written notice to the Company and the Trustee, may rescind and annul such declaration and its consequences if:</w:t>
      </w:r>
    </w:p>
    <w:p>
      <w:pPr>
        <w:spacing w:after="0" w:line="187" w:lineRule="exact"/>
        <w:rPr>
          <w:sz w:val="20"/>
          <w:szCs w:val="20"/>
          <w:color w:val="auto"/>
        </w:rPr>
      </w:pPr>
    </w:p>
    <w:p>
      <w:pPr>
        <w:ind w:left="1540" w:hanging="236"/>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overdue installments of interest on the Securities of such series; and</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23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which have become due otherwise than by such declaration of acceleration, and interest thereon at the rate or rates prescribed therefor by the terms of the Securities of such series, to the extent that payment of such interest is lawful; and</w:t>
      </w:r>
    </w:p>
    <w:p>
      <w:pPr>
        <w:spacing w:after="0" w:line="183" w:lineRule="exact"/>
        <w:rPr>
          <w:rFonts w:ascii="Arial" w:cs="Arial" w:eastAsia="Arial" w:hAnsi="Arial"/>
          <w:sz w:val="18"/>
          <w:szCs w:val="18"/>
          <w:color w:val="auto"/>
        </w:rPr>
      </w:pPr>
    </w:p>
    <w:p>
      <w:pPr>
        <w:ind w:left="1300" w:right="20" w:firstLine="652"/>
        <w:spacing w:after="0" w:line="277" w:lineRule="auto"/>
        <w:tabs>
          <w:tab w:leader="none" w:pos="227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interest upon overdue installments of interest at the rate or rates prescribed therefor by the terms of the Securities of such series to the extent that payment of such interest is lawful;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ind w:left="1300" w:firstLine="652"/>
        <w:spacing w:after="0" w:line="308" w:lineRule="auto"/>
        <w:tabs>
          <w:tab w:leader="none" w:pos="229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sums paid or advanced by the Trustee hereunder and the reasonable compensation, expenses, disbursements and advances of the Trustee, its agents and counsel and all other amounts due the Trustee under Section 6.07; and</w:t>
      </w:r>
    </w:p>
    <w:p>
      <w:pPr>
        <w:spacing w:after="0" w:line="146" w:lineRule="exact"/>
        <w:rPr>
          <w:rFonts w:ascii="Arial" w:cs="Arial" w:eastAsia="Arial" w:hAnsi="Arial"/>
          <w:sz w:val="17"/>
          <w:szCs w:val="17"/>
          <w:color w:val="auto"/>
        </w:rPr>
      </w:pPr>
    </w:p>
    <w:p>
      <w:pPr>
        <w:ind w:left="1300" w:firstLine="652"/>
        <w:spacing w:after="0" w:line="342" w:lineRule="auto"/>
        <w:tabs>
          <w:tab w:leader="none" w:pos="220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Events of Default with respect to such series of Securities, other than the nonpayment of the principal of the Securities of such series which have become due solely by such acceleration, have been cured or waived as provided in Section 5.13.</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left="1580" w:hanging="276"/>
        <w:spacing w:after="0"/>
        <w:tabs>
          <w:tab w:leader="none" w:pos="15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default is made in the payment of any installment of interest on any Security of any series when such interest becomes due and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payable; or</w:t>
      </w:r>
    </w:p>
    <w:p>
      <w:pPr>
        <w:spacing w:after="0" w:line="210" w:lineRule="exact"/>
        <w:rPr>
          <w:rFonts w:ascii="Arial" w:cs="Arial" w:eastAsia="Arial" w:hAnsi="Arial"/>
          <w:sz w:val="17"/>
          <w:szCs w:val="17"/>
          <w:color w:val="auto"/>
        </w:rPr>
      </w:pPr>
    </w:p>
    <w:p>
      <w:pPr>
        <w:ind w:left="1560" w:hanging="256"/>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or</w:t>
      </w:r>
    </w:p>
    <w:p>
      <w:pPr>
        <w:spacing w:after="0" w:line="225" w:lineRule="exact"/>
        <w:rPr>
          <w:rFonts w:ascii="Arial" w:cs="Arial" w:eastAsia="Arial" w:hAnsi="Arial"/>
          <w:sz w:val="18"/>
          <w:szCs w:val="18"/>
          <w:color w:val="auto"/>
        </w:rPr>
      </w:pPr>
    </w:p>
    <w:p>
      <w:pPr>
        <w:jc w:val="both"/>
        <w:ind w:left="660" w:firstLine="644"/>
        <w:spacing w:after="0" w:line="289" w:lineRule="auto"/>
        <w:tabs>
          <w:tab w:leader="none" w:pos="1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default is made in the payment of any sinking or purchase fund or analogous obligation when the same becomes due by the terms of the Securities of any series; and any such default continues for any period of grace provided with respect to the Securities of such series, the Company will, upon demand of the Trustee, pay to it, for the benefit of the Holder of any such Security (or the Holders of any such series in the case of clause (b) above), the whole amount then due and payable on any such Security (or on the Securities of any such series in the case of clause (b) above) for principal (and premium, if any) and interest, with interest, to the extent that payment of such interest shall be legally enforceable, upon the overdue principal (and premium, if any) and upon overdue installments of interest, at such rate or rates as may be prescribed therefor by the terms of any such Security (or of Securities of any such series in the case of clause (b) above); and, in addition thereto, such further amount as shall be sufficient to cover the costs and expenses of collection, including the reasonable compensation, expenses, disbursements and advances of the Trustee, its agents and counsel and all other amounts due the Trustee under Section 6.07.</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of such series and collect the money adjudged or decreed to be payable in the manner provided by law out of the property of the Company or any other obligor upon such Securities, wherever situated.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any series of Securities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both"/>
        <w:ind w:firstLine="648"/>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proceedings or otherwise:</w:t>
      </w:r>
    </w:p>
    <w:p>
      <w:pPr>
        <w:spacing w:after="0" w:line="176" w:lineRule="exact"/>
        <w:rPr>
          <w:sz w:val="20"/>
          <w:szCs w:val="20"/>
          <w:color w:val="auto"/>
        </w:rPr>
      </w:pPr>
    </w:p>
    <w:p>
      <w:pPr>
        <w:jc w:val="both"/>
        <w:ind w:left="660" w:firstLine="644"/>
        <w:spacing w:after="0" w:line="257" w:lineRule="auto"/>
        <w:tabs>
          <w:tab w:leader="none" w:pos="15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(or portion thereof determined pursuant to Section 3.01(16) to be provable in bankruptcy) (and premium, if any) and interest owing and unpaid in respect of the Securities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Section 6.07) and of the Securityholders allowed in such judicial proceeding; and</w:t>
      </w:r>
    </w:p>
    <w:p>
      <w:pPr>
        <w:spacing w:after="0" w:line="187" w:lineRule="exact"/>
        <w:rPr>
          <w:rFonts w:ascii="Arial" w:cs="Arial" w:eastAsia="Arial" w:hAnsi="Arial"/>
          <w:sz w:val="18"/>
          <w:szCs w:val="18"/>
          <w:color w:val="auto"/>
        </w:rPr>
      </w:pPr>
    </w:p>
    <w:p>
      <w:pPr>
        <w:jc w:val="both"/>
        <w:ind w:left="660" w:firstLine="644"/>
        <w:spacing w:after="0" w:line="275" w:lineRule="auto"/>
        <w:tabs>
          <w:tab w:leader="none" w:pos="157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 and any receiver, assignee, trustee, liquidator, sequestrator (or other similar official) in any such judicial proceeding is hereby authorized by each Securityholder to make such payment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6.07.</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or the rights of any Holder thereof, or to authorize the Trustee to vote in respect of the claim of any Securityholder in any such proceeding.</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 All rights of action and claims under this Indenture or the Securities of any series may be prosecuted and enforced by the Trustee without the possession of any of the Securities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 and counsel and any other amounts due the Trustee under Section 6.07, be for the ratable benefit of the Holders of the Securities of the series in respect of which such judgment has been recovered.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648"/>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with respect to a series of Securities pursuant to this Article shall be applied in the following order, at the date or dates fixed by the Trustee and, in case of the distribution of such money on account of principal (or premium, if any) or interest, upon presentation of the Securities of such series and the notation thereon of the payment if only partially paid and upon surrender thereof if fully paid: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SECOND: To the payment of the amounts then due and unpaid upon the Securities of that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such Holder has previously given written notice to the Trustee of a continuing Event of Default with respect to Securities of such</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firstLine="644"/>
        <w:spacing w:after="0" w:line="277" w:lineRule="auto"/>
        <w:tabs>
          <w:tab w:leader="none" w:pos="156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Holders of not less than 33-1/3% in principal amount of the outstanding Securities of such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4"/>
        <w:spacing w:after="0" w:line="277" w:lineRule="auto"/>
        <w:tabs>
          <w:tab w:leader="none" w:pos="15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it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jc w:val="both"/>
        <w:ind w:left="660" w:firstLine="644"/>
        <w:spacing w:after="0" w:line="255" w:lineRule="auto"/>
        <w:tabs>
          <w:tab w:leader="none" w:pos="15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 day period by the Holders of a majority in principal amount of the Outstanding Securities of such series; it being understood and intended that no one or more Holders of Securities of such series shall have any right in any manner whatever by virtue of, or by availing of, any provision of this Indenture to affect, disturb or prejudice the rights of any other Holders of Securities of such series, or to obtain or to seek to obtain priority or preference over any other such Holders or to enforce any right under this Indenture, except in the manner herein provided and for the equal and proportionate benefit of all the Holders of all Securities of such series.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firstLine="648"/>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Securityholders to Receive Principal, Premium and Interest</w:t>
      </w:r>
      <w:r>
        <w:rPr>
          <w:rFonts w:ascii="Arial" w:cs="Arial" w:eastAsia="Arial" w:hAnsi="Arial"/>
          <w:sz w:val="18"/>
          <w:szCs w:val="18"/>
          <w:color w:val="auto"/>
        </w:rPr>
        <w:t>. Notwithstanding any other provisions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or repayment, on the Redemption Date or Repayment Date, as the case may be) and to institute suit for the enforcement of any such payment, and such right shall not be impaired without the consent of such Holder.</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 If the Trustee or any Securityholder has instituted any proceeding to enforce any right or remedy under this Indenture and such proceeding has been discontinued or abandoned for any reason, then and in every such case the Company, the Trustee and the Securityholders shall, subject to any determination in such proceeding, be restored severally and respectively to their former positions hereunder, and thereafter all rights and remedies of the Trustee and the Securityholders shall continue as though no such proceeding had been instituted.</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Securityholders may be exercised from time to time, and as often as may be deemed expedient, by the Trustee or by the Securityholders, as the case may be.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jc w:val="both"/>
        <w:ind w:left="660" w:firstLine="644"/>
        <w:spacing w:after="0" w:line="259" w:lineRule="auto"/>
        <w:tabs>
          <w:tab w:leader="none" w:pos="15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48"/>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waive any past default hereunder with respect to such series and its consequences, except a default not theretofore cured:</w:t>
      </w:r>
    </w:p>
    <w:p>
      <w:pPr>
        <w:spacing w:after="0" w:line="184" w:lineRule="exact"/>
        <w:rPr>
          <w:sz w:val="20"/>
          <w:szCs w:val="20"/>
          <w:color w:val="auto"/>
        </w:rPr>
      </w:pPr>
    </w:p>
    <w:p>
      <w:pPr>
        <w:ind w:left="660" w:firstLine="644"/>
        <w:spacing w:after="0" w:line="277" w:lineRule="auto"/>
        <w:tabs>
          <w:tab w:leader="none" w:pos="155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any Security of such series, or in the payment of any sinking or purchase fund or analogous obligation with respect to the Securities of such series,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IX cannot be modified or amended without the consent of the Holder of each Outstanding Security of such series.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in the aggregate more than 10% in principal amount of the Outstanding Securities of any series to which the suit relates, or to any suit instituted by any Securityholder for the enforcement of the payment of the principal of (or premium, if any) or interest on an Security on or after the respective Stated Maturities expressed in such Security (or, in the case of redemption or repayment, on or after the Redemption Date or Repayment Date, as the case may be).</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Waiver of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 (a) Except during the continuance of an Event of Default with respect to any series of Securities:</w:t>
      </w:r>
    </w:p>
    <w:p>
      <w:pPr>
        <w:spacing w:after="0" w:line="248" w:lineRule="exact"/>
        <w:rPr>
          <w:sz w:val="20"/>
          <w:szCs w:val="20"/>
          <w:color w:val="auto"/>
        </w:rPr>
      </w:pPr>
    </w:p>
    <w:p>
      <w:pPr>
        <w:ind w:left="1300" w:right="20" w:firstLine="652"/>
        <w:spacing w:after="0" w:line="342" w:lineRule="auto"/>
        <w:tabs>
          <w:tab w:leader="none" w:pos="217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Trustee undertakes to perform such duties and only such duties as are specifically set forth in this Indenture with respect to the Securities of such series, and no implied covenants or obligations shall be read into this Indenture against the Trustee;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left="180" w:firstLine="652"/>
        <w:spacing w:after="0" w:line="255" w:lineRule="auto"/>
        <w:tabs>
          <w:tab w:leader="none" w:pos="110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92" w:lineRule="exact"/>
        <w:rPr>
          <w:rFonts w:ascii="Arial" w:cs="Arial" w:eastAsia="Arial" w:hAnsi="Arial"/>
          <w:sz w:val="18"/>
          <w:szCs w:val="18"/>
          <w:color w:val="auto"/>
        </w:rPr>
      </w:pPr>
    </w:p>
    <w:p>
      <w:pPr>
        <w:jc w:val="both"/>
        <w:ind w:left="-460" w:firstLine="644"/>
        <w:spacing w:after="0" w:line="259" w:lineRule="auto"/>
        <w:tabs>
          <w:tab w:leader="none" w:pos="45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case an Event of Default with respect to any series of Securities has occurred and is continuing, the Trustee shall exercise with respect to the Securities of such series such of the rights and powers vested in it by this Indenture and any indenture supplemental hereto or Board Resolution relating to such series of Securities, and use the same degree of care and skill in their exercise, as a prudent man would exercise or use under the circumstances in the conduct of his own affairs.</w:t>
      </w:r>
    </w:p>
    <w:p>
      <w:pPr>
        <w:spacing w:after="0" w:line="186" w:lineRule="exact"/>
        <w:rPr>
          <w:rFonts w:ascii="Arial" w:cs="Arial" w:eastAsia="Arial" w:hAnsi="Arial"/>
          <w:sz w:val="18"/>
          <w:szCs w:val="18"/>
          <w:color w:val="auto"/>
        </w:rPr>
      </w:pPr>
    </w:p>
    <w:p>
      <w:pPr>
        <w:ind w:left="-460" w:right="20" w:firstLine="644"/>
        <w:spacing w:after="0" w:line="277" w:lineRule="auto"/>
        <w:tabs>
          <w:tab w:leader="none" w:pos="4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040" w:hanging="208"/>
        <w:spacing w:after="0"/>
        <w:tabs>
          <w:tab w:leader="none" w:pos="10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25" w:lineRule="exact"/>
        <w:rPr>
          <w:sz w:val="20"/>
          <w:szCs w:val="20"/>
          <w:color w:val="auto"/>
        </w:rPr>
      </w:pPr>
    </w:p>
    <w:p>
      <w:pPr>
        <w:ind w:left="180" w:right="20" w:firstLine="652"/>
        <w:spacing w:after="0" w:line="277" w:lineRule="auto"/>
        <w:tabs>
          <w:tab w:leader="none" w:pos="111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70" w:lineRule="exact"/>
        <w:rPr>
          <w:rFonts w:ascii="Arial" w:cs="Arial" w:eastAsia="Arial" w:hAnsi="Arial"/>
          <w:sz w:val="18"/>
          <w:szCs w:val="18"/>
          <w:color w:val="auto"/>
        </w:rPr>
      </w:pPr>
    </w:p>
    <w:p>
      <w:pPr>
        <w:jc w:val="both"/>
        <w:ind w:left="180" w:firstLine="652"/>
        <w:spacing w:after="0" w:line="259" w:lineRule="auto"/>
        <w:tabs>
          <w:tab w:leader="none" w:pos="114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86" w:lineRule="exact"/>
        <w:rPr>
          <w:rFonts w:ascii="Arial" w:cs="Arial" w:eastAsia="Arial" w:hAnsi="Arial"/>
          <w:sz w:val="18"/>
          <w:szCs w:val="18"/>
          <w:color w:val="auto"/>
        </w:rPr>
      </w:pPr>
    </w:p>
    <w:p>
      <w:pPr>
        <w:jc w:val="both"/>
        <w:ind w:left="180" w:firstLine="652"/>
        <w:spacing w:after="0" w:line="311" w:lineRule="auto"/>
        <w:tabs>
          <w:tab w:leader="none" w:pos="115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48" w:lineRule="exact"/>
        <w:rPr>
          <w:rFonts w:ascii="Arial" w:cs="Arial" w:eastAsia="Arial" w:hAnsi="Arial"/>
          <w:sz w:val="16"/>
          <w:szCs w:val="16"/>
          <w:color w:val="auto"/>
        </w:rPr>
      </w:pPr>
    </w:p>
    <w:p>
      <w:pPr>
        <w:ind w:left="-460" w:firstLine="644"/>
        <w:spacing w:after="0" w:line="277" w:lineRule="auto"/>
        <w:tabs>
          <w:tab w:leader="none" w:pos="45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9" w:name="page160"/>
    <w:bookmarkEnd w:id="159"/>
    <w:p>
      <w:pPr>
        <w:jc w:val="both"/>
        <w:ind w:firstLine="648"/>
        <w:spacing w:after="0" w:line="269"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Notice of Defaults</w:t>
      </w:r>
      <w:r>
        <w:rPr>
          <w:rFonts w:ascii="Arial" w:cs="Arial" w:eastAsia="Arial" w:hAnsi="Arial"/>
          <w:sz w:val="17"/>
          <w:szCs w:val="17"/>
          <w:color w:val="auto"/>
        </w:rPr>
        <w:t>. Within 90 days after the occurrence of any default hereunder with respect to Securities of any series, the Trustee shall transmit by mail to all Securityholders of such series, as their names and addresses appear in the Security Register, notice of all defaults hereunder known to the Trustee, unless such default shall have been cured or waived; provided, however, that, except in the case of a default in the payment of the principal of (or premium, if any) or interest on any Security of such series or in the payment of any sinking or purchase fund installment or analogous obligation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Securityholders of such series; and provided, further, that in the case of any default of the character specified in Section 5.01(4) with respect to Securities of such series no such notice to Securityholders of such series shall be given until at least 90 days after the occurrence thereof. For the purpose of this Section, the term “default”, with respect to Securities of any series, means any event which is, or after notice or lapse of time or both would become, an Event of Default with respect to Securities of such series.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Except as otherwise provided in Section 6.01:</w:t>
      </w:r>
    </w:p>
    <w:p>
      <w:pPr>
        <w:spacing w:after="0" w:line="225" w:lineRule="exact"/>
        <w:rPr>
          <w:sz w:val="20"/>
          <w:szCs w:val="20"/>
          <w:color w:val="auto"/>
        </w:rPr>
      </w:pPr>
    </w:p>
    <w:p>
      <w:pPr>
        <w:jc w:val="both"/>
        <w:ind w:left="660" w:firstLine="644"/>
        <w:spacing w:after="0" w:line="263" w:lineRule="auto"/>
        <w:tabs>
          <w:tab w:leader="none" w:pos="157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ind w:left="660" w:firstLine="644"/>
        <w:spacing w:after="0" w:line="277" w:lineRule="auto"/>
        <w:tabs>
          <w:tab w:leader="none" w:pos="15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3" w:lineRule="exact"/>
        <w:rPr>
          <w:rFonts w:ascii="Arial" w:cs="Arial" w:eastAsia="Arial" w:hAnsi="Arial"/>
          <w:sz w:val="18"/>
          <w:szCs w:val="18"/>
          <w:color w:val="auto"/>
        </w:rPr>
      </w:pPr>
    </w:p>
    <w:p>
      <w:pPr>
        <w:ind w:left="660" w:firstLine="644"/>
        <w:spacing w:after="0" w:line="308" w:lineRule="auto"/>
        <w:tabs>
          <w:tab w:leader="none" w:pos="158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left="660" w:firstLine="644"/>
        <w:spacing w:after="0" w:line="311" w:lineRule="auto"/>
        <w:tabs>
          <w:tab w:leader="none" w:pos="15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Securityholders pursuant to this Indenture, unless such Securityholders shall have offered to the Trustee security or indemnity reasonably satisfactory to it against the costs, expenses and liabilities which might be incurred by it in compliance with such request or direction;</w:t>
      </w:r>
    </w:p>
    <w:p>
      <w:pPr>
        <w:spacing w:after="0" w:line="148" w:lineRule="exact"/>
        <w:rPr>
          <w:rFonts w:ascii="Arial" w:cs="Arial" w:eastAsia="Arial" w:hAnsi="Arial"/>
          <w:sz w:val="16"/>
          <w:szCs w:val="16"/>
          <w:color w:val="auto"/>
        </w:rPr>
      </w:pPr>
    </w:p>
    <w:p>
      <w:pPr>
        <w:jc w:val="both"/>
        <w:ind w:left="660" w:firstLine="644"/>
        <w:spacing w:after="0" w:line="301" w:lineRule="auto"/>
        <w:tabs>
          <w:tab w:leader="none" w:pos="155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both"/>
        <w:ind w:left="660" w:firstLine="644"/>
        <w:spacing w:after="0" w:line="263" w:lineRule="auto"/>
        <w:tabs>
          <w:tab w:leader="none" w:pos="156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57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default (as defined in Section 6.02) or Event of Default with respect to the Securities of any series for which it is acting as Trustee unless either (1) a Responsible Officer of the Trustee assigned to the Corporate Trust Department of the Trustee (or any successor division or department of the Trustee) shall have actual knowledge of such default or Event of Default or (2) written notice of such default or Event of Default shall have been given to the Trustee by the Company or any other obligor on such Securities or by any Holder of such Securities;</w:t>
      </w:r>
    </w:p>
    <w:p>
      <w:pPr>
        <w:spacing w:after="0" w:line="187" w:lineRule="exact"/>
        <w:rPr>
          <w:rFonts w:ascii="Arial" w:cs="Arial" w:eastAsia="Arial" w:hAnsi="Arial"/>
          <w:sz w:val="18"/>
          <w:szCs w:val="18"/>
          <w:color w:val="auto"/>
        </w:rPr>
      </w:pPr>
    </w:p>
    <w:p>
      <w:pPr>
        <w:ind w:left="660" w:firstLine="644"/>
        <w:spacing w:after="0" w:line="277" w:lineRule="auto"/>
        <w:tabs>
          <w:tab w:leader="none" w:pos="15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this Indenture;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7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Authenticating Agent, any Paying Agent, the Security Registrar or any other agent of the Company, in its individual or any other capacity, may become the owner or pledgee of Securities and, subject to Sections 6.08 and 6.13, may otherwise deal with the Company or any Guarantor, if applicable, with the same rights it would have if it were not Trustee, Authenticating Agent, Paying Agent, Security Registrar or such other agent.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Subject to the provisions of Section 10.03 hereof, all moneys in any currency or currency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 received by it hereunder except as otherwise agreed in writing with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225" w:lineRule="exact"/>
        <w:rPr>
          <w:sz w:val="20"/>
          <w:szCs w:val="20"/>
          <w:color w:val="auto"/>
        </w:rPr>
      </w:pPr>
    </w:p>
    <w:p>
      <w:pPr>
        <w:ind w:left="660" w:firstLine="644"/>
        <w:spacing w:after="0" w:line="277" w:lineRule="auto"/>
        <w:tabs>
          <w:tab w:leader="none" w:pos="15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shall be determined to have been caused by its own negligence or bad faith; and</w:t>
      </w:r>
    </w:p>
    <w:p>
      <w:pPr>
        <w:spacing w:after="0" w:line="186" w:lineRule="exact"/>
        <w:rPr>
          <w:rFonts w:ascii="Arial" w:cs="Arial" w:eastAsia="Arial" w:hAnsi="Arial"/>
          <w:sz w:val="18"/>
          <w:szCs w:val="18"/>
          <w:color w:val="auto"/>
        </w:rPr>
      </w:pPr>
    </w:p>
    <w:p>
      <w:pPr>
        <w:jc w:val="both"/>
        <w:ind w:left="660" w:firstLine="644"/>
        <w:spacing w:after="0" w:line="286" w:lineRule="auto"/>
        <w:tabs>
          <w:tab w:leader="none" w:pos="155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indemnify the Trustee for, and to hold it harmless against, any loss, liability or expense incurred without negligence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5.01(e) or (f), the expenses and the compensation for the services are intended to constitute expenses of administration under any bankruptcy law.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obligations under this Section 6.07 and any lien arising hereunder shall survive the resignation or removal of any Trustee, the discharge of the Company’s obligations pursuant to Article IV of this Indenture and/or the termination of this Indenture.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Disqualification; Conflicting Interests</w:t>
      </w:r>
      <w:r>
        <w:rPr>
          <w:rFonts w:ascii="Arial" w:cs="Arial" w:eastAsia="Arial" w:hAnsi="Arial"/>
          <w:sz w:val="17"/>
          <w:szCs w:val="17"/>
          <w:color w:val="auto"/>
        </w:rPr>
        <w:t>. The Trustee for the Securities of any series issued hereunder shall be subject to the provisions of Section 310(b) of the Trust Indenture Act during the period of time provided for therein. In determining whether the Trustee has a conflicting interest as defined in Section 310(b) of the Trust Indenture Act with respect to the Securities of any series, there shall be excluded this Indenture with respect to Securities of any particular series of Securities other than that series. Nothing herein shall prevent the Trustee from filing with the Commission the application referred to in the second to last paragraph of Section 310(b) of the Trust Indenture Act.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a Trustee hereunder with respect to each series of Securities, which shall be either:</w:t>
      </w:r>
    </w:p>
    <w:p>
      <w:pPr>
        <w:spacing w:after="0" w:line="170" w:lineRule="exact"/>
        <w:rPr>
          <w:sz w:val="20"/>
          <w:szCs w:val="20"/>
          <w:color w:val="auto"/>
        </w:rPr>
      </w:pPr>
    </w:p>
    <w:p>
      <w:pPr>
        <w:ind w:left="660" w:firstLine="644"/>
        <w:spacing w:after="0" w:line="277" w:lineRule="auto"/>
        <w:tabs>
          <w:tab w:leader="none" w:pos="156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corporation organized and doing business under the laws of the United States of America or of any State, authorized under such laws to exercise corporate trust powers and subject to supervision or examination by Federal or State authority,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644"/>
        <w:spacing w:after="0" w:line="269" w:lineRule="auto"/>
        <w:tabs>
          <w:tab w:leader="none" w:pos="90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corporation or other Person organized and doing business under the laws of a foreign government that is permitted to act as Trustee pursuant to a rule, regulation or order of the Commission, authorized under such laws to exercise corporate trust powers, and subject to supervision or examination by authority of such foreign government or a political subdivision thereof substantially equivalent to supervision or examination applicable to United States institutional trustees; in either case having a combined capital and surplus of at least $50,000,000.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for the Securities of any series issued hereunder. If at any time the Trustee with respect to any series of Securities shall cease to be eligible in accordance with the provisions of this Section, it shall resign immediately in the manner and with the effect specified in Section 6.10.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w:t>
      </w:r>
    </w:p>
    <w:p>
      <w:pPr>
        <w:spacing w:after="0" w:line="225" w:lineRule="exact"/>
        <w:rPr>
          <w:sz w:val="20"/>
          <w:szCs w:val="20"/>
          <w:color w:val="auto"/>
        </w:rPr>
      </w:pPr>
    </w:p>
    <w:p>
      <w:pPr>
        <w:ind w:right="20" w:firstLine="644"/>
        <w:spacing w:after="0" w:line="277" w:lineRule="auto"/>
        <w:tabs>
          <w:tab w:leader="none" w:pos="90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under Section 6.11.</w:t>
      </w:r>
    </w:p>
    <w:p>
      <w:pPr>
        <w:spacing w:after="0" w:line="170" w:lineRule="exact"/>
        <w:rPr>
          <w:rFonts w:ascii="Arial" w:cs="Arial" w:eastAsia="Arial" w:hAnsi="Arial"/>
          <w:sz w:val="18"/>
          <w:szCs w:val="18"/>
          <w:color w:val="auto"/>
        </w:rPr>
      </w:pPr>
    </w:p>
    <w:p>
      <w:pPr>
        <w:jc w:val="both"/>
        <w:ind w:firstLine="644"/>
        <w:spacing w:after="0" w:line="286" w:lineRule="auto"/>
        <w:tabs>
          <w:tab w:leader="none" w:pos="91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Trustee may resign with respect to any series of Securities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65" w:lineRule="exact"/>
        <w:rPr>
          <w:rFonts w:ascii="Arial" w:cs="Arial" w:eastAsia="Arial" w:hAnsi="Arial"/>
          <w:sz w:val="17"/>
          <w:szCs w:val="17"/>
          <w:color w:val="auto"/>
        </w:rPr>
      </w:pPr>
    </w:p>
    <w:p>
      <w:pPr>
        <w:jc w:val="both"/>
        <w:ind w:firstLine="644"/>
        <w:spacing w:after="0" w:line="259" w:lineRule="auto"/>
        <w:tabs>
          <w:tab w:leader="none" w:pos="91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Trustee may be removed with respect to any series of Securities at any time by Act of the Holders of a majority in principal amount of the outstanding Securities of that series, delivered to the Trustee and to the Company. If an instrument of acceptance by a successor Trustee shall not have been delivered to the Trustee within 30 days after the giving of such notice of removal, the removed Trustee may petition any court of competent jurisdiction for the appointment of a successor Trustee.</w:t>
      </w:r>
    </w:p>
    <w:p>
      <w:pPr>
        <w:spacing w:after="0" w:line="186" w:lineRule="exact"/>
        <w:rPr>
          <w:rFonts w:ascii="Arial" w:cs="Arial" w:eastAsia="Arial" w:hAnsi="Arial"/>
          <w:sz w:val="18"/>
          <w:szCs w:val="18"/>
          <w:color w:val="auto"/>
        </w:rPr>
      </w:pPr>
    </w:p>
    <w:p>
      <w:pPr>
        <w:ind w:left="900" w:hanging="25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jc w:val="both"/>
        <w:ind w:left="640" w:firstLine="652"/>
        <w:spacing w:after="0" w:line="259" w:lineRule="auto"/>
        <w:tabs>
          <w:tab w:leader="none" w:pos="151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Trustee shall fail to comply with Section 310(b) of the Trust Indenture Act pursuant to Section 6.08 with respect to any series of Securities after written request therefor by the Company or by any Securityholder who has been a bona fide Holder of a Security of that series for at least six months, unless the Trustee’s duty to resign is stayed in accordance with the provisions of Section 310(b) of the Trust Indenture Act, or</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3" w:name="page164"/>
    <w:bookmarkEnd w:id="163"/>
    <w:p>
      <w:pPr>
        <w:ind w:left="640" w:firstLine="652"/>
        <w:spacing w:after="0" w:line="277" w:lineRule="auto"/>
        <w:tabs>
          <w:tab w:leader="none" w:pos="156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with respect to any series of Securities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w:t>
      </w:r>
    </w:p>
    <w:p>
      <w:pPr>
        <w:spacing w:after="0" w:line="225" w:lineRule="exact"/>
        <w:rPr>
          <w:rFonts w:ascii="Arial" w:cs="Arial" w:eastAsia="Arial" w:hAnsi="Arial"/>
          <w:sz w:val="18"/>
          <w:szCs w:val="18"/>
          <w:color w:val="auto"/>
        </w:rPr>
      </w:pPr>
    </w:p>
    <w:p>
      <w:pPr>
        <w:jc w:val="both"/>
        <w:ind w:left="640" w:firstLine="652"/>
        <w:spacing w:after="0" w:line="254" w:lineRule="auto"/>
        <w:tabs>
          <w:tab w:leader="none" w:pos="15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a Board Resolution may remove the Trustee, with respect to the series, or in the case of clause (iv), with respect to all series, or (ii) subject to Section 5.14, any Securityholder who has been a bona fide Holder of a Security of such series for at least six months may, on behalf of himself and all others similarly situated, petition any court of competent jurisdiction for the removal of the Trustee and the appointment of a successor Trustee with respect to the series, or, in the case of clause (iv), with respect to all series.</w:t>
      </w:r>
    </w:p>
    <w:p>
      <w:pPr>
        <w:spacing w:after="0" w:line="195" w:lineRule="exact"/>
        <w:rPr>
          <w:sz w:val="20"/>
          <w:szCs w:val="20"/>
          <w:color w:val="auto"/>
        </w:rPr>
      </w:pPr>
    </w:p>
    <w:p>
      <w:pPr>
        <w:jc w:val="both"/>
        <w:ind w:firstLine="644"/>
        <w:spacing w:after="0" w:line="263" w:lineRule="auto"/>
        <w:tabs>
          <w:tab w:leader="none" w:pos="9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Trustee shall resign, be removed or become incapable of acting with respect to any series of Securities, or if a vacancy shall occur in the office of the Trustee with respect to any series of Securities for any cause, the Company, by Board Resolution, shall promptly appoint a successor Trustee for that series of Securities.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within one year after such resignation, removal or incapacity, or the occurrence of such vacancy, a successor Trustee with respect to such series of Securities shall be appointed by the Holders of a majority in principal amount of the Outstanding Securities of such series delivered to the Company and the retiring Trustee, the successor Trustee so appointed shall, forthwith upon its acceptance of such appointment, become the successor Trustee with respect to such series and supersede the successor Trustee appointed by the Company with respect to such series. If no successor Trustee with respect to such series shall have been so appointed by the Company or the Securityholders of such series and accepted appointment in the manner hereinafter provided, subject to Section 5.14, any Securityholder who has been a bona fide Holder of a Security of that series for at least six months may, on behalf of himself and all others similarly situated, petition any court of competent jurisdiction for the appointment of a successor Trustee with respect to such series.</w:t>
      </w:r>
    </w:p>
    <w:p>
      <w:pPr>
        <w:spacing w:after="0" w:line="178" w:lineRule="exact"/>
        <w:rPr>
          <w:sz w:val="20"/>
          <w:szCs w:val="20"/>
          <w:color w:val="auto"/>
        </w:rPr>
      </w:pPr>
    </w:p>
    <w:p>
      <w:pPr>
        <w:jc w:val="both"/>
        <w:ind w:firstLine="644"/>
        <w:spacing w:after="0" w:line="259" w:lineRule="auto"/>
        <w:tabs>
          <w:tab w:leader="none" w:pos="8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any series and each appointment of a successor Trustee with respect to any series by mailing written notice of such event by first-class mail, postage prepaid, to the Holders of Securities of that series as their names and addresses appear in the Security Register. Each notice shall include the name of the successor Trustee and the address of its principal Corporate Trust Office.</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4" w:name="page165"/>
    <w:bookmarkEnd w:id="164"/>
    <w:p>
      <w:pPr>
        <w:jc w:val="both"/>
        <w:ind w:firstLine="648"/>
        <w:spacing w:after="0" w:line="289"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Every successor Trustee appointed hereunder shall execute, acknowledge and deliver to the Company and to the predecessor Trustee an instrument accepting such appointment, and thereupon the resignation or removal of the predecessor Trustee shall become effective with respect to any series as to which it is resigning or being removed as Trustee, and such successor Trustee, without any further act, deed or conveyance, shall become vested with all the rights, powers, trusts and duties of the predecessor Trustee with respect to any such series; but, on request of the Company or the successor Trustee, such predecessor Trustee shall, upon payment of its reasonable charges, if any, execute and deliver an instrument transferring to such successor Trustee all the rights, powers and trusts of the predecessor Trustee, and shall duly assign, transfer and deliver to such successor Trustee all property and money held by such predecessor trustee hereunder with respect to all or any such series, subject nevertheless to its lien, if any, provided for in Section 607. Upon request of any such successor Trustee, the Company shall execute any and all instruments for more fully and certainly vesting in and confirming to such successor Trustee all such rights, powers and trusts.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being succeeded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indenture supplemental hereto shall constitute such Trustees co-trustees of the same trust and that each such Trustee shall be Trustee of a trust or trusts hereunder separate and apart from any trust or trusts hereunder administered by any other such Trustee.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successor Trustee with respect to any series of Securities shall accept its appointment unless at the time of such acceptance such successor Trustee shall be qualified and eligible with respect to that series under this Article.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Preferential Collection of Claims Against Company</w:t>
      </w:r>
      <w:r>
        <w:rPr>
          <w:rFonts w:ascii="Arial" w:cs="Arial" w:eastAsia="Arial" w:hAnsi="Arial"/>
          <w:sz w:val="17"/>
          <w:szCs w:val="17"/>
          <w:color w:val="auto"/>
        </w:rPr>
        <w:t>. The Trustee shall comply with TIA Section 311(a), excluding any creditor relationship listed in TIA Section 311(b). A Trustee who has resigned or been removed shall be subject to TIA Section 311(a) to the extent indicated.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648"/>
        <w:spacing w:after="0" w:line="286"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with the approval of the Company, may appoint an Authenticating Agent or Agents with respect to one or more series of Securities which shall be authorized to act on behalf of the Trustee to authenticate Securities of such series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an Authenticating Agent, having a combined capital and surplus of not less than $50,000,000 and, if other than the Company itself,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if other than the Company, to the Company. The Trustee may at any time terminate the agency of an Authenticating Agent by giving written notice thereof to such Authenticating Agent and, if other than the Company, to the Company. Upon receiving such a notice of resignation or upon such a termination, or in case at any time such Authenticating Agent shall cease to be eligible in accordance with the provisions of this Section, the Trustee, with the approval of the Company, may appoint a successor Authenticating Agent which shall be acceptable to the Company and shall mail written notice of such appointment by first-class mail, postage prepaid,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7"/>
          <w:szCs w:val="17"/>
          <w:color w:val="auto"/>
        </w:rPr>
        <w:t>The Company agrees to pay to each Authenticating Agent from time to time reasonable compensation for its services under this Section.</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Authenticating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Authorized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 AND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Company to Furnish Trustee Names and Addresses of Securityholders</w:t>
      </w:r>
      <w:r>
        <w:rPr>
          <w:rFonts w:ascii="Arial" w:cs="Arial" w:eastAsia="Arial" w:hAnsi="Arial"/>
          <w:sz w:val="16"/>
          <w:szCs w:val="16"/>
          <w:color w:val="auto"/>
        </w:rPr>
        <w:t>. The Company will furnish or cause to be furnished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firstLine="644"/>
        <w:spacing w:after="0" w:line="342" w:lineRule="auto"/>
        <w:tabs>
          <w:tab w:leader="none" w:pos="155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semi-annually, not more than 15 days after December 15 and June 15 in each year in such form as the Trustee may reasonably require, a list of the names and addresses of the Holders of Securities of each series as of such December 15 and June 15, as applicable, and</w:t>
      </w:r>
    </w:p>
    <w:p>
      <w:pPr>
        <w:spacing w:after="0" w:line="123" w:lineRule="exact"/>
        <w:rPr>
          <w:rFonts w:ascii="Arial" w:cs="Arial" w:eastAsia="Arial" w:hAnsi="Arial"/>
          <w:sz w:val="16"/>
          <w:szCs w:val="16"/>
          <w:color w:val="auto"/>
        </w:rPr>
      </w:pPr>
    </w:p>
    <w:p>
      <w:pPr>
        <w:jc w:val="both"/>
        <w:ind w:left="660" w:firstLine="644"/>
        <w:spacing w:after="0" w:line="311" w:lineRule="auto"/>
        <w:tabs>
          <w:tab w:leader="none" w:pos="157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the Security Registrar for Securities of a series, no such list need be furnished with respect to such series of Securities.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Securityholders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9" w:lineRule="auto"/>
        <w:tabs>
          <w:tab w:leader="none" w:pos="9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the names and addresses of Holders of Securities contained in the most recent list furnished to the Trustee as provided in Section 7.01 and the names and addresses of Holders of Securities received by the Trustee in its capacity as Security Registrar, if so acting. The Trustee may destroy any list furnished to it as provided in Section 7.01 upon receipt of a new list so furnished.</w:t>
      </w:r>
    </w:p>
    <w:p>
      <w:pPr>
        <w:spacing w:after="0" w:line="186" w:lineRule="exact"/>
        <w:rPr>
          <w:rFonts w:ascii="Arial" w:cs="Arial" w:eastAsia="Arial" w:hAnsi="Arial"/>
          <w:sz w:val="18"/>
          <w:szCs w:val="18"/>
          <w:color w:val="auto"/>
        </w:rPr>
      </w:pPr>
    </w:p>
    <w:p>
      <w:pPr>
        <w:jc w:val="both"/>
        <w:ind w:firstLine="644"/>
        <w:spacing w:after="0" w:line="255" w:lineRule="auto"/>
        <w:tabs>
          <w:tab w:leader="none" w:pos="9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three or more Holders of Securities of any series (hereinafter referred to as “applicants”) apply in writing to the Trustee, and furnish to the Trustee reasonable proof that each such applicant has owned a Security of such series for a period of at least six months preceding the date of such application, and such application states that the applicants desire to communicate with other Holders of Securities of such series or with the Holders of all Securities with respect to their rights under this Indenture or under such Securities and is accompanied by a copy of the form of proxy or other communication which such applicants propose to transmit, then the Trustee shall, within five Business Days after the receipt of such application, at its election, either:</w:t>
      </w:r>
    </w:p>
    <w:p>
      <w:pPr>
        <w:spacing w:after="0" w:line="192" w:lineRule="exact"/>
        <w:rPr>
          <w:rFonts w:ascii="Arial" w:cs="Arial" w:eastAsia="Arial" w:hAnsi="Arial"/>
          <w:sz w:val="18"/>
          <w:szCs w:val="18"/>
          <w:color w:val="auto"/>
        </w:rPr>
      </w:pPr>
    </w:p>
    <w:p>
      <w:pPr>
        <w:ind w:left="1500" w:hanging="208"/>
        <w:spacing w:after="0"/>
        <w:tabs>
          <w:tab w:leader="none" w:pos="15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afford such applicants access to the information preserved at the time by the Trustee in accordance with Section 7.02(a), or</w:t>
      </w:r>
    </w:p>
    <w:p>
      <w:pPr>
        <w:spacing w:after="0" w:line="248" w:lineRule="exact"/>
        <w:rPr>
          <w:rFonts w:ascii="Arial" w:cs="Arial" w:eastAsia="Arial" w:hAnsi="Arial"/>
          <w:sz w:val="16"/>
          <w:szCs w:val="16"/>
          <w:color w:val="auto"/>
        </w:rPr>
      </w:pPr>
    </w:p>
    <w:p>
      <w:pPr>
        <w:jc w:val="both"/>
        <w:ind w:left="640" w:firstLine="652"/>
        <w:spacing w:after="0" w:line="285" w:lineRule="auto"/>
        <w:tabs>
          <w:tab w:leader="none" w:pos="155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inform such applicants as to the approximate number of Holders of Securities of such series or all Securities, as the case may be, whose names and addresses appear in the information preserved at the time by the Trustee in accordance with Section 7.02(a), and as to the approximate cost of mailing to such Securityholders the form of proxy or other communication, if any, specified in such application. If the Trustee shall elect not to afford such applicants access to such information, the Trustee shall, upon the written request of such applicants, mail to each Holder of a Security of such series or to all Securityholders, as the case may be, whose names and addresses appear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Securities of such series or all Securityholders,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Securityholders of such series or all Securityholders, as the case may be, with reasonable promptness after the entry of such order and the renewal of such tender; otherwise the Trustee shall be relieved of any obligation or duty to such applicants respecting their application.</w:t>
      </w:r>
    </w:p>
    <w:p>
      <w:pPr>
        <w:spacing w:after="0" w:line="3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8" w:name="page169"/>
    <w:bookmarkEnd w:id="168"/>
    <w:p>
      <w:pPr>
        <w:jc w:val="both"/>
        <w:ind w:left="660" w:firstLine="644"/>
        <w:spacing w:after="0" w:line="279" w:lineRule="auto"/>
        <w:tabs>
          <w:tab w:leader="none" w:pos="156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Every Holder of Securities, by receiving and holding the same, agrees with the Company and the Trustee that neither the Company nor the Trustee shall be held accountable by reason of the disclosure of any such information as to the names and addresses of the Holders of Securities in accordance with Section 7.02(b), regardless of the source from which such information was derived, and that the Trustee shall not be held accountable by reason of mailing any material pursuant to a request made under Section 7.02(b).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311" w:lineRule="auto"/>
        <w:tabs>
          <w:tab w:leader="none" w:pos="155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Within 60 days after May 15 of each year commencing with the first May 15 after the issuance of Securities, the Trustee shall transmit by mail, at the Company’s expense, to all Holders as their names and addresses appear in the Security Register, as provided in Trust Indenture Act 313(c), a brief report dated as of May 15 in accordance with and with respect to the matters required by Trust Indenture Act Section 313(a).</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58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Trustee shall transmit by mail, at the Company’s expense, to all Holders as their names and addresses appear in the Security Register, as provided in Trust Indenture Act 313(c), a brief report in accordance with and with respect to the matters required by Trust Indenture Act Section 3 13(b).</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Holders, be furnished to the Company and, in accordance with Trust Indenture Act Section 313(d), be filed by the Trustee with each stock exchange upon which the Securities are listed, and also with the Commission.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shall file with the Trustee,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 The Company also shall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CONVEYANCE OR TRANSFER</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 Merger, Amalgamation, Conveyance or Transfer on Certain Terms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the Company shall not consolidate with, merge into, or amalgamate with any other Person or convey or transfer its properties and assets substantially as an entirety to any Person, unless:</w:t>
      </w:r>
    </w:p>
    <w:p>
      <w:pPr>
        <w:spacing w:after="0" w:line="149" w:lineRule="exact"/>
        <w:rPr>
          <w:sz w:val="20"/>
          <w:szCs w:val="20"/>
          <w:color w:val="auto"/>
        </w:rPr>
      </w:pPr>
    </w:p>
    <w:p>
      <w:pPr>
        <w:jc w:val="both"/>
        <w:ind w:left="660" w:firstLine="644"/>
        <w:spacing w:after="0" w:line="296" w:lineRule="auto"/>
        <w:tabs>
          <w:tab w:leader="none" w:pos="157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Company is merged or the Person which acquires by conveyance or transfer the properties and assets of the Company substantially as an entirety shall be organized and existing under the laws of Canada or any province thereof, and shall expressly assume, by an indenture supplemental hereto, executed and delivered to the Trustee, in form reasonably satisfactory to the Trustee, the due and punctual payment of the principal of (and premium, if any) and interest on all the Securities and the performance of every covenant of this Indenture (as supplemented from time to time) on the part of the Company to be performed or observed;</w:t>
      </w:r>
    </w:p>
    <w:p>
      <w:pPr>
        <w:spacing w:after="0" w:line="161" w:lineRule="exact"/>
        <w:rPr>
          <w:rFonts w:ascii="Arial" w:cs="Arial" w:eastAsia="Arial" w:hAnsi="Arial"/>
          <w:sz w:val="16"/>
          <w:szCs w:val="16"/>
          <w:color w:val="auto"/>
        </w:rPr>
      </w:pPr>
    </w:p>
    <w:p>
      <w:pPr>
        <w:ind w:left="660" w:firstLine="644"/>
        <w:spacing w:after="0" w:line="277" w:lineRule="auto"/>
        <w:tabs>
          <w:tab w:leader="none" w:pos="157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or transfer and such indenture supplemental hereto comply with this Article and that all conditions precedent herein provided for relating to such transaction have been complied with.</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Successor Person Substituted</w:t>
      </w:r>
      <w:r>
        <w:rPr>
          <w:rFonts w:ascii="Arial" w:cs="Arial" w:eastAsia="Arial" w:hAnsi="Arial"/>
          <w:sz w:val="17"/>
          <w:szCs w:val="17"/>
          <w:color w:val="auto"/>
        </w:rPr>
        <w:t>. Upon any consolidation, amalgamation or merger, or any conveyance or transfer of the properties and assets of the Company substantially as an entirety in accordance with Section 8.01, the successor Person formed by such consolidation or amalgamation or into which the Company is merged or to which such conveyance or transfer is made shall succeed to, and be substituted for, and may exercise every right and power of, the Company under this Indenture with the same effect as if such successor had been named as the Company herein. In the event of any such conveyance or transfer, the Company as the predecessor shall be discharged from all obligations and covenants under this Indenture and the Securities and may be dissolved, wound up or liquidated at any time thereafter.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Securityholders</w:t>
      </w:r>
      <w:r>
        <w:rPr>
          <w:rFonts w:ascii="Arial" w:cs="Arial" w:eastAsia="Arial" w:hAnsi="Arial"/>
          <w:sz w:val="18"/>
          <w:szCs w:val="18"/>
          <w:color w:val="auto"/>
        </w:rPr>
        <w:t>. Except as otherwise set forth in an indenture supplemental hereto or Board Resolution creating such series of Securities or in the form of Security for such series, without the consent of the Holders of any Securities, the Company, when authorized by a Board Resolution, and the Trustee, at any time and from time to time, may enter into one or more indentures supplemental hereto, in form reasonably satisfactory to the Trustee, for any of the following purposes:</w:t>
      </w:r>
    </w:p>
    <w:p>
      <w:pPr>
        <w:spacing w:after="0" w:line="187" w:lineRule="exact"/>
        <w:rPr>
          <w:sz w:val="20"/>
          <w:szCs w:val="20"/>
          <w:color w:val="auto"/>
        </w:rPr>
      </w:pPr>
    </w:p>
    <w:p>
      <w:pPr>
        <w:ind w:left="660" w:right="20" w:firstLine="644"/>
        <w:spacing w:after="0" w:line="308" w:lineRule="auto"/>
        <w:tabs>
          <w:tab w:leader="none" w:pos="15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evidence the succession of another corporation or Person to the Company or any Guarantor, if any, and the assumption by any such successor of the respective covenants of the Company or any Guarantor herein and in the Securities contained; or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ind w:left="-460" w:firstLine="644"/>
        <w:spacing w:after="0" w:line="259" w:lineRule="auto"/>
        <w:tabs>
          <w:tab w:leader="none" w:pos="46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if any, or to surrender any right or power herein conferred upon the Company or any Guarantor, for the benefit of the Holders of the Securities of any or all series (and if such covenants or the surrender of such right or power are to be for the benefit of less than all series of Securities, stating that such covenants are expressly being included or such surrenders are expressly being made solely for the benefit of one or more specified series); or</w:t>
      </w:r>
    </w:p>
    <w:p>
      <w:pPr>
        <w:spacing w:after="0" w:line="186" w:lineRule="exact"/>
        <w:rPr>
          <w:rFonts w:ascii="Arial" w:cs="Arial" w:eastAsia="Arial" w:hAnsi="Arial"/>
          <w:sz w:val="18"/>
          <w:szCs w:val="18"/>
          <w:color w:val="auto"/>
        </w:rPr>
      </w:pPr>
    </w:p>
    <w:p>
      <w:pPr>
        <w:ind w:left="-460" w:firstLine="644"/>
        <w:spacing w:after="0" w:line="277" w:lineRule="auto"/>
        <w:tabs>
          <w:tab w:leader="none" w:pos="43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inconsistent with any other provision herein, or to make any other provisions with respect to matters or questions arising under this Indenture; or</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45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add to this Indenture such provisions as may be expressly permitted by the TIA, excluding, however, the provisions referred to in Section 3 16(a)(2) of the TIA as in effect at the date as of which this instrument was executed or any corresponding provision in any similar federal statute hereafter enacted; or</w:t>
      </w:r>
    </w:p>
    <w:p>
      <w:pPr>
        <w:spacing w:after="0" w:line="183" w:lineRule="exact"/>
        <w:rPr>
          <w:rFonts w:ascii="Arial" w:cs="Arial" w:eastAsia="Arial" w:hAnsi="Arial"/>
          <w:sz w:val="18"/>
          <w:szCs w:val="18"/>
          <w:color w:val="auto"/>
        </w:rPr>
      </w:pPr>
    </w:p>
    <w:p>
      <w:pPr>
        <w:ind w:left="-460" w:firstLine="644"/>
        <w:spacing w:after="0" w:line="277" w:lineRule="auto"/>
        <w:tabs>
          <w:tab w:leader="none" w:pos="43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establish any form of Security, as provided in Article II, to provide for the issuance of any series of Securities as provided in Article III and to set forth the terms thereof, and/or to add to the rights of the Holders of the Securities of any series; or</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42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another corporation as a successor Trustee hereunder with respect to one or more series of Securities and to add to or change any of the provisions of this Indenture as shall be necessary to provide for or facilitate the administration of the trusts hereunder by more than one Trustee, pursuant to Section 6.11; or</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4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add any additional Events of Default in respect of the Securities of any or all series (and if such additional Events of Default are to be in respect of less than all series of Securities, stating that such Events of Default are expressly being included solely for the benefit of one or more specified series); or</w:t>
      </w:r>
    </w:p>
    <w:p>
      <w:pPr>
        <w:spacing w:after="0" w:line="183" w:lineRule="exact"/>
        <w:rPr>
          <w:rFonts w:ascii="Arial" w:cs="Arial" w:eastAsia="Arial" w:hAnsi="Arial"/>
          <w:sz w:val="18"/>
          <w:szCs w:val="18"/>
          <w:color w:val="auto"/>
        </w:rPr>
      </w:pPr>
    </w:p>
    <w:p>
      <w:pPr>
        <w:jc w:val="both"/>
        <w:ind w:left="-460" w:firstLine="644"/>
        <w:spacing w:after="0" w:line="286" w:lineRule="auto"/>
        <w:tabs>
          <w:tab w:leader="none" w:pos="47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to provide for uncertificated Securities in addition to or in place of certificated Securities and to provide for bearer Securities; provided that uncertificated Securities are issued in registered form for purposes of Section 163(f) of the Internal Revenue Code of 1986, as amended, or in a manner such that the uncertificated Securities are described in Section 163(f)(2)(B) of such Internal Revenue Code; or</w:t>
      </w:r>
    </w:p>
    <w:p>
      <w:pPr>
        <w:spacing w:after="0" w:line="165" w:lineRule="exact"/>
        <w:rPr>
          <w:rFonts w:ascii="Arial" w:cs="Arial" w:eastAsia="Arial" w:hAnsi="Arial"/>
          <w:sz w:val="17"/>
          <w:szCs w:val="17"/>
          <w:color w:val="auto"/>
        </w:rPr>
      </w:pPr>
    </w:p>
    <w:p>
      <w:pPr>
        <w:ind w:left="-460" w:firstLine="644"/>
        <w:spacing w:after="0" w:line="277" w:lineRule="auto"/>
        <w:tabs>
          <w:tab w:leader="none" w:pos="40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provide for the terms and conditions of conversion into Common Stock or other Marketable Securities of the Securities of any series which are convertible into Common Stock or other Marketable Securities, if any; or</w:t>
      </w:r>
    </w:p>
    <w:p>
      <w:pPr>
        <w:spacing w:after="0" w:line="170" w:lineRule="exact"/>
        <w:rPr>
          <w:rFonts w:ascii="Arial" w:cs="Arial" w:eastAsia="Arial" w:hAnsi="Arial"/>
          <w:sz w:val="18"/>
          <w:szCs w:val="18"/>
          <w:color w:val="auto"/>
        </w:rPr>
      </w:pPr>
    </w:p>
    <w:p>
      <w:pPr>
        <w:ind w:left="400" w:hanging="216"/>
        <w:spacing w:after="0"/>
        <w:tabs>
          <w:tab w:leader="none" w:pos="4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secure the Securities of any series; or</w:t>
      </w:r>
    </w:p>
    <w:p>
      <w:pPr>
        <w:spacing w:after="0" w:line="225" w:lineRule="exact"/>
        <w:rPr>
          <w:rFonts w:ascii="Arial" w:cs="Arial" w:eastAsia="Arial" w:hAnsi="Arial"/>
          <w:sz w:val="18"/>
          <w:szCs w:val="18"/>
          <w:color w:val="auto"/>
        </w:rPr>
      </w:pPr>
    </w:p>
    <w:p>
      <w:pPr>
        <w:ind w:left="440" w:hanging="256"/>
        <w:spacing w:after="0"/>
        <w:tabs>
          <w:tab w:leader="none" w:pos="4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add Guarantees in respect of any series or all of the Securities; or</w:t>
      </w:r>
    </w:p>
    <w:p>
      <w:pPr>
        <w:spacing w:after="0" w:line="225" w:lineRule="exact"/>
        <w:rPr>
          <w:rFonts w:ascii="Arial" w:cs="Arial" w:eastAsia="Arial" w:hAnsi="Arial"/>
          <w:sz w:val="18"/>
          <w:szCs w:val="18"/>
          <w:color w:val="auto"/>
        </w:rPr>
      </w:pPr>
    </w:p>
    <w:p>
      <w:pPr>
        <w:ind w:left="400" w:hanging="216"/>
        <w:spacing w:after="0"/>
        <w:tabs>
          <w:tab w:leader="none" w:pos="4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any or all series of Securities; or</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1" w:name="page172"/>
    <w:bookmarkEnd w:id="171"/>
    <w:p>
      <w:pPr>
        <w:ind w:left="660" w:firstLine="644"/>
        <w:spacing w:after="0" w:line="277" w:lineRule="auto"/>
        <w:tabs>
          <w:tab w:leader="none" w:pos="164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Commission in connection with the qualification of this Indenture or any supplemental indenture under the Trust Indenture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supplemental indenture for the purposes identified in clauses (b), (c) or (e) above may be entered into if to do so would adversely affect the rights of the Holders of Outstanding Securities of any series in any material respect.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Supplemental Indentures With Consent of Securityholders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with the consent of the Holders of not less than a majority in principal amount of the Outstanding Securities of all series affected by such supplemental indenture or indentures (acting as one class), by Act of said Holders delivered to the Company and the Trustee (in accordance with Section 1.04 hereof),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the Securities of each such series under this Indenture; provided, however, that no such supplemental indenture shall, without the consent of the Holder of each Outstanding Security affected thereby:</w:t>
      </w:r>
    </w:p>
    <w:p>
      <w:pPr>
        <w:spacing w:after="0" w:line="166" w:lineRule="exact"/>
        <w:rPr>
          <w:sz w:val="20"/>
          <w:szCs w:val="20"/>
          <w:color w:val="auto"/>
        </w:rPr>
      </w:pPr>
    </w:p>
    <w:p>
      <w:pPr>
        <w:jc w:val="both"/>
        <w:ind w:left="660" w:firstLine="644"/>
        <w:spacing w:after="0" w:line="254" w:lineRule="auto"/>
        <w:tabs>
          <w:tab w:leader="none" w:pos="156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 the Maturity of the principal of, or the Stated Maturity of any premium on, or any installment of interest on, any Security, or reduce the principal amount thereof or the interest or any premium thereon, or change the method of computing the amount of principal thereof or interest thereon on any date or change any Place of Payment where, or the coin or currency in which, any Security or any premium or interest thereon is payable, or impair the right to institute suit for the enforcement of any such payment on or after the Maturity or the Stated Maturity, as the case may be, thereof (or, in the case of redemption or repayment, on or after the Redemption Date or the Repayment Date, as the case may be), or alter the provisions of this Indenture so as to affect adversely the terms, if any, of conversion of any Securities into Common Stock or other securities; or</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7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5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modify any of the provisions of this Section 9.02, Section 5.13 or Section 10.06, except to increase any such percentage or to provide that certain other provisions of this Indenture cannot be modified or waived without the consent of the Holder of each Outstanding Security affected thereby; or</w:t>
      </w:r>
    </w:p>
    <w:p>
      <w:pPr>
        <w:spacing w:after="0" w:line="183" w:lineRule="exact"/>
        <w:rPr>
          <w:rFonts w:ascii="Arial" w:cs="Arial" w:eastAsia="Arial" w:hAnsi="Arial"/>
          <w:sz w:val="18"/>
          <w:szCs w:val="18"/>
          <w:color w:val="auto"/>
        </w:rPr>
      </w:pPr>
    </w:p>
    <w:p>
      <w:pPr>
        <w:ind w:left="660" w:firstLine="644"/>
        <w:spacing w:after="0" w:line="308" w:lineRule="auto"/>
        <w:tabs>
          <w:tab w:leader="none" w:pos="158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impair or adversely affect the right of any Holder to institute suit for the enforcement of any payment on, or with respect to, the Securities of any series on or after the Stated Maturity of such Securities (or in the case of redemption, on or after the Redemption Date);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ind w:left="660" w:right="20" w:firstLine="644"/>
        <w:spacing w:after="0" w:line="277" w:lineRule="auto"/>
        <w:tabs>
          <w:tab w:leader="none" w:pos="156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amend or modify Section 13.01 of this Indenture in any manner adverse to the rights of the Holders of the Outstanding Securities of any series;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make any change in the terms of the subordination of the Securities in a manner adverse in any material respect to the Holders of any Series of Outstanding Securities.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purposes of this Section 9.02, if the Securities of any series are issuable upon the exercise of warrants, each holder of an unexercised and unexpired warrant with respect to such series shall be deemed to be a Holder of Outstanding Securities of such series in the amount issuable upon the exercise of such warrant. For such purposes, the ownership of any such warrant shall be determined by the Company in a manner consistent with customary commercial practices. The Trustee for such series shall be entitled to rely on an Officers’ Certificate as to the principal amount of Securities of such series in respect of which consents shall have been executed by holders of such warrants.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Holders of Securities of any other series.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shall not be necessary for any Act of Securityholders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to the extent provided therein.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TIA as then in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firstLine="648"/>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Notice of Supplemental Indentures</w:t>
      </w:r>
      <w:r>
        <w:rPr>
          <w:rFonts w:ascii="Arial" w:cs="Arial" w:eastAsia="Arial" w:hAnsi="Arial"/>
          <w:sz w:val="16"/>
          <w:szCs w:val="16"/>
          <w:color w:val="auto"/>
        </w:rPr>
        <w:t>. Promptly after the execution by the Company, any affected Guarantor and the Trustee of any Supplemental Indenture pursuant to the provisions of Section 9.02, the Company shall give notice thereof to the Securityholders of each Outstanding Security affected, in the manner provided for in Section 1.06, setting forth in general terms the substance of such Supplemental Indenture. Any failure by the Company to mail such notice, or any defect therein, shall not, however, in any way impair or affect the validity of any such amendment or waiver.</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Revocation and Effect of Consents, Waivers and Actions</w:t>
      </w:r>
      <w:r>
        <w:rPr>
          <w:rFonts w:ascii="Arial" w:cs="Arial" w:eastAsia="Arial" w:hAnsi="Arial"/>
          <w:sz w:val="18"/>
          <w:szCs w:val="18"/>
          <w:color w:val="auto"/>
        </w:rPr>
        <w:t>. Until an amendment, waiver or other action by Securityholders becomes effective, a consent to it or any other action by a Securityholder of any series hereunder is a continuing consent by such Securityholder and every subsequent Securityholder of that Security, even if notation of the consent, waiver or action is not made on such Security. However, any such Securityholder or subsequent Securityholder may revoke the consent, waiver or action as to such Securityholder’s Security if the Trustee receives the notice of revocation before the consent of the requisite aggregate principal amount of the Securities of such series affected then outstanding has been obtained and not revoked. After an amendment, waiver or action becomes effective, it shall bind every Securityholder of the affected series, except as provided in Section 9.02.</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Securityholders entitled to consent to any amendment or waiver. If a record date is fixed, then, notwithstanding the first two sentences of the immediately preceding paragraph, those persons who were Securityholders at such record date (or their duly designated proxies), and only those persons, shall be entitled to consent to such amendment, supplement or waiver or to revoke any consent previously given, whether or not such persons continue to be Securityholders after such record date. No such consent shall be valid or effective for more than 90 days after such record date.</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Subordination Unimpaired</w:t>
      </w:r>
      <w:r>
        <w:rPr>
          <w:rFonts w:ascii="Arial" w:cs="Arial" w:eastAsia="Arial" w:hAnsi="Arial"/>
          <w:sz w:val="16"/>
          <w:szCs w:val="16"/>
          <w:color w:val="auto"/>
        </w:rPr>
        <w:t>. This Indenture may not be amended at any time to alter the subordination, as provided herein, of any of the Securities then Outstanding without the written consent of the requisite holders of each series of debt securities representing Senior Indebtedness (as determined in accordance with terms of the instrument governing such Senior Indebtedness) then outstanding that would be adversely affected thereby.</w:t>
      </w:r>
    </w:p>
    <w:p>
      <w:pPr>
        <w:spacing w:after="0" w:line="1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Payment of Principal, Premium and Interest</w:t>
      </w:r>
      <w:r>
        <w:rPr>
          <w:rFonts w:ascii="Arial" w:cs="Arial" w:eastAsia="Arial" w:hAnsi="Arial"/>
          <w:sz w:val="17"/>
          <w:szCs w:val="17"/>
          <w:color w:val="auto"/>
        </w:rPr>
        <w:t>. With respect to each series of Securities, the Company will duly and punctually pay the principal of (and premium, if any) and interest on such Securities in accordance with their terms and this Indenture, and will duly comply with all the other terms, agreements and conditions contained in, or made in the Indenture for the benefit of, the Securities of such series.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both"/>
        <w:ind w:firstLine="648"/>
        <w:spacing w:after="0" w:line="272"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The Company will maintain an office or agency in each Place of Payment where Securities may be presented or surrendered for payment, where Securities may be surrendered for registration of transfer or exchange, where notices and demands to or upon the Company in respect of the Securities and this Indenture may be served and where any Securities with conversion privileges, if any, may be presented and surrendered for conversion. The Company will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at the Corporate Trust Office of the Trustee, and the Company hereby appoints the Trustee its agent to receive all such presentations, surrenders, notices and demands.</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otherwise set forth in, or pursuant to, a Board Resolution or indenture supplemental hereto with respect to a series of Securities, the Company hereby initially designates as the Place of Payment for each series of Securities, the Borough of Manhattan, the City and State of New York, and initially appoints the Trustee at its Corporate Trust Office as the Company’s office or agency for each such purpose in such city.</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Security Payments to Be Held in Trust</w:t>
      </w:r>
      <w:r>
        <w:rPr>
          <w:rFonts w:ascii="Arial" w:cs="Arial" w:eastAsia="Arial" w:hAnsi="Arial"/>
          <w:sz w:val="16"/>
          <w:szCs w:val="16"/>
          <w:color w:val="auto"/>
        </w:rPr>
        <w:t>. If the Company shall at any time act as its own Paying Agent for any series of Securities, it will, on or before each due date of the principal of (and premium, if any) or interest on, any of the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to act.</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Whenever the Company shall have one or more Paying Agents for any series of Securities, it will, on or prior to each due date of the principal of (and premium, if any) or interest on, any Securities of such series, deposit with a Paying Agent a sum sufficient to pay the principal (and premium, if any) or interest so becoming due, such sum to be held in trust for the benefit of the Persons entitled to such principal (and premium, if any) or interest, and (unless such Paying Agent is the Trustee) the Company will promptly notify the Trustee of its action or failure so to act.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will cause each Paying Agent other than the Trustee for any series of Securities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left="660" w:right="20" w:firstLine="644"/>
        <w:spacing w:after="0" w:line="308" w:lineRule="auto"/>
        <w:tabs>
          <w:tab w:leader="none" w:pos="156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if any) or interest on Securities of such series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left="660" w:firstLine="644"/>
        <w:spacing w:after="0" w:line="277" w:lineRule="auto"/>
        <w:tabs>
          <w:tab w:leader="none" w:pos="157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such series) in the making of any such payment of principal (and premium, if any) or interest on the Securities of such series;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ind w:left="660" w:firstLine="644"/>
        <w:spacing w:after="0" w:line="277" w:lineRule="auto"/>
        <w:tabs>
          <w:tab w:leader="none" w:pos="1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with respect to any series of Securities or for any other purpose, pay, or by Company Order direct any Paying Agent to pay, to the Trustee all sums held in trust by the Company or such Paying Agent in respect of each and every series of Securities as to which it seeks to discharge this Indenture or, if for any other purpose, all sums so held in trust by the Company in respect of all Securities,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The Trustee or such Paying Agent, before being required to make any such repayment, may at the expense of the Company mail to the Holders of the Securities as to which the money to be repaid was held in trust, as their names and addresses appear in the Security Register, a notice that such moneys remain unclaimed and that, after a date specified in the notice, which shall not be less than 30 days from the date on which the notice was first mailed to the Holders of the Securities as to which the money to be repaid was held in trust, any unclaimed balance of such moneys then remaining will be paid to the Company free of the trust formerly impressed upon it.</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Statement as to Compliance</w:t>
      </w:r>
      <w:r>
        <w:rPr>
          <w:rFonts w:ascii="Arial" w:cs="Arial" w:eastAsia="Arial" w:hAnsi="Arial"/>
          <w:sz w:val="17"/>
          <w:szCs w:val="17"/>
          <w:color w:val="auto"/>
        </w:rPr>
        <w:t>. The Company will deliver to the Trustee, within 120 days after the end of each fiscal year, a written statement signed by the principal executive officer, principal financial officer or principal accounting officer of the Company stating that:</w:t>
      </w:r>
    </w:p>
    <w:p>
      <w:pPr>
        <w:spacing w:after="0" w:line="146" w:lineRule="exact"/>
        <w:rPr>
          <w:sz w:val="20"/>
          <w:szCs w:val="20"/>
          <w:color w:val="auto"/>
        </w:rPr>
      </w:pPr>
    </w:p>
    <w:p>
      <w:pPr>
        <w:ind w:left="660" w:firstLine="644"/>
        <w:spacing w:after="0" w:line="277" w:lineRule="auto"/>
        <w:tabs>
          <w:tab w:leader="none" w:pos="157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review of the activities of the Company during such year and of performance under this Indenture and under the terms of the Securities has been made under his supervision; and</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5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the best of his knowledge, based on such review, the Company has fulfilled all its obligations under this Indenture and has complied with all conditions and covenants on its part contained in this Indenture through such year, or, if there has been a default in the fulfillment of any such obligation, covenant or condition, specifying each such default known to him and the nature and status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48"/>
        <w:spacing w:after="0" w:line="277" w:lineRule="auto"/>
        <w:rPr>
          <w:sz w:val="20"/>
          <w:szCs w:val="20"/>
          <w:color w:val="auto"/>
        </w:rPr>
      </w:pPr>
      <w:r>
        <w:rPr>
          <w:rFonts w:ascii="Arial" w:cs="Arial" w:eastAsia="Arial" w:hAnsi="Arial"/>
          <w:sz w:val="18"/>
          <w:szCs w:val="18"/>
          <w:color w:val="auto"/>
        </w:rPr>
        <w:t>For the purpose of this Section 10.04, default and compliance shall be determined without regard to any grace period or requirement of notice provided pursuant to the terms of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Legal Existence</w:t>
      </w:r>
      <w:r>
        <w:rPr>
          <w:rFonts w:ascii="Arial" w:cs="Arial" w:eastAsia="Arial" w:hAnsi="Arial"/>
          <w:sz w:val="18"/>
          <w:szCs w:val="18"/>
          <w:color w:val="auto"/>
        </w:rPr>
        <w:t>. Subject to Article VIII, the Company will do or cause to be done all things necessary to preserve and keep in full force and effect its legal existence.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 The Company may omit in respect of any series of Securities, in any particular instance, to comply with any covenant or condition set forth in Sections 10.04 or 10.05 or set forth in a Board Resolution or indenture supplemental hereto with respect to the Securities of such series, unless otherwise specified in such Board Resolution or indenture supplemental hereto, if before or after the time for such compliance the Holders of not less than a majority in principal amount of the Outstanding Securities of all series affected by such waiver (voting as one class) shall, by Act of such Securityholders delivered to the Company and the Trustee (in accordance with Section 1.04 hereof),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Nothing in this Section 10.06 shall permit the waiver of compliance with any covenant or condition set forth in such Board Resolution or indenture supplemental hereto which, if in the form of an indenture supplemental hereto, would not be permitted by Section 9.02 without the consent of the Holder of each Outstanding Security affected thereby.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REDEMPTION OF SECURITIES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 The Company may reserve the right to redeem and pay before Stated Maturity all or any part of the Securities of any series, either by optional redemption, sinking or purchase fund or analogous obligation or otherwise, by provision therefor in the form of Security for such series established and approved pursuant to Section 2.02 and on such terms as are specified in such form or in the Board Resolution or indenture supplemental hereto with respect to Securities of such series as provided in Section 3.01. Redemption of Securities of any series shall be made in accordance with the terms of such Securities and, to the extent that this Article does not conflict with such terms, the succeeding Sections of this Article. Notwithstanding anything to the contrary in this Indenture, except in the case of redemption pursuant to a sinking fund, the Trustee shall not make any payment in connection with the redemption of Securities until the close of business on the Redemption Date.</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redeemable at the election of the Company shall be evidenced by, or pursuant to authority granted by, a Board Resolution. In case of any redemption at the election of the Company of less than all of the Securities of any series, the Company shall, at least 45 days prior to the Redemption Date fixed by the Company (unless a shorter notice shall be reasonably satisfactory to the Trustee), notify the Trustee of such Redemption Date and of the principal amount of Securities of such series and the Tranche (as defined in Section 11.03) to be redeemed.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ind w:firstLine="648"/>
        <w:spacing w:after="0" w:line="286" w:lineRule="auto"/>
        <w:rPr>
          <w:sz w:val="20"/>
          <w:szCs w:val="20"/>
          <w:color w:val="auto"/>
        </w:rPr>
      </w:pPr>
      <w:r>
        <w:rPr>
          <w:rFonts w:ascii="Arial" w:cs="Arial" w:eastAsia="Arial" w:hAnsi="Arial"/>
          <w:sz w:val="17"/>
          <w:szCs w:val="17"/>
          <w:color w:val="auto"/>
        </w:rPr>
        <w:t>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like tenor and terms of any series (a “Tranche”) are to be redeemed, the particular Securities to be redeemed shall be selected not more than 45 days prior to the Redemption Date by the Trustee, from the Outstanding Securities of such Tranche not previously called for redemption, by such method as the Trustee shall deem fair and appropriate and which may include provision for the selection for redemption of portions of the principal of Securities of such Tranche of a denomination larger than the minimum authorized denomination for Securities of that series. Unless otherwise provided in the terms of a particular series of Securities, the portions of the principal of Securities so selected for partial redemption shall be equal to the minimum authorized denomination of the Securities of such series, or an integral multiple thereof, and the principal amount which remains outstanding shall not be less than the minimum authorized denomination for Securities of such series. If less than all the Securities of unlike tenor and terms of a series are to be redeemed, the particular Tranche of Securities to be redeemed shall be selected by the Company.</w:t>
      </w:r>
    </w:p>
    <w:p>
      <w:pPr>
        <w:spacing w:after="0" w:line="19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and, in the case of any Security selected for partial redemption, the principal amount thereof to be redeemed.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Securities shall be excluded from eligibility for selection for redemption if they are identified by registration and certificate number in a written statement signed by an authorized officer of the Company and delivered to the Trustee at least 45 days prior to the Redemption Date (unless a shorter period shall be reasonably satisfactory to the Trustee) as being owned of record and beneficially by, and not pledged or hypothecated by either, (a) the Company or (b) an entity specifically identified in such written statement as being an Affiliate of the Company.</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of such Security which has been or is to be redeemed.</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by first-class mail, postage prepaid, mailed not less than 15 (unless otherwise provided in the Board Resolution or indenture supplemental hereto establishing the relevant series) nor more than 45 days prior to the Redemption Date, to each holder of Securities to be redeemed, at his address appearing in the Security Register.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Redemption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left="1560" w:hanging="256"/>
        <w:spacing w:after="0"/>
        <w:tabs>
          <w:tab w:leader="none" w:pos="15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respective principal amounts) of the Securities to be redeemed;</w:t>
      </w:r>
    </w:p>
    <w:p>
      <w:pPr>
        <w:spacing w:after="0" w:line="170" w:lineRule="exact"/>
        <w:rPr>
          <w:rFonts w:ascii="Arial" w:cs="Arial" w:eastAsia="Arial" w:hAnsi="Arial"/>
          <w:sz w:val="18"/>
          <w:szCs w:val="18"/>
          <w:color w:val="auto"/>
        </w:rPr>
      </w:pPr>
    </w:p>
    <w:p>
      <w:pPr>
        <w:ind w:left="660" w:firstLine="644"/>
        <w:spacing w:after="0" w:line="277" w:lineRule="auto"/>
        <w:tabs>
          <w:tab w:leader="none" w:pos="157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and that interest, if any, thereon shall cease to accrue from and after said date;</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55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place where such Securities are to be surrendered for payment of the Redemption Price, which shall be the office or agency of the Company in the Place of Payment;</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that the redemption is on account of a sinking or purchase fund, or other analogous obligation, if that be the case;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5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such Securities are convertible into Common Stock or other securities, the Conversion Price or other conversion price and the date on which the right to convert such Securities into Common Stock or other securities will terminate;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7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applicable, that the redemption may be rescinded by the Company, at its sole option, pursuant to Section 11.09 of this Indenture upon the occurrence of a Redemption Rescission Event.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provided that if the Trustee is asked to give such notice it shall be given at least five Business Days prior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prior to any Redemption Date and subject to Section 11.09, the Company shall deposit with the Trustee or with a Paying Agent (or, if the Company is acting as its own Paying Agent, segregate and hold in trust as provided in Section 10.03) an amount of money sufficient to pay the Redemption Price of all the Securities which are to be redeemed on that date. If any Security to be redeemed is converted into Common Stock or other securities, any money so deposited with the Trustee or a Paying Agent shall be paid to the Company upon Company Request or, if then so segregated and held in trust by the Company, shall be discharged from such trust.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jc w:val="both"/>
        <w:ind w:firstLine="648"/>
        <w:spacing w:after="0" w:line="272"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Notice of redemption having been given as aforesaid, the Securities so to be redeemed shall, subject to Section 11.09, on the Redemption Date, become due and payable at the Redemption Price therein specified and from and after such date (unless the Company shall default in the payment of the Redemption Price) such Securities shall cease to bear interest and any rights to convert such Securities shall terminate. Upon surrender of such Securities for redemption in accordance with the notice and subject to Section 11.09, such Securities shall be paid by the Company at the Redemption Price. Unless otherwise provided with respect to such Securities pursuant to Section 3.01, installments of interest the Stated Maturity of which is on or prior to the Redemption Date shall be payable to the Holders of such Securities registered as such on the relevant Regular Record Dates according to their terms and the provisions of Section 3.07.</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bear interest from the Redemption Date at the rate borne by the Security, or as otherwise provided in such Security.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Security which is to be redeemed only in part shall be surrendered at the office or agency of the Company in the Place of Payment with respect to that series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Stated Maturity and of like tenor and terms, of any authorized denomination as requested by such Holder in aggregate principal amount equal to and in exchange for the unredeemed portion of the principal of the Security so surrendered.</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Provisions with Respect to Any Sinking Funds</w:t>
      </w:r>
      <w:r>
        <w:rPr>
          <w:rFonts w:ascii="Arial" w:cs="Arial" w:eastAsia="Arial" w:hAnsi="Arial"/>
          <w:sz w:val="17"/>
          <w:szCs w:val="17"/>
          <w:color w:val="auto"/>
        </w:rPr>
        <w:t>. Unless the form or terms of any series of Securities shall provide otherwise, in lieu of making all or any part of any mandatory sinking fund payment with respect to such series of Securities in cash, the Company may at its option (1) deliver to the Trustee for cancellation any Securities of such series theretofore acquired by the Company or converted by the Holder thereof into Common Stock or other securities, or (2) receive credit for any Securities of such series (not previously so credited) acquired by the Company (including by way of optional redemption (pursuant to the sinking fund or otherwise but not by way of mandatory sinking fund redemption)) or converted by the Holder thereof into Common Stock or other securities and theretofore delivered to the Trustee for cancellation, and if it does so then (i) Securities so delivered or credited shall be credited at the applicable sinking fund Redemption Price with respect to Securities of such series, and (ii) on or before the 60th day next preceding each sinking fund Redemption Date with respect to such series of Securities, the Company will deliver to the Trustee (A) an Officers’ Certificate specifying the portions of such sinking fund payment to be satisfied by payment of cash and by delivery or credit of Securities of such series acquired by the Company or converted by the Holder thereof, and (B) such Securities, to the extent not previously surrendered. Such Officers’ Certificate shall also state the basis for such credit and that the Securities for which the Company elects to receive credit have not been previously so credited and were not acquired by the Company through operation of the mandatory sinking fund, if any, provided with respect to such Securities and shall also state that no Event of Default with respect to Securities of such series has occurred and is continuing. All Securities so delivered to the Trustee shall be canceled by the Trustee and no Securities shall be authenticated in lieu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ind w:firstLine="648"/>
        <w:spacing w:after="0" w:line="268" w:lineRule="auto"/>
        <w:rPr>
          <w:sz w:val="20"/>
          <w:szCs w:val="20"/>
          <w:color w:val="auto"/>
        </w:rPr>
      </w:pPr>
      <w:r>
        <w:rPr>
          <w:rFonts w:ascii="Arial" w:cs="Arial" w:eastAsia="Arial" w:hAnsi="Arial"/>
          <w:sz w:val="17"/>
          <w:szCs w:val="17"/>
          <w:color w:val="auto"/>
        </w:rPr>
        <w:t>If the sinking fund payment or payments (mandatory or optional) with respect to any series of Securities made in cash plus any unused balance of any preceding sinking fund payments with respect to Securities of such series made in cash shall exceed $50,000 (or a lesser sum if the Company shall so request), unless otherwise provided by the terms of such series of Securities, that cash shall be applied by the Trustee on the sinking fund Redemption Date with respect to Securities of such series next following the date of such payment to the redemption of Securities of such series at the applicable sinking fund Redemption Price with respect to Securities of such series, together with accrued interest, if any, to the date fixed for redemption, with the effect provided in Section 11.06. The Trustee shall select, in the manner provided in Section 11.03, for redemption on such sinking fund Redemption Date a sufficient principal amount of Securities of such series to utilize that cash and shall thereupon cause notice of redemption of the Securities of such series for the sinking fund to be given in the manner provided in Section 11.04 (and with the effect provided in Section 11.06) for the redemption of Securities in part at the option of the Company. Any sinking fund moneys not so applied or allocated by the Trustee to the redemption of Securities of such series shall be added to the next cash sinking fund payment with respect to Securities of such series received by the Trustee and, together with such payment, shall be applied in accordance with the provisions of this Section 11.08. Any and all sinking fund moneys with respect to Securities of any series held by the Trustee at the Maturity of Securities of such series, and not held for the payment or redemption of particular Securities of such series, shall be applied by the Trustee, together with other moneys, if necessary, to be deposited sufficient for the purpose, to the payment of the principal of the Securities of such series at Maturity.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or before each sinking fund Redemption Date provided with respect to Securities of any series, the Company shall pay to the Trustee in cash a sum equal to all accrued interest, if any, to the date fixed for redemption on Securities to be redeemed on such sinking fund Redemption Date pursuant to this Section 11.08.</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Rescission of Redemption</w:t>
      </w:r>
      <w:r>
        <w:rPr>
          <w:rFonts w:ascii="Arial" w:cs="Arial" w:eastAsia="Arial" w:hAnsi="Arial"/>
          <w:sz w:val="16"/>
          <w:szCs w:val="16"/>
          <w:color w:val="auto"/>
        </w:rPr>
        <w:t>. In the event that this Section 11.09 is specified to be applicable to a series of Securities pursuant to Section 3.01 and a Redemption Rescission Event shall occur following any day on which a notice of redemption shall have been given pursuant to Section 11.04 hereof but at or prior to the time and date fixed for redemption as set forth in such notice of redemption, the Company may, at its sole option, at any time prior to the earlier of (i) the close of business on that day which is two Trading Days following such Redemption Rescission Event and (ii) the time and date fixed for redemption as set forth in such notice, rescind the redemption to which such notice of redemption shall have related by making a public announcement of such rescission (the date on which such public announcement shall have been made being hereinafter referred to as the “Rescission Date”). The Company shall be deemed to have made such announcement if it shall issue a release to the Dow Jones News Service, Reuters Information Services or any successor news wire service. From and after the making of such announcement, the Company shall have no obligation to redeem Securities called for redemption pursuant to such notice of redemption or to pay the Redemption Price therefor and all rights of Holders of Securities shall be restored as if such notice of redemption had not been given. As promptly as practicable following the making of such announcement, the Company shall telephonically notify the Trustee and the Paying Agent of such rescission. The Company shall give notice of any such rescission by first-class mail, postage prepaid, mailed as promptly as practicable but in no event later than the close of business on that day which is five Trading Days following the Rescission Date to each Holder of Securities at the close of business on the Rescission Date and to the Trustee and the Paying Agent. Each notice of rescission shall</w:t>
      </w:r>
    </w:p>
    <w:p>
      <w:pPr>
        <w:spacing w:after="0" w:line="2" w:lineRule="exact"/>
        <w:rPr>
          <w:sz w:val="20"/>
          <w:szCs w:val="20"/>
          <w:color w:val="auto"/>
        </w:rPr>
      </w:pPr>
    </w:p>
    <w:p>
      <w:pPr>
        <w:jc w:val="both"/>
        <w:ind w:firstLine="8"/>
        <w:spacing w:after="0" w:line="255" w:lineRule="auto"/>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state that the redemption described in the notice of redemption has been rescinded and (B) state that such form must be properly completed and received by the Company no later than the close of business on a date that shall be 15 Trading Days following the date of the mailing of such notice of rescission.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SUBORDINATION OF SECURITIES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Agreement of Subordination</w:t>
      </w:r>
      <w:r>
        <w:rPr>
          <w:rFonts w:ascii="Arial" w:cs="Arial" w:eastAsia="Arial" w:hAnsi="Arial"/>
          <w:sz w:val="18"/>
          <w:szCs w:val="18"/>
          <w:color w:val="auto"/>
        </w:rPr>
        <w:t>. The Company covenants and agrees, and each holder of Securities issued hereunder by his acceptance thereof likewise covenants and agrees, that all Securities shall be issued subject to the provisions of this Article XII; and each Securityholder, whether upon original issue or upon transfer or assignment thereof, accepts and agrees to be bound by such provisions.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of this Article XII define the subordination of the Securities, as obligations of the Company, with respect to Senior Indebtedness of the Company, as defined for the Company. All such provisions shall also be deemed to apply in the same way (mutatis mutandis) to each Guarantor, with appropriate corresponding references to the Senior Indebtedness of such Guarantor. No provision of this Article XII shall prevent the occurrence of any default or Event of Default hereunder.</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Payments to Securityholders</w:t>
      </w:r>
      <w:r>
        <w:rPr>
          <w:rFonts w:ascii="Arial" w:cs="Arial" w:eastAsia="Arial" w:hAnsi="Arial"/>
          <w:sz w:val="17"/>
          <w:szCs w:val="17"/>
          <w:color w:val="auto"/>
        </w:rPr>
        <w:t>. In the event and during the continuation of any default in the payment of principal, premium, interest or any other payment due on any Senior Indebtedness of the Company continuing beyond the period of grace, if any, specified in the instrument or lease evidencing such Senior Indebtedness of the Company, then, unless and until such default shall have been cured or waived or shall have ceased to exist, no payment shall be made by the Company with respect to the principal of, or premium, if any, or interest on the Securities, except sinking fund payments made by the acquisition of Securities under Section 11.08 prior to the happening of such default and payments made pursuant to Article IV hereof from monies deposited with the Trustee pursuant thereto prior to the happening of such default.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Upon any payment by the Company, or distribution of assets of the Company of any kind or character, whether in cash, property or securities, to creditors upon any dissolution or winding-up or liquidation or reorganization of the Company, whether voluntary or involuntary or in bankruptcy, insolvency, receivership or other proceedings, all amounts due or to become due upon all Senior Indebtedness of the Company shall first be paid in full, or payment thereof provided for in money in accordance with its terms, before any payment is made on account of the principal (and premium, if any) or interest on the Securities (except payments made pursuant to Article IV hereof from monies deposited with the Trustee pursuant thereto prior to the happening of such dissolution, winding-up, liquidation or reorganization); and upon any such dissolution or winding-up or liquidation or reorganization any payment by the Company, or distribution of assets of the Company of and kind or character, whether in cash, property or securities, to which the holders of the Securities or the Trustee would be entitled, except for the provisions of this Article XII, shall (except as aforesaid) be paid by the Company or by any receiver, trustee in bankruptcy, liquidating trustee, agent or other Person making such payment or distribution, or by the holders of the Securities or by the Trustee under this Indenture if received by them or it, directly to the holders of Senior Indebtedness of the Company (pro rata to such holders on the basis of the respective amounts of Senior Indebtedness of the Company held by such holders, as calculated by the Company) or their representative or representatives, or to the trustee or trustees under any indenture pursuant to which any instruments evidencing any Senior Indebtedness of the Company may have been issued, as their respective interests may appear, to the extent necessary to pay all Senior Indebtedness of the Company in full, in money or money’s worth, after giving effect to any concurrent payment or distribution to or for the holders of Senior Indebtedness of the Company, before any payment or distribution is made to the holders of the Securities or to the Trustee.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both"/>
        <w:ind w:firstLine="648"/>
        <w:spacing w:after="0" w:line="285" w:lineRule="auto"/>
        <w:rPr>
          <w:sz w:val="20"/>
          <w:szCs w:val="20"/>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of the Company is paid in full, or provision is made for such payment in money in accordance with its terms, such payment or distribution shall be held in trust for the benefit of and shall be paid over or delivered to the holders of Senior Indebtedness of the Company or their representative or representatives, or to the trustee or trustees under any indenture pursuant to which any instruments evidencing any Senior Indebtedness of the Company may have been issued, as their respective interests may appear, as calculated by the Company, for application to the payment of all Senior Indebtedness of the Company remaining unpaid to the extent necessary to pay all Senior Indebtedness of the Company in full in money in accordance with its terms, after giving effect to any concurrent payment or distribution to or for the holders of such Senior Indebtedness. For purposes of this Article XII,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XII with respect to the Securities to the payment of all Senior Indebtedness of the Company which may at the time be outstanding; provided that (i) the Senior Indebtedness of the Company is assumed by the new corporation, if any, resulting from any such reorganization or readjustment, and (ii) the rights of the holders of the Senior Indebtedness of the Company (other than leases) and of leases which are assumed are not, without the consent of such holders, altered by such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12.02 if such other corporation shall, as a part of such consolidation, merger, conveyance or transfer, comply with the conditions stated in Article VIII hereof. Nothing in this Section 12.02 shall apply to claims of, or payments to, the Trustee under or pursuant to Section 6.07.</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Subrogation of Securities</w:t>
      </w:r>
      <w:r>
        <w:rPr>
          <w:rFonts w:ascii="Arial" w:cs="Arial" w:eastAsia="Arial" w:hAnsi="Arial"/>
          <w:sz w:val="17"/>
          <w:szCs w:val="17"/>
          <w:color w:val="auto"/>
        </w:rPr>
        <w:t>. Subject to the payment in full of all Senior Indebtedness of the Company, the rights of the holders of the Securities shall be subrogated to the rights of the holders of Senior Indebtedness of the Company to receive payments or distributions of cash, property or securities of the Company applicable to the Senior Indebtedness of the Company until the principal of (and premium, if any) and interest on the Securities shall be paid in full; and, for the purposes of such subrogation, no payments or distributions to the holders of the Senior Indebtedness of the Company of any cash, property or securities to which the holders of the Securities or the Trustee would be entitled except for the provisions of this Article XII no payment over pursuant to the provisions of this Article XII, to or for the benefit of the holders of Senior Indebtedness of the Company by holders of the Securities or the Trustee, shall, as between the Company, its creditors other than holders of Senior Indebtedness of the Company, and the holders of the Securities, be deemed to be a payment by the Company to or on account of the Senior Indebtedness of the Company. It is understood that the provisions of this Article XII are and are intended solely for the purpose of defining the relative rights of the holders of the Securities, on the one hand, and the holders of the Senior Indebtedness of the Company, on the other hand.</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Nothing contained in this Article XII or elsewhere in this Indenture or in the Securities is intended to or shall impair, as between the Company, its creditors other than the holders of its Senior Indebtedness,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XII of the holders of Senior Indebtedness of the Company in respect of cash, property or securities of the Company received upon the exercise of any such remedy.</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any payment or distribution of assets of the Company referred to in this Article XII,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XII.</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3" w:name="page184"/>
    <w:bookmarkEnd w:id="183"/>
    <w:p>
      <w:pPr>
        <w:jc w:val="both"/>
        <w:ind w:firstLine="648"/>
        <w:spacing w:after="0" w:line="263"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Authorization by Securityholders</w:t>
      </w:r>
      <w:r>
        <w:rPr>
          <w:rFonts w:ascii="Arial" w:cs="Arial" w:eastAsia="Arial" w:hAnsi="Arial"/>
          <w:sz w:val="18"/>
          <w:szCs w:val="18"/>
          <w:color w:val="auto"/>
        </w:rPr>
        <w:t>. Each holder of a Security by his acceptance thereof authorizes and directs the Trustee in his behalf to take such action as may be necessary or appropriate to effectuate the subordination provided in this Article XII appoints the Trustee his attorney-in-fact for any and all such purposes.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u w:val="single" w:color="auto"/>
          <w:color w:val="auto"/>
        </w:rPr>
        <w:t>Notice to Trustee</w:t>
      </w:r>
      <w:r>
        <w:rPr>
          <w:rFonts w:ascii="Arial" w:cs="Arial" w:eastAsia="Arial" w:hAnsi="Arial"/>
          <w:sz w:val="17"/>
          <w:szCs w:val="17"/>
          <w:color w:val="auto"/>
        </w:rPr>
        <w:t>. The Company shall give promptly written notice to a Responsible Officer of the Trustee of any fact known to the Company which would prohibit the making of any payment of monies to or by the Trustee in respect of the Securities pursuant to the provisions of this Article XII. Notwithstanding the provisions of this Article XII or any other provision of this Indenture, the Trustee shall not be charged with knowledge of the existence of any facts which would prohibit the making of any payment of monies to or by the Trustee in respect of the Securities pursuant to the provisions of this Article XII, unless and until a Responsible Officer of the Trustee shall have received written notice thereof at the Corporate Trust Office of the Trustee from the Company or a holder or holders of Senior Indebtedness or from any trustee therefor; and before the receipt of any such written notice, the Trustee, subject to the provisions of Section 6.01,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anything to the contrary hereinbefore set forth, nothing shall prevent any payment by the Company or the Trustee to the Securityholders of monies in connection with a redemption of Securities if (i) notice of such redemption has been given pursuant to Article XI or Section 4.01 hereof prior to the receipt by the Trustee of written notice as aforesaid, and (ii) such notice of redemption is given not earlier than 60 days before the redemption date. The Trustee conclusively shall be entitled to rely on the delivery to it of a written notice by a Person representing himself to be a holder of Senior Indebtedness of the Company (or a trustee on behalf of such holder) to establish that such notice has been given by a holder of Senior Indebtedness of the Company or a trustee on behalf of any such holder or holders. In the event that the Trustee determines in good faith that further evidence is required with respect to the right of any Person as a holder of Senior Indebtedness of the Company to participate in any payment or distribution pursuant to this Article XII, the Trustee may request such Person to furnish evidence to the reasonable satisfaction of the Trustee as to the amount of Senior Indebtedness of the Company held by such Person, the extent to which such Person is entitled to participate in such payment or distribution and any other facts pertinent to the rights of such Person under this Article XII, and if such evidence is not furnished the Trustee may defer any payment to such Person pending judicial determination as to the right of such Person to receive such payment.</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Trustee’s Relation to Senior Indebtedness</w:t>
      </w:r>
      <w:r>
        <w:rPr>
          <w:rFonts w:ascii="Arial" w:cs="Arial" w:eastAsia="Arial" w:hAnsi="Arial"/>
          <w:sz w:val="18"/>
          <w:szCs w:val="18"/>
          <w:color w:val="auto"/>
        </w:rPr>
        <w:t>. The Trustee in its individual capacity shall be entitled to all the rights set forth in this Article XII in respect of any Senior Indebtedness of the Company at any time held by it, to the same extent as any other holder of Senior Indebtedness of the Company and nothing elsewhere in this Indenture shall deprive the Trustee of any of its rights as such holder.</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the holders of Senior Indebtedness of the Company, the Trustee undertakes to perform or to observe only such of its covenants and obligations as are specifically set forth in this Article XII, and no implied covenants or obligations with respect to the holders of Senior Indebtedness of the Company shall be read into this Indenture against the Trustee. The Trustee shall not be deemed to owe any fiduciary duty to the holders of Senior Indebtedness of the Company and the Trustee shall not be liable to any holder of Senior Indebtedness of the Company if it shall pay over or deliver to holders of Securities, the Company or any other Person money or assets to which any holder of Senior Indebtedness of the Company shall be entitled by virtue of this Article XII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both"/>
        <w:ind w:firstLine="648"/>
        <w:spacing w:after="0" w:line="279" w:lineRule="auto"/>
        <w:rPr>
          <w:sz w:val="20"/>
          <w:szCs w:val="20"/>
          <w:color w:val="auto"/>
        </w:rPr>
      </w:pPr>
      <w:r>
        <w:rPr>
          <w:rFonts w:ascii="Arial" w:cs="Arial" w:eastAsia="Arial" w:hAnsi="Arial"/>
          <w:sz w:val="17"/>
          <w:szCs w:val="17"/>
          <w:color w:val="auto"/>
        </w:rPr>
        <w:t xml:space="preserve">Section 12.07 </w:t>
      </w:r>
      <w:r>
        <w:rPr>
          <w:rFonts w:ascii="Arial" w:cs="Arial" w:eastAsia="Arial" w:hAnsi="Arial"/>
          <w:sz w:val="17"/>
          <w:szCs w:val="17"/>
          <w:u w:val="single" w:color="auto"/>
          <w:color w:val="auto"/>
        </w:rPr>
        <w:t>No Impairment of Subordination</w:t>
      </w:r>
      <w:r>
        <w:rPr>
          <w:rFonts w:ascii="Arial" w:cs="Arial" w:eastAsia="Arial" w:hAnsi="Arial"/>
          <w:sz w:val="17"/>
          <w:szCs w:val="17"/>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 with.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Rights of Trustee</w:t>
      </w:r>
      <w:r>
        <w:rPr>
          <w:rFonts w:ascii="Arial" w:cs="Arial" w:eastAsia="Arial" w:hAnsi="Arial"/>
          <w:sz w:val="16"/>
          <w:szCs w:val="16"/>
          <w:color w:val="auto"/>
        </w:rPr>
        <w:t>. Nothing in this Article XII shall apply to claims of or payments to, the Trustee pursuant to Section 6.07 or 4.02.</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Applicable to Paying Agents</w:t>
      </w:r>
      <w:r>
        <w:rPr>
          <w:rFonts w:ascii="Arial" w:cs="Arial" w:eastAsia="Arial" w:hAnsi="Arial"/>
          <w:sz w:val="18"/>
          <w:szCs w:val="18"/>
          <w:color w:val="auto"/>
        </w:rPr>
        <w:t>. The term “Trustee” as used in this Article XII, shall (unless the context otherwise requires) be construed as extending to and including the Paying Agent within its meaning as fully for all intents and purposes as if the Paying Agent were named in this Article XII in addition to in place of the Trustee; provided, however, that Sections 12.06 and 12.08 shall not apply to the Company or any Affiliate of the Company if it or such Affiliate acts as Paying Agent.</w:t>
      </w:r>
    </w:p>
    <w:p>
      <w:pPr>
        <w:spacing w:after="0" w:line="18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Guarantees</w:t>
      </w:r>
      <w:r>
        <w:rPr>
          <w:rFonts w:ascii="Arial" w:cs="Arial" w:eastAsia="Arial" w:hAnsi="Arial"/>
          <w:sz w:val="16"/>
          <w:szCs w:val="16"/>
          <w:color w:val="auto"/>
        </w:rPr>
        <w:t>. Any series of Securities may be guaranteed by one or more of the Subsidiaries of the Company or other Persons. The terms and the form of any such Guarantee will be established in the manner contemplated by Section 3.01 for the particular series of Securities. Each Guarantor, as primary obligor and not merely as surety, will fully, irrevocably and unconditionally guarantee, on a subordinated basis, to each Holder of Securities (including each Holder of Securities issued under the Indenture after the date of this Indenture) and to the Trustee and its successors and assigns</w:t>
      </w:r>
    </w:p>
    <w:p>
      <w:pPr>
        <w:spacing w:after="0" w:line="1" w:lineRule="exact"/>
        <w:rPr>
          <w:sz w:val="20"/>
          <w:szCs w:val="20"/>
          <w:color w:val="auto"/>
        </w:rPr>
      </w:pPr>
    </w:p>
    <w:p>
      <w:pPr>
        <w:jc w:val="both"/>
        <w:ind w:firstLine="8"/>
        <w:spacing w:after="0" w:line="277" w:lineRule="auto"/>
        <w:tabs>
          <w:tab w:leader="none" w:pos="2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full and punctual payment of principal of and interest on the Securities when due, whether at maturity, by acceleration, by redemption or otherwise, and all other monetary obligations of the Company under this Indenture (including obligations to the Trustee) and the Securities and (ii) the full and punctual performance within applicable grace periods of all other obligations of the Company under this Indenture and the Securities.</w:t>
      </w:r>
    </w:p>
    <w:p>
      <w:pPr>
        <w:spacing w:after="0" w:line="1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obligations of each Guarantor under any such Guarantee will be junior and subordinated in right of payment to the Senior Indebtedness of such Guarantor in the same manner and to the same extent as the Securities are subordinated to the Senior Indebtedness of the Issuer.</w:t>
      </w:r>
    </w:p>
    <w:p>
      <w:pPr>
        <w:spacing w:after="0" w:line="146" w:lineRule="exact"/>
        <w:rPr>
          <w:sz w:val="20"/>
          <w:szCs w:val="20"/>
          <w:color w:val="auto"/>
        </w:rPr>
      </w:pPr>
    </w:p>
    <w:p>
      <w:pPr>
        <w:jc w:val="both"/>
        <w:ind w:left="660" w:firstLine="644"/>
        <w:spacing w:after="0" w:line="257" w:lineRule="auto"/>
        <w:tabs>
          <w:tab w:leader="none" w:pos="15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Guarantors further agrees that its obligations hereunder shall be unconditional irrespective of the absence or existence of any action to enforce the same, the recovery of any judgment against the Company or any other Guarantor (except to the extent such judgment is paid) or any waiver or amendment of the provisions of this Indenture or the Securities to the extent that any such action or any similar action would otherwise constitute a legal or equitable discharge or defense of a guarantor (except that each such waiver or amendment shall be effective in accordance with its terms).</w:t>
      </w:r>
    </w:p>
    <w:p>
      <w:pPr>
        <w:spacing w:after="0" w:line="187" w:lineRule="exact"/>
        <w:rPr>
          <w:rFonts w:ascii="Arial" w:cs="Arial" w:eastAsia="Arial" w:hAnsi="Arial"/>
          <w:sz w:val="18"/>
          <w:szCs w:val="18"/>
          <w:color w:val="auto"/>
        </w:rPr>
      </w:pPr>
    </w:p>
    <w:p>
      <w:pPr>
        <w:ind w:left="660" w:firstLine="644"/>
        <w:spacing w:after="0" w:line="277" w:lineRule="auto"/>
        <w:tabs>
          <w:tab w:leader="none" w:pos="157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Guarantors further agrees that each Guarantee constitutes a guarantee of payment, performance and compliance and not merely of collection.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left="-460" w:firstLine="644"/>
        <w:spacing w:after="0" w:line="275" w:lineRule="auto"/>
        <w:tabs>
          <w:tab w:leader="none" w:pos="44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Each of the Guarantors further agrees to waive presentment to, demand of payment from and protest to the Company or any other Person, and also waives diligence, notice of acceptance of its Guarantee, presentment, demand for payment, notice of protest for nonpayment, the filing of claims with a court in the event of merger, amalgamatio or bankruptcy of the Company or any other Person and any right to require a proceeding first against the Company or any other Person. The obligations of the Guarantors shall not be affected by any failure or policy on the part of the Trustee to exercise any right or remedy under this Indenture or the Securities of any series.</w:t>
      </w:r>
    </w:p>
    <w:p>
      <w:pPr>
        <w:spacing w:after="0" w:line="176" w:lineRule="exact"/>
        <w:rPr>
          <w:rFonts w:ascii="Arial" w:cs="Arial" w:eastAsia="Arial" w:hAnsi="Arial"/>
          <w:sz w:val="17"/>
          <w:szCs w:val="17"/>
          <w:color w:val="auto"/>
        </w:rPr>
      </w:pPr>
    </w:p>
    <w:p>
      <w:pPr>
        <w:jc w:val="both"/>
        <w:ind w:left="-460" w:firstLine="644"/>
        <w:spacing w:after="0" w:line="257" w:lineRule="auto"/>
        <w:tabs>
          <w:tab w:leader="none" w:pos="45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obligation of each Guarantor to make any payment hereunder may be satisfied by causing the Company or any other Person to make such payment. If any Holder of any Security or the Trustee is required by any court or otherwise to return to the Company or any Guarantor, or any custodian, trustee, liquidator or other similar official acting in relation to any of the Company or any Guarantor, any amount paid by any of them to the Trustee or such Holder, the Guarantee of such Guarantor, to the extent theretofore discharged, shall be reinstated in full force and effect.</w:t>
      </w:r>
    </w:p>
    <w:p>
      <w:pPr>
        <w:spacing w:after="0" w:line="187" w:lineRule="exact"/>
        <w:rPr>
          <w:rFonts w:ascii="Arial" w:cs="Arial" w:eastAsia="Arial" w:hAnsi="Arial"/>
          <w:sz w:val="18"/>
          <w:szCs w:val="18"/>
          <w:color w:val="auto"/>
        </w:rPr>
      </w:pPr>
    </w:p>
    <w:p>
      <w:pPr>
        <w:ind w:left="-460" w:firstLine="644"/>
        <w:spacing w:after="0" w:line="277" w:lineRule="auto"/>
        <w:tabs>
          <w:tab w:leader="none" w:pos="4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Guarantor also agrees to pay any and all reasonable costs and expenses (including reasonable attorneys’ fees) incurred by the Trustee or any Holder of Securities in enforcing any of their respective rights under its Guarantees.</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42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term or provision of this Indenture to the contrary notwithstanding, the maximum aggregate amount of each of the Guarantees shall not exceed the maximum amount that can be guaranteed by the relevant Guarantor without rendering the relevant Guarantee under this Indenture voidable under applicable law relating to fraudulent conveyance or fraudulent transfer or similar laws affecting the rights of creditors generally.</w:t>
      </w:r>
    </w:p>
    <w:p>
      <w:pPr>
        <w:spacing w:after="0" w:line="18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6" w:name="page187"/>
    <w:bookmarkEnd w:id="186"/>
    <w:p>
      <w:pPr>
        <w:ind w:left="660"/>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ectPr>
          <w:pgSz w:w="11900" w:h="16838" w:orient="portrait"/>
          <w:cols w:equalWidth="0" w:num="1">
            <w:col w:w="10340"/>
          </w:cols>
          <w:pgMar w:left="320" w:top="908" w:right="1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222" w:lineRule="exact"/>
        <w:rPr>
          <w:sz w:val="20"/>
          <w:szCs w:val="20"/>
          <w:color w:val="auto"/>
        </w:rPr>
      </w:pPr>
    </w:p>
    <w:p>
      <w:pPr>
        <w:sectPr>
          <w:pgSz w:w="11900" w:h="16838" w:orient="portrait"/>
          <w:cols w:equalWidth="0" w:num="2">
            <w:col w:w="480" w:space="660"/>
            <w:col w:w="9200"/>
          </w:cols>
          <w:pgMar w:left="320" w:top="908" w:right="1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[TRUSTEE], as Trustee</w:t>
      </w:r>
    </w:p>
    <w:p>
      <w:pPr>
        <w:sectPr>
          <w:pgSz w:w="11900" w:h="16838" w:orient="portrait"/>
          <w:cols w:equalWidth="0" w:num="1">
            <w:col w:w="10340"/>
          </w:cols>
          <w:pgMar w:left="320" w:top="908" w:right="1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222" w:lineRule="exact"/>
        <w:rPr>
          <w:sz w:val="20"/>
          <w:szCs w:val="20"/>
          <w:color w:val="auto"/>
        </w:rPr>
      </w:pPr>
    </w:p>
    <w:p>
      <w:pPr>
        <w:sectPr>
          <w:pgSz w:w="11900" w:h="16838" w:orient="portrait"/>
          <w:cols w:equalWidth="0" w:num="2">
            <w:col w:w="480" w:space="660"/>
            <w:col w:w="9200"/>
          </w:cols>
          <w:pgMar w:left="320" w:top="908" w:right="1239" w:bottom="1440" w:gutter="0" w:footer="0" w:header="0"/>
          <w:type w:val="continuous"/>
        </w:sect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340"/>
      </w:cols>
      <w:pgMar w:left="320" w:top="908" w:right="1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upperLetter"/>
      <w:start w:val="1"/>
    </w:lvl>
  </w:abstractNum>
  <w:abstractNum w:abstractNumId="1">
    <w:nsid w:val="11447B73"/>
    <w:multiLevelType w:val="hybridMultilevel"/>
    <w:lvl w:ilvl="0">
      <w:lvlJc w:val="left"/>
      <w:lvlText w:val="%1."/>
      <w:numFmt w:val="decimal"/>
      <w:start w:val="3"/>
    </w:lvl>
  </w:abstractNum>
  <w:abstractNum w:abstractNumId="2">
    <w:nsid w:val="42963E5A"/>
    <w:multiLevelType w:val="hybridMultilevel"/>
    <w:lvl w:ilvl="0">
      <w:lvlJc w:val="left"/>
      <w:lvlText w:val="(%1)"/>
      <w:numFmt w:val="decimal"/>
      <w:start w:val="1"/>
    </w:lvl>
  </w:abstractNum>
  <w:abstractNum w:abstractNumId="3">
    <w:nsid w:val="A0382C5"/>
    <w:multiLevelType w:val="hybridMultilevel"/>
    <w:lvl w:ilvl="0">
      <w:lvlJc w:val="left"/>
      <w:lvlText w:val="(%1)"/>
      <w:numFmt w:val="lowerRoman"/>
      <w:start w:val="4"/>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1)"/>
      <w:numFmt w:val="decimal"/>
      <w:start w:val="1"/>
    </w:lvl>
  </w:abstractNum>
  <w:abstractNum w:abstractNumId="12">
    <w:nsid w:val="7FFFCA11"/>
    <w:multiLevelType w:val="hybridMultilevel"/>
    <w:lvl w:ilvl="0">
      <w:lvlJc w:val="left"/>
      <w:lvlText w:val="(%1)"/>
      <w:numFmt w:val="lowerLetter"/>
      <w:start w:val="1"/>
    </w:lvl>
  </w:abstractNum>
  <w:abstractNum w:abstractNumId="13">
    <w:nsid w:val="1A27709E"/>
    <w:multiLevelType w:val="hybridMultilevel"/>
    <w:lvl w:ilvl="0">
      <w:lvlJc w:val="left"/>
      <w:lvlText w:val="(%1)"/>
      <w:numFmt w:val="lowerLetter"/>
      <w:start w:val="1"/>
    </w:lvl>
    <w:lvl w:ilvl="1">
      <w:lvlJc w:val="left"/>
      <w:lvlText w:val="(%2)"/>
      <w:numFmt w:val="lowerRoman"/>
      <w:start w:val="1"/>
    </w:lvl>
  </w:abstractNum>
  <w:abstractNum w:abstractNumId="14">
    <w:nsid w:val="71EA1109"/>
    <w:multiLevelType w:val="hybridMultilevel"/>
    <w:lvl w:ilvl="0">
      <w:lvlJc w:val="left"/>
      <w:lvlText w:val="(%1)"/>
      <w:numFmt w:val="decimal"/>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1)"/>
      <w:numFmt w:val="lowerLetter"/>
      <w:start w:val="1"/>
    </w:lvl>
  </w:abstractNum>
  <w:abstractNum w:abstractNumId="20">
    <w:nsid w:val="885E1B"/>
    <w:multiLevelType w:val="hybridMultilevel"/>
    <w:lvl w:ilvl="0">
      <w:lvlJc w:val="left"/>
      <w:lvlText w:val="%1"/>
      <w:numFmt w:val="decimal"/>
      <w:start w:val="1"/>
    </w:lvl>
    <w:lvl w:ilvl="1">
      <w:lvlJc w:val="left"/>
      <w:lvlText w:val="●"/>
      <w:numFmt w:val="bullet"/>
      <w:start w:val="1"/>
    </w:lvl>
  </w:abstractNum>
  <w:abstractNum w:abstractNumId="21">
    <w:nsid w:val="76272110"/>
    <w:multiLevelType w:val="hybridMultilevel"/>
    <w:lvl w:ilvl="0">
      <w:lvlJc w:val="left"/>
      <w:lvlText w:val="2"/>
      <w:numFmt w:val="bullet"/>
      <w:start w:val="1"/>
    </w:lvl>
  </w:abstractNum>
  <w:abstractNum w:abstractNumId="22">
    <w:nsid w:val="4C04A8AF"/>
    <w:multiLevelType w:val="hybridMultilevel"/>
    <w:lvl w:ilvl="0">
      <w:lvlJc w:val="left"/>
      <w:lvlText w:val="3"/>
      <w:numFmt w:val="bullet"/>
      <w:start w:val="1"/>
    </w:lvl>
  </w:abstractNum>
  <w:abstractNum w:abstractNumId="23">
    <w:nsid w:val="1716703B"/>
    <w:multiLevelType w:val="hybridMultilevel"/>
    <w:lvl w:ilvl="0">
      <w:lvlJc w:val="left"/>
      <w:lvlText w:val="4"/>
      <w:numFmt w:val="bullet"/>
      <w:start w:val="1"/>
    </w:lvl>
  </w:abstractNum>
  <w:abstractNum w:abstractNumId="24">
    <w:nsid w:val="14E17E33"/>
    <w:multiLevelType w:val="hybridMultilevel"/>
    <w:lvl w:ilvl="0">
      <w:lvlJc w:val="left"/>
      <w:lvlText w:val="5"/>
      <w:numFmt w:val="bullet"/>
      <w:start w:val="1"/>
    </w:lvl>
  </w:abstractNum>
  <w:abstractNum w:abstractNumId="25">
    <w:nsid w:val="3222E7CD"/>
    <w:multiLevelType w:val="hybridMultilevel"/>
    <w:lvl w:ilvl="0">
      <w:lvlJc w:val="left"/>
      <w:lvlText w:val="6"/>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1)"/>
      <w:numFmt w:val="lowerLetter"/>
      <w:start w:val="1"/>
    </w:lvl>
  </w:abstractNum>
  <w:abstractNum w:abstractNumId="34">
    <w:nsid w:val="43F18422"/>
    <w:multiLevelType w:val="hybridMultilevel"/>
    <w:lvl w:ilvl="0">
      <w:lvlJc w:val="left"/>
      <w:lvlText w:val="(%1)"/>
      <w:numFmt w:val="lowerLetter"/>
      <w:start w:val="1"/>
    </w:lvl>
  </w:abstractNum>
  <w:abstractNum w:abstractNumId="35">
    <w:nsid w:val="60EF0119"/>
    <w:multiLevelType w:val="hybridMultilevel"/>
    <w:lvl w:ilvl="0">
      <w:lvlJc w:val="left"/>
      <w:lvlText w:val="(%1)"/>
      <w:numFmt w:val="lowerLetter"/>
      <w:start w:val="1"/>
    </w:lvl>
  </w:abstractNum>
  <w:abstractNum w:abstractNumId="36">
    <w:nsid w:val="26F324BA"/>
    <w:multiLevelType w:val="hybridMultilevel"/>
    <w:lvl w:ilvl="0">
      <w:lvlJc w:val="left"/>
      <w:lvlText w:val="(%1)"/>
      <w:numFmt w:val="lowerLetter"/>
      <w:start w:val="1"/>
    </w:lvl>
  </w:abstractNum>
  <w:abstractNum w:abstractNumId="37">
    <w:nsid w:val="7F01579B"/>
    <w:multiLevelType w:val="hybridMultilevel"/>
    <w:lvl w:ilvl="0">
      <w:lvlJc w:val="left"/>
      <w:lvlText w:val="(%1)"/>
      <w:numFmt w:val="lowerLetter"/>
      <w:start w:val="1"/>
    </w:lvl>
  </w:abstractNum>
  <w:abstractNum w:abstractNumId="38">
    <w:nsid w:val="49DA307D"/>
    <w:multiLevelType w:val="hybridMultilevel"/>
    <w:lvl w:ilvl="0">
      <w:lvlJc w:val="left"/>
      <w:lvlText w:val="(%1)"/>
      <w:numFmt w:val="lowerLetter"/>
      <w:start w:val="1"/>
    </w:lvl>
  </w:abstractNum>
  <w:abstractNum w:abstractNumId="39">
    <w:nsid w:val="7055A5F5"/>
    <w:multiLevelType w:val="hybridMultilevel"/>
    <w:lvl w:ilvl="0">
      <w:lvlJc w:val="left"/>
      <w:lvlText w:val="(%1)"/>
      <w:numFmt w:val="lowerLetter"/>
      <w:start w:val="5"/>
    </w:lvl>
  </w:abstractNum>
  <w:abstractNum w:abstractNumId="40">
    <w:nsid w:val="5FB8370B"/>
    <w:multiLevelType w:val="hybridMultilevel"/>
    <w:lvl w:ilvl="0">
      <w:lvlJc w:val="left"/>
      <w:lvlText w:val="(%1)"/>
      <w:numFmt w:val="lowerLetter"/>
      <w:start w:val="1"/>
    </w:lvl>
  </w:abstractNum>
  <w:abstractNum w:abstractNumId="41">
    <w:nsid w:val="50801EE1"/>
    <w:multiLevelType w:val="hybridMultilevel"/>
    <w:lvl w:ilvl="0">
      <w:lvlJc w:val="left"/>
      <w:lvlText w:val="(%1)"/>
      <w:numFmt w:val="lowerRoman"/>
      <w:start w:val="2"/>
    </w:lvl>
  </w:abstractNum>
  <w:abstractNum w:abstractNumId="42">
    <w:nsid w:val="488AC1A"/>
    <w:multiLevelType w:val="hybridMultilevel"/>
    <w:lvl w:ilvl="0">
      <w:lvlJc w:val="left"/>
      <w:lvlText w:val="(%1)"/>
      <w:numFmt w:val="lowerLetter"/>
      <w:start w:val="1"/>
    </w:lvl>
  </w:abstractNum>
  <w:abstractNum w:abstractNumId="43">
    <w:nsid w:val="5FB8011C"/>
    <w:multiLevelType w:val="hybridMultilevel"/>
    <w:lvl w:ilvl="0">
      <w:lvlJc w:val="left"/>
      <w:lvlText w:val="(%1)"/>
      <w:numFmt w:val="lowerLetter"/>
      <w:start w:val="2"/>
    </w:lvl>
    <w:lvl w:ilvl="1">
      <w:lvlJc w:val="left"/>
      <w:lvlText w:val="(%2)"/>
      <w:numFmt w:val="lowerRoman"/>
      <w:start w:val="2"/>
    </w:lvl>
  </w:abstractNum>
  <w:abstractNum w:abstractNumId="44">
    <w:nsid w:val="6AA78F7F"/>
    <w:multiLevelType w:val="hybridMultilevel"/>
    <w:lvl w:ilvl="0">
      <w:lvlJc w:val="left"/>
      <w:lvlText w:val="(%1)"/>
      <w:numFmt w:val="lowerLetter"/>
      <w:start w:val="1"/>
    </w:lvl>
  </w:abstractNum>
  <w:abstractNum w:abstractNumId="45">
    <w:nsid w:val="7672BD23"/>
    <w:multiLevelType w:val="hybridMultilevel"/>
    <w:lvl w:ilvl="0">
      <w:lvlJc w:val="left"/>
      <w:lvlText w:val="(%1)"/>
      <w:numFmt w:val="lowerLetter"/>
      <w:start w:val="9"/>
    </w:lvl>
  </w:abstractNum>
  <w:abstractNum w:abstractNumId="46">
    <w:nsid w:val="6FC75AF8"/>
    <w:multiLevelType w:val="hybridMultilevel"/>
    <w:lvl w:ilvl="0">
      <w:lvlJc w:val="left"/>
      <w:lvlText w:val="(%1)"/>
      <w:numFmt w:val="lowerLetter"/>
      <w:start w:val="18"/>
    </w:lvl>
  </w:abstractNum>
  <w:abstractNum w:abstractNumId="47">
    <w:nsid w:val="6A5F7029"/>
    <w:multiLevelType w:val="hybridMultilevel"/>
    <w:lvl w:ilvl="0">
      <w:lvlJc w:val="left"/>
      <w:lvlText w:val="(%1)"/>
      <w:numFmt w:val="lowerLetter"/>
      <w:start w:val="1"/>
    </w:lvl>
  </w:abstractNum>
  <w:abstractNum w:abstractNumId="48">
    <w:nsid w:val="7D5E18F8"/>
    <w:multiLevelType w:val="hybridMultilevel"/>
    <w:lvl w:ilvl="0">
      <w:lvlJc w:val="left"/>
      <w:lvlText w:val="(%1)"/>
      <w:numFmt w:val="lowerLetter"/>
      <w:start w:val="4"/>
    </w:lvl>
  </w:abstractNum>
  <w:abstractNum w:abstractNumId="49">
    <w:nsid w:val="5F3534A4"/>
    <w:multiLevelType w:val="hybridMultilevel"/>
    <w:lvl w:ilvl="0">
      <w:lvlJc w:val="left"/>
      <w:lvlText w:val="(%1)"/>
      <w:numFmt w:val="lowerLetter"/>
      <w:start w:val="1"/>
    </w:lvl>
  </w:abstractNum>
  <w:abstractNum w:abstractNumId="50">
    <w:nsid w:val="73A182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7DE67713"/>
    <w:multiLevelType w:val="hybridMultilevel"/>
    <w:lvl w:ilvl="0">
      <w:lvlJc w:val="left"/>
      <w:lvlText w:val="(%1)"/>
      <w:numFmt w:val="lowerLetter"/>
      <w:start w:val="1"/>
    </w:lvl>
  </w:abstractNum>
  <w:abstractNum w:abstractNumId="52">
    <w:nsid w:val="555C55B5"/>
    <w:multiLevelType w:val="hybridMultilevel"/>
    <w:lvl w:ilvl="0">
      <w:lvlJc w:val="left"/>
      <w:lvlText w:val="(%1)"/>
      <w:numFmt w:val="lowerLetter"/>
      <w:start w:val="2"/>
    </w:lvl>
  </w:abstractNum>
  <w:abstractNum w:abstractNumId="53">
    <w:nsid w:val="3FA62ACA"/>
    <w:multiLevelType w:val="hybridMultilevel"/>
    <w:lvl w:ilvl="0">
      <w:lvlJc w:val="left"/>
      <w:lvlText w:val="(%1)"/>
      <w:numFmt w:val="lowerLetter"/>
      <w:start w:val="1"/>
    </w:lvl>
  </w:abstractNum>
  <w:abstractNum w:abstractNumId="54">
    <w:nsid w:val="14FCE74E"/>
    <w:multiLevelType w:val="hybridMultilevel"/>
    <w:lvl w:ilvl="0">
      <w:lvlJc w:val="left"/>
      <w:lvlText w:val="(%1)"/>
      <w:numFmt w:val="lowerLetter"/>
      <w:start w:val="6"/>
    </w:lvl>
  </w:abstractNum>
  <w:abstractNum w:abstractNumId="55">
    <w:nsid w:val="6A3DD3E8"/>
    <w:multiLevelType w:val="hybridMultilevel"/>
    <w:lvl w:ilvl="0">
      <w:lvlJc w:val="left"/>
      <w:lvlText w:val="(%1)"/>
      <w:numFmt w:val="lowerLetter"/>
      <w:start w:val="1"/>
    </w:lvl>
    <w:lvl w:ilvl="1">
      <w:lvlJc w:val="left"/>
      <w:lvlText w:val="(%2)"/>
      <w:numFmt w:val="lowerLetter"/>
      <w:start w:val="9"/>
    </w:lvl>
  </w:abstractNum>
  <w:abstractNum w:abstractNumId="56">
    <w:nsid w:val="71C91298"/>
    <w:multiLevelType w:val="hybridMultilevel"/>
    <w:lvl w:ilvl="0">
      <w:lvlJc w:val="left"/>
      <w:lvlText w:val="(%1)"/>
      <w:numFmt w:val="lowerRoman"/>
      <w:start w:val="2"/>
    </w:lvl>
  </w:abstractNum>
  <w:abstractNum w:abstractNumId="57">
    <w:nsid w:val="9DAF632"/>
    <w:multiLevelType w:val="hybridMultilevel"/>
    <w:lvl w:ilvl="0">
      <w:lvlJc w:val="left"/>
      <w:lvlText w:val="(%1)"/>
      <w:numFmt w:val="lowerLetter"/>
      <w:start w:val="1"/>
    </w:lvl>
  </w:abstractNum>
  <w:abstractNum w:abstractNumId="58">
    <w:nsid w:val="53299938"/>
    <w:multiLevelType w:val="hybridMultilevel"/>
    <w:lvl w:ilvl="0">
      <w:lvlJc w:val="left"/>
      <w:lvlText w:val="(%1)"/>
      <w:numFmt w:val="lowerLetter"/>
      <w:start w:val="1"/>
    </w:lvl>
  </w:abstractNum>
  <w:abstractNum w:abstractNumId="59">
    <w:nsid w:val="1FBFE8E0"/>
    <w:multiLevelType w:val="hybridMultilevel"/>
    <w:lvl w:ilvl="0">
      <w:lvlJc w:val="left"/>
      <w:lvlText w:val="(%1)"/>
      <w:numFmt w:val="lowerLetter"/>
      <w:start w:val="2"/>
    </w:lvl>
  </w:abstractNum>
  <w:abstractNum w:abstractNumId="60">
    <w:nsid w:val="5092CA79"/>
    <w:multiLevelType w:val="hybridMultilevel"/>
    <w:lvl w:ilvl="0">
      <w:lvlJc w:val="left"/>
      <w:lvlText w:val="(%1)"/>
      <w:numFmt w:val="lowerLetter"/>
      <w:start w:val="5"/>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lowerLetter"/>
      <w:start w:val="1"/>
    </w:lvl>
  </w:abstractNum>
  <w:abstractNum w:abstractNumId="63">
    <w:nsid w:val="288F1A34"/>
    <w:multiLevelType w:val="hybridMultilevel"/>
    <w:lvl w:ilvl="0">
      <w:lvlJc w:val="left"/>
      <w:lvlText w:val="%1"/>
      <w:numFmt w:val="lowerLetter"/>
      <w:start w:val="1"/>
    </w:lvl>
    <w:lvl w:ilvl="1">
      <w:lvlJc w:val="left"/>
      <w:lvlText w:val="(%2)"/>
      <w:numFmt w:val="lowerRoman"/>
      <w:start w:val="1"/>
    </w:lvl>
  </w:abstractNum>
  <w:abstractNum w:abstractNumId="64">
    <w:nsid w:val="2A155DBC"/>
    <w:multiLevelType w:val="hybridMultilevel"/>
    <w:lvl w:ilvl="0">
      <w:lvlJc w:val="left"/>
      <w:lvlText w:val="(%1)"/>
      <w:numFmt w:val="lowerLetter"/>
      <w:start w:val="2"/>
    </w:lvl>
    <w:lvl w:ilvl="1">
      <w:lvlJc w:val="left"/>
      <w:lvlText w:val="(%2)"/>
      <w:numFmt w:val="lowerRoman"/>
      <w:start w:val="1"/>
    </w:lvl>
  </w:abstractNum>
  <w:abstractNum w:abstractNumId="65">
    <w:nsid w:val="1D9F6E5F"/>
    <w:multiLevelType w:val="hybridMultilevel"/>
    <w:lvl w:ilvl="0">
      <w:lvlJc w:val="left"/>
      <w:lvlText w:val="%1"/>
      <w:numFmt w:val="lowerLetter"/>
      <w:start w:val="1"/>
    </w:lvl>
    <w:lvl w:ilvl="1">
      <w:lvlJc w:val="left"/>
      <w:lvlText w:val="(%2)"/>
      <w:numFmt w:val="lowerRoman"/>
      <w:start w:val="4"/>
    </w:lvl>
  </w:abstractNum>
  <w:abstractNum w:abstractNumId="66">
    <w:nsid w:val="97E1B4E"/>
    <w:multiLevelType w:val="hybridMultilevel"/>
    <w:lvl w:ilvl="0">
      <w:lvlJc w:val="left"/>
      <w:lvlText w:val="(%1)"/>
      <w:numFmt w:val="lowerLetter"/>
      <w:start w:val="4"/>
    </w:lvl>
    <w:lvl w:ilvl="1">
      <w:lvlJc w:val="left"/>
      <w:lvlText w:val="%2"/>
      <w:numFmt w:val="lowerRoman"/>
      <w:start w:val="1"/>
    </w:lvl>
  </w:abstractNum>
  <w:abstractNum w:abstractNumId="67">
    <w:nsid w:val="51088277"/>
    <w:multiLevelType w:val="hybridMultilevel"/>
    <w:lvl w:ilvl="0">
      <w:lvlJc w:val="left"/>
      <w:lvlText w:val="(%1)"/>
      <w:numFmt w:val="lowerLetter"/>
      <w:start w:val="1"/>
    </w:lvl>
  </w:abstractNum>
  <w:abstractNum w:abstractNumId="68">
    <w:nsid w:val="1CA0C5FA"/>
    <w:multiLevelType w:val="hybridMultilevel"/>
    <w:lvl w:ilvl="0">
      <w:lvlJc w:val="left"/>
      <w:lvlText w:val="(%1)"/>
      <w:numFmt w:val="lowerLetter"/>
      <w:start w:val="4"/>
    </w:lvl>
  </w:abstractNum>
  <w:abstractNum w:abstractNumId="69">
    <w:nsid w:val="53584BCB"/>
    <w:multiLevelType w:val="hybridMultilevel"/>
    <w:lvl w:ilvl="0">
      <w:lvlJc w:val="left"/>
      <w:lvlText w:val="(%1)"/>
      <w:numFmt w:val="lowerLetter"/>
      <w:start w:val="1"/>
    </w:lvl>
  </w:abstractNum>
  <w:abstractNum w:abstractNumId="70">
    <w:nsid w:val="415E286C"/>
    <w:multiLevelType w:val="hybridMultilevel"/>
    <w:lvl w:ilvl="0">
      <w:lvlJc w:val="left"/>
      <w:lvlText w:val="(%1)"/>
      <w:numFmt w:val="lowerLetter"/>
      <w:start w:val="1"/>
    </w:lvl>
  </w:abstractNum>
  <w:abstractNum w:abstractNumId="71">
    <w:nsid w:val="7C58FD05"/>
    <w:multiLevelType w:val="hybridMultilevel"/>
    <w:lvl w:ilvl="0">
      <w:lvlJc w:val="left"/>
      <w:lvlText w:val="(%1)"/>
      <w:numFmt w:val="lowerLetter"/>
      <w:start w:val="1"/>
    </w:lvl>
  </w:abstractNum>
  <w:abstractNum w:abstractNumId="72">
    <w:nsid w:val="23D86AAC"/>
    <w:multiLevelType w:val="hybridMultilevel"/>
    <w:lvl w:ilvl="0">
      <w:lvlJc w:val="left"/>
      <w:lvlText w:val="(%1)"/>
      <w:numFmt w:val="lowerLetter"/>
      <w:start w:val="4"/>
    </w:lvl>
    <w:lvl w:ilvl="1">
      <w:lvlJc w:val="left"/>
      <w:lvlText w:val="(%2)"/>
      <w:numFmt w:val="lowerRoman"/>
      <w:start w:val="1"/>
    </w:lvl>
  </w:abstractNum>
  <w:abstractNum w:abstractNumId="73">
    <w:nsid w:val="45E6D486"/>
    <w:multiLevelType w:val="hybridMultilevel"/>
    <w:lvl w:ilvl="0">
      <w:lvlJc w:val="left"/>
      <w:lvlText w:val="(%1)"/>
      <w:numFmt w:val="lowerLetter"/>
      <w:start w:val="6"/>
    </w:lvl>
  </w:abstractNum>
  <w:abstractNum w:abstractNumId="74">
    <w:nsid w:val="5C10FE21"/>
    <w:multiLevelType w:val="hybridMultilevel"/>
    <w:lvl w:ilvl="0">
      <w:lvlJc w:val="left"/>
      <w:lvlText w:val="(%1)"/>
      <w:numFmt w:val="lowerLetter"/>
      <w:start w:val="1"/>
    </w:lvl>
  </w:abstractNum>
  <w:abstractNum w:abstractNumId="75">
    <w:nsid w:val="E7FFA2B"/>
    <w:multiLevelType w:val="hybridMultilevel"/>
    <w:lvl w:ilvl="0">
      <w:lvlJc w:val="left"/>
      <w:lvlText w:val="(%1)"/>
      <w:numFmt w:val="lowerLetter"/>
      <w:start w:val="1"/>
    </w:lvl>
    <w:lvl w:ilvl="1">
      <w:lvlJc w:val="left"/>
      <w:lvlText w:val="(%2)"/>
      <w:numFmt w:val="lowerRoman"/>
      <w:start w:val="1"/>
    </w:lvl>
  </w:abstractNum>
  <w:abstractNum w:abstractNumId="76">
    <w:nsid w:val="3C5991AA"/>
    <w:multiLevelType w:val="hybridMultilevel"/>
    <w:lvl w:ilvl="0">
      <w:lvlJc w:val="left"/>
      <w:lvlText w:val="(%1)"/>
      <w:numFmt w:val="lowerLetter"/>
      <w:start w:val="1"/>
    </w:lvl>
  </w:abstractNum>
  <w:abstractNum w:abstractNumId="77">
    <w:nsid w:val="4BD8591A"/>
    <w:multiLevelType w:val="hybridMultilevel"/>
    <w:lvl w:ilvl="0">
      <w:lvlJc w:val="left"/>
      <w:lvlText w:val="(%1)"/>
      <w:numFmt w:val="lowerLetter"/>
      <w:start w:val="1"/>
    </w:lvl>
  </w:abstractNum>
  <w:abstractNum w:abstractNumId="78">
    <w:nsid w:val="78DF6A55"/>
    <w:multiLevelType w:val="hybridMultilevel"/>
    <w:lvl w:ilvl="0">
      <w:lvlJc w:val="left"/>
      <w:lvlText w:val="(%1)"/>
      <w:numFmt w:val="lowerLetter"/>
      <w:start w:val="2"/>
    </w:lvl>
  </w:abstractNum>
  <w:abstractNum w:abstractNumId="79">
    <w:nsid w:val="39B7AAA2"/>
    <w:multiLevelType w:val="hybridMultilevel"/>
    <w:lvl w:ilvl="0">
      <w:lvlJc w:val="left"/>
      <w:lvlText w:val="%1"/>
      <w:numFmt w:val="upperLetter"/>
      <w:start w:val="1"/>
    </w:lvl>
    <w:lvl w:ilvl="1">
      <w:lvlJc w:val="left"/>
      <w:lvlText w:val="(%2)"/>
      <w:numFmt w:val="lowerLetter"/>
      <w:start w:val="1"/>
    </w:lvl>
  </w:abstractNum>
  <w:abstractNum w:abstractNumId="80">
    <w:nsid w:val="2B0D8DBE"/>
    <w:multiLevelType w:val="hybridMultilevel"/>
    <w:lvl w:ilvl="0">
      <w:lvlJc w:val="left"/>
      <w:lvlText w:val="(%1)"/>
      <w:numFmt w:val="lowerLetter"/>
      <w:start w:val="9"/>
    </w:lvl>
  </w:abstractNum>
  <w:abstractNum w:abstractNumId="81">
    <w:nsid w:val="6C80EC70"/>
    <w:multiLevelType w:val="hybridMultilevel"/>
    <w:lvl w:ilvl="0">
      <w:lvlJc w:val="left"/>
      <w:lvlText w:val="(%1)"/>
      <w:numFmt w:val="lowerLetter"/>
      <w:start w:val="1"/>
    </w:lvl>
  </w:abstractNum>
  <w:abstractNum w:abstractNumId="82">
    <w:nsid w:val="379E21B5"/>
    <w:multiLevelType w:val="hybridMultilevel"/>
    <w:lvl w:ilvl="0">
      <w:lvlJc w:val="left"/>
      <w:lvlText w:val="(%1)"/>
      <w:numFmt w:val="lowerLetter"/>
      <w:start w:val="4"/>
    </w:lvl>
  </w:abstractNum>
  <w:abstractNum w:abstractNumId="83">
    <w:nsid w:val="69E373"/>
    <w:multiLevelType w:val="hybridMultilevel"/>
    <w:lvl w:ilvl="0">
      <w:lvlJc w:val="left"/>
      <w:lvlText w:val="(%1)"/>
      <w:numFmt w:val="lowerLetter"/>
      <w:start w:val="1"/>
    </w:lvl>
  </w:abstractNum>
  <w:abstractNum w:abstractNumId="84">
    <w:nsid w:val="2C27173B"/>
    <w:multiLevelType w:val="hybridMultilevel"/>
    <w:lvl w:ilvl="0">
      <w:lvlJc w:val="left"/>
      <w:lvlText w:val="(%1)"/>
      <w:numFmt w:val="lowerLetter"/>
      <w:start w:val="2"/>
    </w:lvl>
  </w:abstractNum>
  <w:abstractNum w:abstractNumId="85">
    <w:nsid w:val="4C9B0904"/>
    <w:multiLevelType w:val="hybridMultilevel"/>
    <w:lvl w:ilvl="0">
      <w:lvlJc w:val="left"/>
      <w:lvlText w:val="(%1)"/>
      <w:numFmt w:val="lowerLetter"/>
      <w:start w:val="1"/>
    </w:lvl>
  </w:abstractNum>
  <w:abstractNum w:abstractNumId="86">
    <w:nsid w:val="6AA7B75C"/>
    <w:multiLevelType w:val="hybridMultilevel"/>
    <w:lvl w:ilvl="0">
      <w:lvlJc w:val="left"/>
      <w:lvlText w:val="(%1)"/>
      <w:numFmt w:val="lowerLetter"/>
      <w:start w:val="8"/>
    </w:lvl>
  </w:abstractNum>
  <w:abstractNum w:abstractNumId="87">
    <w:nsid w:val="1DF029D3"/>
    <w:multiLevelType w:val="hybridMultilevel"/>
    <w:lvl w:ilvl="0">
      <w:lvlJc w:val="left"/>
      <w:lvlText w:val="(%1)"/>
      <w:numFmt w:val="upperLetter"/>
      <w:start w:val="1"/>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lowerLetter"/>
      <w:start w:val="1"/>
    </w:lvl>
  </w:abstractNum>
  <w:abstractNum w:abstractNumId="90">
    <w:nsid w:val="3DB012B3"/>
    <w:multiLevelType w:val="hybridMultilevel"/>
    <w:lvl w:ilvl="0">
      <w:lvlJc w:val="left"/>
      <w:lvlText w:val="(%1)"/>
      <w:numFmt w:val="lowerLetter"/>
      <w:start w:val="4"/>
    </w:lvl>
  </w:abstractNum>
  <w:abstractNum w:abstractNumId="91">
    <w:nsid w:val="2708C9AF"/>
    <w:multiLevelType w:val="hybridMultilevel"/>
    <w:lvl w:ilvl="0">
      <w:lvlJc w:val="left"/>
      <w:lvlText w:val="(%1)"/>
      <w:numFmt w:val="lowerLetter"/>
      <w:start w:val="1"/>
    </w:lvl>
  </w:abstractNum>
  <w:abstractNum w:abstractNumId="92">
    <w:nsid w:val="5B25ACE2"/>
    <w:multiLevelType w:val="hybridMultilevel"/>
    <w:lvl w:ilvl="0">
      <w:lvlJc w:val="left"/>
      <w:lvlText w:val="(%1)"/>
      <w:numFmt w:val="lowerRoman"/>
      <w:start w:val="1"/>
    </w:lvl>
  </w:abstractNum>
  <w:abstractNum w:abstractNumId="93">
    <w:nsid w:val="175DFCF0"/>
    <w:multiLevelType w:val="hybridMultilevel"/>
    <w:lvl w:ilvl="0">
      <w:lvlJc w:val="left"/>
      <w:lvlText w:val="(%1)"/>
      <w:numFmt w:val="lowerLetter"/>
      <w:start w:val="1"/>
    </w:lvl>
  </w:abstractNum>
  <w:abstractNum w:abstractNumId="94">
    <w:nsid w:val="4F97E3E4"/>
    <w:multiLevelType w:val="hybridMultilevel"/>
    <w:lvl w:ilvl="0">
      <w:lvlJc w:val="left"/>
      <w:lvlText w:val="(%1)"/>
      <w:numFmt w:val="lowerLetter"/>
      <w:start w:val="1"/>
    </w:lvl>
  </w:abstractNum>
  <w:abstractNum w:abstractNumId="95">
    <w:nsid w:val="53B0A9E"/>
    <w:multiLevelType w:val="hybridMultilevel"/>
    <w:lvl w:ilvl="0">
      <w:lvlJc w:val="left"/>
      <w:lvlText w:val="(%1)"/>
      <w:numFmt w:val="lowerLetter"/>
      <w:start w:val="4"/>
    </w:lvl>
  </w:abstractNum>
  <w:abstractNum w:abstractNumId="96">
    <w:nsid w:val="34FD6B4F"/>
    <w:multiLevelType w:val="hybridMultilevel"/>
    <w:lvl w:ilvl="0">
      <w:lvlJc w:val="left"/>
      <w:lvlText w:val="(%1)"/>
      <w:numFmt w:val="lowerLetter"/>
      <w:start w:val="1"/>
    </w:lvl>
  </w:abstractNum>
  <w:abstractNum w:abstractNumId="97">
    <w:nsid w:val="5915FF32"/>
    <w:multiLevelType w:val="hybridMultilevel"/>
    <w:lvl w:ilvl="0">
      <w:lvlJc w:val="left"/>
      <w:lvlText w:val="(%1)"/>
      <w:numFmt w:val="lowerRoman"/>
      <w:start w:val="2"/>
    </w:lvl>
  </w:abstractNum>
  <w:abstractNum w:abstractNumId="98">
    <w:nsid w:val="56438D15"/>
    <w:multiLevelType w:val="hybridMultilevel"/>
    <w:lvl w:ilvl="0">
      <w:lvlJc w:val="left"/>
      <w:lvlText w:val="%1"/>
      <w:numFmt w:val="lowerLetter"/>
      <w:start w:val="1"/>
    </w:lvl>
    <w:lvl w:ilvl="1">
      <w:lvlJc w:val="left"/>
      <w:lvlText w:val="(%2)"/>
      <w:numFmt w:val="lowerLetter"/>
      <w:start w:val="1"/>
    </w:lvl>
  </w:abstractNum>
  <w:abstractNum w:abstractNumId="99">
    <w:nsid w:val="519E3149"/>
    <w:multiLevelType w:val="hybridMultilevel"/>
    <w:lvl w:ilvl="0">
      <w:lvlJc w:val="left"/>
      <w:lvlText w:val="(%1)"/>
      <w:numFmt w:val="lowerLetter"/>
      <w:start w:val="9"/>
    </w:lvl>
    <w:lvl w:ilvl="1">
      <w:lvlJc w:val="left"/>
      <w:lvlText w:val="(%2)"/>
      <w:numFmt w:val="lowerLetter"/>
      <w:start w:val="2"/>
    </w:lvl>
  </w:abstractNum>
  <w:abstractNum w:abstractNumId="100">
    <w:nsid w:val="2C6E4AFD"/>
    <w:multiLevelType w:val="hybridMultilevel"/>
    <w:lvl w:ilvl="0">
      <w:lvlJc w:val="left"/>
      <w:lvlText w:val="(%1)"/>
      <w:numFmt w:val="lowerLetter"/>
      <w:start w:val="3"/>
    </w:lvl>
    <w:lvl w:ilvl="1">
      <w:lvlJc w:val="left"/>
      <w:lvlText w:val="(%2)"/>
      <w:numFmt w:val="lowerRoman"/>
      <w:start w:val="2"/>
    </w:lvl>
  </w:abstractNum>
  <w:abstractNum w:abstractNumId="101">
    <w:nsid w:val="17A1B582"/>
    <w:multiLevelType w:val="hybridMultilevel"/>
    <w:lvl w:ilvl="0">
      <w:lvlJc w:val="left"/>
      <w:lvlText w:val="(%1)"/>
      <w:numFmt w:val="lowerRoman"/>
      <w:start w:val="4"/>
    </w:lvl>
  </w:abstractNum>
  <w:abstractNum w:abstractNumId="102">
    <w:nsid w:val="4DF72E4E"/>
    <w:multiLevelType w:val="hybridMultilevel"/>
    <w:lvl w:ilvl="0">
      <w:lvlJc w:val="left"/>
      <w:lvlText w:val="(%1)"/>
      <w:numFmt w:val="lowerLetter"/>
      <w:start w:val="1"/>
    </w:lvl>
  </w:abstractNum>
  <w:abstractNum w:abstractNumId="103">
    <w:nsid w:val="5046B5A9"/>
    <w:multiLevelType w:val="hybridMultilevel"/>
    <w:lvl w:ilvl="0">
      <w:lvlJc w:val="left"/>
      <w:lvlText w:val="(%1)"/>
      <w:numFmt w:val="lowerLetter"/>
      <w:start w:val="7"/>
    </w:lvl>
  </w:abstractNum>
  <w:abstractNum w:abstractNumId="104">
    <w:nsid w:val="5D888A08"/>
    <w:multiLevelType w:val="hybridMultilevel"/>
    <w:lvl w:ilvl="0">
      <w:lvlJc w:val="left"/>
      <w:lvlText w:val="(%1)"/>
      <w:numFmt w:val="lowerLetter"/>
      <w:start w:val="16"/>
    </w:lvl>
  </w:abstractNum>
  <w:abstractNum w:abstractNumId="105">
    <w:nsid w:val="2A082C70"/>
    <w:multiLevelType w:val="hybridMultilevel"/>
    <w:lvl w:ilvl="0">
      <w:lvlJc w:val="left"/>
      <w:lvlText w:val="(%1)"/>
      <w:numFmt w:val="lowerLetter"/>
      <w:start w:val="1"/>
    </w:lvl>
  </w:abstractNum>
  <w:abstractNum w:abstractNumId="106">
    <w:nsid w:val="5EC6AFD4"/>
    <w:multiLevelType w:val="hybridMultilevel"/>
    <w:lvl w:ilvl="0">
      <w:lvlJc w:val="left"/>
      <w:lvlText w:val="(%1)"/>
      <w:numFmt w:val="lowerLetter"/>
      <w:start w:val="5"/>
    </w:lvl>
  </w:abstractNum>
  <w:abstractNum w:abstractNumId="107">
    <w:nsid w:val="19E21BB2"/>
    <w:multiLevelType w:val="hybridMultilevel"/>
    <w:lvl w:ilvl="0">
      <w:lvlJc w:val="left"/>
      <w:lvlText w:val="(%1)"/>
      <w:numFmt w:val="lowerLetter"/>
      <w:start w:val="1"/>
    </w:lvl>
  </w:abstractNum>
  <w:abstractNum w:abstractNumId="108">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57A61A29"/>
    <w:multiLevelType w:val="hybridMultilevel"/>
    <w:lvl w:ilvl="0">
      <w:lvlJc w:val="left"/>
      <w:lvlText w:val="(%1)"/>
      <w:numFmt w:val="lowerLetter"/>
      <w:start w:val="1"/>
    </w:lvl>
  </w:abstractNum>
  <w:abstractNum w:abstractNumId="110">
    <w:nsid w:val="5399C654"/>
    <w:multiLevelType w:val="hybridMultilevel"/>
    <w:lvl w:ilvl="0">
      <w:lvlJc w:val="left"/>
      <w:lvlText w:val="(%1)"/>
      <w:numFmt w:val="lowerLetter"/>
      <w:start w:val="2"/>
    </w:lvl>
  </w:abstractNum>
  <w:abstractNum w:abstractNumId="111">
    <w:nsid w:val="20EE1348"/>
    <w:multiLevelType w:val="hybridMultilevel"/>
    <w:lvl w:ilvl="0">
      <w:lvlJc w:val="left"/>
      <w:lvlText w:val="(%1)"/>
      <w:numFmt w:val="lowerLetter"/>
      <w:start w:val="1"/>
    </w:lvl>
  </w:abstractNum>
  <w:abstractNum w:abstractNumId="112">
    <w:nsid w:val="4427069A"/>
    <w:multiLevelType w:val="hybridMultilevel"/>
    <w:lvl w:ilvl="0">
      <w:lvlJc w:val="left"/>
      <w:lvlText w:val="(%1)"/>
      <w:numFmt w:val="lowerLetter"/>
      <w:start w:val="3"/>
    </w:lvl>
  </w:abstractNum>
  <w:abstractNum w:abstractNumId="113">
    <w:nsid w:val="B37E80A"/>
    <w:multiLevelType w:val="hybridMultilevel"/>
    <w:lvl w:ilvl="0">
      <w:lvlJc w:val="left"/>
      <w:lvlText w:val="(%1)"/>
      <w:numFmt w:val="lowerLetter"/>
      <w:start w:val="1"/>
    </w:lvl>
    <w:lvl w:ilvl="1">
      <w:lvlJc w:val="left"/>
      <w:lvlText w:val="(%2)"/>
      <w:numFmt w:val="lowerRoman"/>
      <w:start w:val="1"/>
    </w:lvl>
  </w:abstractNum>
  <w:abstractNum w:abstractNumId="114">
    <w:nsid w:val="2157F6BC"/>
    <w:multiLevelType w:val="hybridMultilevel"/>
    <w:lvl w:ilvl="0">
      <w:lvlJc w:val="left"/>
      <w:lvlText w:val="(%1)"/>
      <w:numFmt w:val="lowerRoman"/>
      <w:start w:val="4"/>
    </w:lvl>
  </w:abstractNum>
  <w:abstractNum w:abstractNumId="115">
    <w:nsid w:val="704E1DD5"/>
    <w:multiLevelType w:val="hybridMultilevel"/>
    <w:lvl w:ilvl="0">
      <w:lvlJc w:val="left"/>
      <w:lvlText w:val="(%1)"/>
      <w:numFmt w:val="lowerLetter"/>
      <w:start w:val="1"/>
    </w:lvl>
  </w:abstractNum>
  <w:abstractNum w:abstractNumId="116">
    <w:nsid w:val="57D2F10E"/>
    <w:multiLevelType w:val="hybridMultilevel"/>
    <w:lvl w:ilvl="0">
      <w:lvlJc w:val="left"/>
      <w:lvlText w:val="(%1)"/>
      <w:numFmt w:val="lowerLetter"/>
      <w:start w:val="1"/>
    </w:lvl>
  </w:abstractNum>
  <w:abstractNum w:abstractNumId="117">
    <w:nsid w:val="BFFAE18"/>
    <w:multiLevelType w:val="hybridMultilevel"/>
    <w:lvl w:ilvl="0">
      <w:lvlJc w:val="left"/>
      <w:lvlText w:val="(%1)"/>
      <w:numFmt w:val="lowerLetter"/>
      <w:start w:val="2"/>
    </w:lvl>
  </w:abstractNum>
  <w:abstractNum w:abstractNumId="118">
    <w:nsid w:val="E3E47A8"/>
    <w:multiLevelType w:val="hybridMultilevel"/>
    <w:lvl w:ilvl="0">
      <w:lvlJc w:val="left"/>
      <w:lvlText w:val="(%1)"/>
      <w:numFmt w:val="lowerLetter"/>
      <w:start w:val="1"/>
    </w:lvl>
  </w:abstractNum>
  <w:abstractNum w:abstractNumId="119">
    <w:nsid w:val="2E48F044"/>
    <w:multiLevelType w:val="hybridMultilevel"/>
    <w:lvl w:ilvl="0">
      <w:lvlJc w:val="left"/>
      <w:lvlText w:val="(%1)"/>
      <w:numFmt w:val="lowerLetter"/>
      <w:start w:val="1"/>
    </w:lvl>
  </w:abstractNum>
  <w:abstractNum w:abstractNumId="120">
    <w:nsid w:val="49D0FEAC"/>
    <w:multiLevelType w:val="hybridMultilevel"/>
    <w:lvl w:ilvl="0">
      <w:lvlJc w:val="left"/>
      <w:lvlText w:val="(%1)"/>
      <w:numFmt w:val="lowerRoman"/>
      <w:start w:val="1"/>
    </w:lvl>
  </w:abstractNum>
  <w:abstractNum w:abstractNumId="121">
    <w:nsid w:val="4BEE5A5B"/>
    <w:multiLevelType w:val="hybridMultilevel"/>
    <w:lvl w:ilvl="0">
      <w:lvlJc w:val="left"/>
      <w:lvlText w:val="%1"/>
      <w:numFmt w:val="lowerLetter"/>
      <w:start w:val="1"/>
    </w:lvl>
    <w:lvl w:ilvl="1">
      <w:lvlJc w:val="left"/>
      <w:lvlText w:val="(%2)"/>
      <w:numFmt w:val="lowerLetter"/>
      <w:start w:val="35"/>
    </w:lvl>
  </w:abstractNum>
  <w:abstractNum w:abstractNumId="122">
    <w:nsid w:val="5551B9F3"/>
    <w:multiLevelType w:val="hybridMultilevel"/>
    <w:lvl w:ilvl="0">
      <w:lvlJc w:val="left"/>
      <w:lvlText w:val="(%1)"/>
      <w:numFmt w:val="lowerLetter"/>
      <w:start w:val="2"/>
    </w:lvl>
    <w:lvl w:ilvl="1">
      <w:lvlJc w:val="left"/>
      <w:lvlText w:val="(%2)"/>
      <w:numFmt w:val="lowerLetter"/>
      <w:start w:val="9"/>
    </w:lvl>
  </w:abstractNum>
  <w:abstractNum w:abstractNumId="123">
    <w:nsid w:val="24F6AB8E"/>
    <w:multiLevelType w:val="hybridMultilevel"/>
    <w:lvl w:ilvl="0">
      <w:lvlJc w:val="left"/>
      <w:lvlText w:val="%1"/>
      <w:numFmt w:val="lowerLetter"/>
      <w:start w:val="1"/>
    </w:lvl>
    <w:lvl w:ilvl="1">
      <w:lvlJc w:val="left"/>
      <w:lvlText w:val="(%2)"/>
      <w:numFmt w:val="lowerRoman"/>
      <w:start w:val="2"/>
    </w:lvl>
  </w:abstractNum>
  <w:abstractNum w:abstractNumId="124">
    <w:nsid w:val="634C574C"/>
    <w:multiLevelType w:val="hybridMultilevel"/>
    <w:lvl w:ilvl="0">
      <w:lvlJc w:val="left"/>
      <w:lvlText w:val="(%1)"/>
      <w:numFmt w:val="lowerLetter"/>
      <w:start w:val="4"/>
    </w:lvl>
    <w:lvl w:ilvl="1">
      <w:lvlJc w:val="left"/>
      <w:lvlText w:val="%2"/>
      <w:numFmt w:val="lowerRoman"/>
      <w:start w:val="1"/>
    </w:lvl>
  </w:abstractNum>
  <w:abstractNum w:abstractNumId="125">
    <w:nsid w:val="24E99DD7"/>
    <w:multiLevelType w:val="hybridMultilevel"/>
    <w:lvl w:ilvl="0">
      <w:lvlJc w:val="left"/>
      <w:lvlText w:val="(%1)"/>
      <w:numFmt w:val="lowerLetter"/>
      <w:start w:val="1"/>
    </w:lvl>
  </w:abstractNum>
  <w:abstractNum w:abstractNumId="126">
    <w:nsid w:val="2A31B62D"/>
    <w:multiLevelType w:val="hybridMultilevel"/>
    <w:lvl w:ilvl="0">
      <w:lvlJc w:val="left"/>
      <w:lvlText w:val="(%1)"/>
      <w:numFmt w:val="lowerLetter"/>
      <w:start w:val="7"/>
    </w:lvl>
  </w:abstractNum>
  <w:abstractNum w:abstractNumId="127">
    <w:nsid w:val="1849C29B"/>
    <w:multiLevelType w:val="hybridMultilevel"/>
    <w:lvl w:ilvl="0">
      <w:lvlJc w:val="left"/>
      <w:lvlText w:val="(%1)"/>
      <w:numFmt w:val="lowerLetter"/>
      <w:start w:val="1"/>
    </w:lvl>
  </w:abstractNum>
  <w:abstractNum w:abstractNumId="128">
    <w:nsid w:val="7DFF9D09"/>
    <w:multiLevelType w:val="hybridMultilevel"/>
    <w:lvl w:ilvl="0">
      <w:lvlJc w:val="left"/>
      <w:lvlText w:val="(%1)"/>
      <w:numFmt w:val="lowerLetter"/>
      <w:start w:val="1"/>
    </w:lvl>
  </w:abstractNum>
  <w:abstractNum w:abstractNumId="129">
    <w:nsid w:val="754342"/>
    <w:multiLevelType w:val="hybridMultilevel"/>
    <w:lvl w:ilvl="0">
      <w:lvlJc w:val="left"/>
      <w:lvlText w:val="(%1)"/>
      <w:numFmt w:val="lowerLetter"/>
      <w:start w:val="2"/>
    </w:lvl>
  </w:abstractNum>
  <w:abstractNum w:abstractNumId="130">
    <w:nsid w:val="69E7F3E5"/>
    <w:multiLevelType w:val="hybridMultilevel"/>
    <w:lvl w:ilvl="0">
      <w:lvlJc w:val="left"/>
      <w:lvlText w:val="(%1)"/>
      <w:numFmt w:val="lowerLetter"/>
      <w:start w:val="1"/>
    </w:lvl>
    <w:lvl w:ilvl="1">
      <w:lvlJc w:val="left"/>
      <w:lvlText w:val="(%2)"/>
      <w:numFmt w:val="lowerLetter"/>
      <w:start w:val="9"/>
    </w:lvl>
  </w:abstractNum>
  <w:abstractNum w:abstractNumId="131">
    <w:nsid w:val="2A6DE806"/>
    <w:multiLevelType w:val="hybridMultilevel"/>
    <w:lvl w:ilvl="0">
      <w:lvlJc w:val="left"/>
      <w:lvlText w:val="(%1)"/>
      <w:numFmt w:val="lowerRoman"/>
      <w:start w:val="2"/>
    </w:lvl>
  </w:abstractNum>
  <w:abstractNum w:abstractNumId="132">
    <w:nsid w:val="1816F8C4"/>
    <w:multiLevelType w:val="hybridMultilevel"/>
    <w:lvl w:ilvl="0">
      <w:lvlJc w:val="left"/>
      <w:lvlText w:val="(%1)"/>
      <w:numFmt w:val="lowerLetter"/>
      <w:start w:val="5"/>
    </w:lvl>
  </w:abstractNum>
  <w:abstractNum w:abstractNumId="133">
    <w:nsid w:val="37DF2233"/>
    <w:multiLevelType w:val="hybridMultilevel"/>
    <w:lvl w:ilvl="0">
      <w:lvlJc w:val="left"/>
      <w:lvlText w:val="(%1)"/>
      <w:numFmt w:val="lowerLetter"/>
      <w:start w:val="6"/>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lowerLetter"/>
      <w:start w:val="1"/>
    </w:lvl>
    <w:lvl w:ilvl="1">
      <w:lvlJc w:val="left"/>
      <w:lvlText w:val="(%2)"/>
      <w:numFmt w:val="lowerRoman"/>
      <w:start w:val="1"/>
    </w:lvl>
  </w:abstractNum>
  <w:abstractNum w:abstractNumId="136">
    <w:nsid w:val="61E74EA3"/>
    <w:multiLevelType w:val="hybridMultilevel"/>
    <w:lvl w:ilvl="0">
      <w:lvlJc w:val="left"/>
      <w:lvlText w:val="(%1)"/>
      <w:numFmt w:val="lowerLetter"/>
      <w:start w:val="3"/>
    </w:lvl>
  </w:abstractNum>
  <w:abstractNum w:abstractNumId="137">
    <w:nsid w:val="597B4D84"/>
    <w:multiLevelType w:val="hybridMultilevel"/>
    <w:lvl w:ilvl="0">
      <w:lvlJc w:val="left"/>
      <w:lvlText w:val="(%1)"/>
      <w:numFmt w:val="lowerLetter"/>
      <w:start w:val="1"/>
    </w:lvl>
  </w:abstractNum>
  <w:abstractNum w:abstractNumId="138">
    <w:nsid w:val="F819E7F"/>
    <w:multiLevelType w:val="hybridMultilevel"/>
    <w:lvl w:ilvl="0">
      <w:lvlJc w:val="left"/>
      <w:lvlText w:val="(%1)"/>
      <w:numFmt w:val="lowerLetter"/>
      <w:start w:val="1"/>
    </w:lvl>
  </w:abstractNum>
  <w:abstractNum w:abstractNumId="139">
    <w:nsid w:val="57C7D42D"/>
    <w:multiLevelType w:val="hybridMultilevel"/>
    <w:lvl w:ilvl="0">
      <w:lvlJc w:val="left"/>
      <w:lvlText w:val="(%1)"/>
      <w:numFmt w:val="lowerLetter"/>
      <w:start w:val="1"/>
    </w:lvl>
  </w:abstractNum>
  <w:abstractNum w:abstractNumId="140">
    <w:nsid w:val="312167AD"/>
    <w:multiLevelType w:val="hybridMultilevel"/>
    <w:lvl w:ilvl="0">
      <w:lvlJc w:val="left"/>
      <w:lvlText w:val="%1"/>
      <w:numFmt w:val="upperLetter"/>
      <w:start w:val="1"/>
    </w:lvl>
    <w:lvl w:ilvl="1">
      <w:lvlJc w:val="left"/>
      <w:lvlText w:val="(%2)"/>
      <w:numFmt w:val="lowerLetter"/>
      <w:start w:val="2"/>
    </w:lvl>
  </w:abstractNum>
  <w:abstractNum w:abstractNumId="141">
    <w:nsid w:val="631B64D4"/>
    <w:multiLevelType w:val="hybridMultilevel"/>
    <w:lvl w:ilvl="0">
      <w:lvlJc w:val="left"/>
      <w:lvlText w:val="(%1)"/>
      <w:numFmt w:val="lowerLetter"/>
      <w:start w:val="13"/>
    </w:lvl>
  </w:abstractNum>
  <w:abstractNum w:abstractNumId="142">
    <w:nsid w:val="78B5E776"/>
    <w:multiLevelType w:val="hybridMultilevel"/>
    <w:lvl w:ilvl="0">
      <w:lvlJc w:val="left"/>
      <w:lvlText w:val="(%1)"/>
      <w:numFmt w:val="lowerLetter"/>
      <w:start w:val="1"/>
    </w:lvl>
  </w:abstractNum>
  <w:abstractNum w:abstractNumId="143">
    <w:nsid w:val="75486E47"/>
    <w:multiLevelType w:val="hybridMultilevel"/>
    <w:lvl w:ilvl="0">
      <w:lvlJc w:val="left"/>
      <w:lvlText w:val="(%1)"/>
      <w:numFmt w:val="lowerLetter"/>
      <w:start w:val="5"/>
    </w:lvl>
  </w:abstractNum>
  <w:abstractNum w:abstractNumId="144">
    <w:nsid w:val="6E534CDE"/>
    <w:multiLevelType w:val="hybridMultilevel"/>
    <w:lvl w:ilvl="0">
      <w:lvlJc w:val="left"/>
      <w:lvlText w:val="(%1)"/>
      <w:numFmt w:val="lowerLetter"/>
      <w:start w:val="1"/>
    </w:lvl>
  </w:abstractNum>
  <w:abstractNum w:abstractNumId="145">
    <w:nsid w:val="1A0DDE32"/>
    <w:multiLevelType w:val="hybridMultilevel"/>
    <w:lvl w:ilvl="0">
      <w:lvlJc w:val="left"/>
      <w:lvlText w:val="(%1)"/>
      <w:numFmt w:val="lowerLetter"/>
      <w:start w:val="3"/>
    </w:lvl>
  </w:abstractNum>
  <w:abstractNum w:abstractNumId="146">
    <w:nsid w:val="65968C1C"/>
    <w:multiLevelType w:val="hybridMultilevel"/>
    <w:lvl w:ilvl="0">
      <w:lvlJc w:val="left"/>
      <w:lvlText w:val="(%1)"/>
      <w:numFmt w:val="lowerLetter"/>
      <w:start w:val="1"/>
    </w:lvl>
  </w:abstractNum>
  <w:abstractNum w:abstractNumId="147">
    <w:nsid w:val="46263DEC"/>
    <w:multiLevelType w:val="hybridMultilevel"/>
    <w:lvl w:ilvl="0">
      <w:lvlJc w:val="left"/>
      <w:lvlText w:val="(%1)"/>
      <w:numFmt w:val="lowerLetter"/>
      <w:start w:val="2"/>
    </w:lvl>
  </w:abstractNum>
  <w:abstractNum w:abstractNumId="148">
    <w:nsid w:val="260D8C4A"/>
    <w:multiLevelType w:val="hybridMultilevel"/>
    <w:lvl w:ilvl="0">
      <w:lvlJc w:val="left"/>
      <w:lvlText w:val="(%1)"/>
      <w:numFmt w:val="upperLetter"/>
      <w:start w:val="1"/>
    </w:lvl>
  </w:abstractNum>
  <w:abstractNum w:abstractNumId="149">
    <w:nsid w:val="73D4D3C4"/>
    <w:multiLevelType w:val="hybridMultilevel"/>
    <w:lvl w:ilvl="0">
      <w:lvlJc w:val="left"/>
      <w:lvlText w:val="(%1)"/>
      <w:numFmt w:val="lowerRoman"/>
      <w:start w:val="1"/>
    </w:lvl>
  </w:abstractNum>
  <w:abstractNum w:abstractNumId="150">
    <w:nsid w:val="746F2E30"/>
    <w:multiLevelType w:val="hybridMultilevel"/>
    <w:lvl w:ilvl="0">
      <w:lvlJc w:val="left"/>
      <w:lvlText w:val="(%1)"/>
      <w:numFmt w:val="lowerLetter"/>
      <w:start w:val="1"/>
    </w:lvl>
  </w:abstractNum>
  <w:abstractNum w:abstractNumId="151">
    <w:nsid w:val="6FDE8AF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9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jpeg"/><Relationship Id="rId119" Type="http://schemas.openxmlformats.org/officeDocument/2006/relationships/image" Target="media/image73.png"/><Relationship Id="rId120" Type="http://schemas.openxmlformats.org/officeDocument/2006/relationships/image" Target="media/image74.jpeg"/><Relationship Id="rId121" Type="http://schemas.openxmlformats.org/officeDocument/2006/relationships/image" Target="media/image75.jpe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69" Type="http://schemas.openxmlformats.org/officeDocument/2006/relationships/hyperlink" Target="http://www.sec.gov/Archives/edgar/data/1812477/000121390021023256/ea139842ex99-15_bitfarms.htm" TargetMode="External"/><Relationship Id="rId70" Type="http://schemas.openxmlformats.org/officeDocument/2006/relationships/hyperlink" Target="http://www.sec.gov/Archives/edgar/data/1812477/000121390021023256/ea139842ex99-123_bitfarms.htm" TargetMode="External"/><Relationship Id="rId71" Type="http://schemas.openxmlformats.org/officeDocument/2006/relationships/hyperlink" Target="http://www.sec.gov/Archives/edgar/data/1812477/000121390021023256/ea139842ex99-112_bitfarms.htm" TargetMode="External"/><Relationship Id="rId72" Type="http://schemas.openxmlformats.org/officeDocument/2006/relationships/hyperlink" Target="http://www.sec.gov/Archives/edgar/data/1812477/000121390021023256/ea139842ex99-113_bitfarms.htm" TargetMode="External"/><Relationship Id="rId73" Type="http://schemas.openxmlformats.org/officeDocument/2006/relationships/hyperlink" Target="http://www.sec.gov/Archives/edgar/data/1812477/000121390021023256/ea139842ex99-1_bitfarms.htm" TargetMode="External"/><Relationship Id="rId75" Type="http://schemas.openxmlformats.org/officeDocument/2006/relationships/hyperlink" Target="http://www.sec.gov/Archives/edgar/data/1812477/000121390021023256/ea139842ex99-78_bitfarms.htm" TargetMode="External"/><Relationship Id="rId76" Type="http://schemas.openxmlformats.org/officeDocument/2006/relationships/hyperlink" Target="http://www.sec.gov/Archives/edgar/data/1812477/000121390021023256/ea139842ex99-79_bitfarms.htm" TargetMode="External"/><Relationship Id="rId77" Type="http://schemas.openxmlformats.org/officeDocument/2006/relationships/hyperlink" Target="http://www.sec.gov/Archives/edgar/data/1812477/000121390021023256/ea139842ex99-82_bitfarms.htm" TargetMode="External"/><Relationship Id="rId78" Type="http://schemas.openxmlformats.org/officeDocument/2006/relationships/hyperlink" Target="http://www.sec.gov/Archives/edgar/data/1812477/000121390021023256/ea139842ex99-84_bitfarms.htm" TargetMode="External"/><Relationship Id="rId79" Type="http://schemas.openxmlformats.org/officeDocument/2006/relationships/hyperlink" Target="http://www.sec.gov/Archives/edgar/data/1812477/000121390021023256/ea139842ex99-85_bitfarms.htm" TargetMode="External"/><Relationship Id="rId80" Type="http://schemas.openxmlformats.org/officeDocument/2006/relationships/hyperlink" Target="http://www.sec.gov/Archives/edgar/data/1812477/000121390021023256/ea139842ex99-89_bitfarms.htm" TargetMode="External"/><Relationship Id="rId81" Type="http://schemas.openxmlformats.org/officeDocument/2006/relationships/hyperlink" Target="http://www.sec.gov/Archives/edgar/data/1812477/000121390021023256/ea139842ex99-92_bitfarms.htm" TargetMode="External"/><Relationship Id="rId82" Type="http://schemas.openxmlformats.org/officeDocument/2006/relationships/hyperlink" Target="http://www.sec.gov/Archives/edgar/data/1812477/000121390021023256/ea139842ex99-93_bitfarms.htm" TargetMode="External"/><Relationship Id="rId83" Type="http://schemas.openxmlformats.org/officeDocument/2006/relationships/hyperlink" Target="http://www.sec.gov/Archives/edgar/data/1812477/000121390021023256/ea139842ex99-95_bitfarms.htm" TargetMode="External"/><Relationship Id="rId84" Type="http://schemas.openxmlformats.org/officeDocument/2006/relationships/hyperlink" Target="http://www.sec.gov/Archives/edgar/data/1812477/000121390021023256/ea139842ex99-97_bitfarms.htm" TargetMode="External"/><Relationship Id="rId85" Type="http://schemas.openxmlformats.org/officeDocument/2006/relationships/hyperlink" Target="http://www.sec.gov/Archives/edgar/data/1812477/000121390021023256/ea139842ex99-99_bitfarms.htm" TargetMode="External"/><Relationship Id="rId86" Type="http://schemas.openxmlformats.org/officeDocument/2006/relationships/hyperlink" Target="http://www.sec.gov/Archives/edgar/data/1812477/000121390021023256/ea139842ex99-104_bitfarms.htm" TargetMode="External"/><Relationship Id="rId87" Type="http://schemas.openxmlformats.org/officeDocument/2006/relationships/hyperlink" Target="http://www.sec.gov/Archives/edgar/data/1812477/000121390021023256/ea139842ex99-110_bitfarms.htm" TargetMode="External"/><Relationship Id="rId88" Type="http://schemas.openxmlformats.org/officeDocument/2006/relationships/hyperlink" Target="http://www.sec.gov/Archives/edgar/data/1812477/000121390021023256/ea139842ex99-120_bitfarms.htm" TargetMode="External"/><Relationship Id="rId89" Type="http://schemas.openxmlformats.org/officeDocument/2006/relationships/hyperlink" Target="http://www.sec.gov/Archives/edgar/data/1812477/000121390021023256/ea139842ex99-128_bitfarms.htm" TargetMode="External"/><Relationship Id="rId90" Type="http://schemas.openxmlformats.org/officeDocument/2006/relationships/hyperlink" Target="http://www.sec.gov/Archives/edgar/data/1812477/000121390021023256/ea139842ex99-130_bitfarms.htm" TargetMode="External"/><Relationship Id="rId91" Type="http://schemas.openxmlformats.org/officeDocument/2006/relationships/hyperlink" Target="http://www.sec.gov/Archives/edgar/data/1812477/000121390021023256/ea139842ex99-133_bitfarms.htm" TargetMode="External"/><Relationship Id="rId92" Type="http://schemas.openxmlformats.org/officeDocument/2006/relationships/hyperlink" Target="http://www.sec.gov/Archives/edgar/data/1812477/000121390021023256/ea139842ex99-135_bitfarms.htm" TargetMode="External"/><Relationship Id="rId93" Type="http://schemas.openxmlformats.org/officeDocument/2006/relationships/hyperlink" Target="http://www.sec.gov/Archives/edgar/data/1812477/000121390021032713/ea142433ex99-142_bitfarms.htm" TargetMode="External"/><Relationship Id="rId94" Type="http://schemas.openxmlformats.org/officeDocument/2006/relationships/hyperlink" Target="http://www.sec.gov/Archives/edgar/data/1812477/000121390021032713/ea142433ex99-144_bitfarms.htm" TargetMode="External"/><Relationship Id="rId95" Type="http://schemas.openxmlformats.org/officeDocument/2006/relationships/hyperlink" Target="http://www.sec.gov/Archives/edgar/data/1812477/000121390021032713/ea142433ex99-147_bitfarms.htm" TargetMode="External"/><Relationship Id="rId96" Type="http://schemas.openxmlformats.org/officeDocument/2006/relationships/hyperlink" Target="http://www.sec.gov/Archives/edgar/data/1812477/000121390021032713/ea142433ex99-150_bitfarms.htm" TargetMode="External"/><Relationship Id="rId97" Type="http://schemas.openxmlformats.org/officeDocument/2006/relationships/hyperlink" Target="http://www.sec.gov/Archives/edgar/data/1812477/000121390021032713/ea142433ex99-152_bitfarms.htm" TargetMode="External"/><Relationship Id="rId98" Type="http://schemas.openxmlformats.org/officeDocument/2006/relationships/hyperlink" Target="http://www.sec.gov/Archives/edgar/data/1812477/000121390021032713/ea142433ex99-155_bitfarms.htm" TargetMode="External"/><Relationship Id="rId100" Type="http://schemas.openxmlformats.org/officeDocument/2006/relationships/hyperlink" Target="http://www.sec.gov/Archives/edgar/data/1812477/000121390021032713/ea142433ex99-154_bitfarms.htm" TargetMode="External"/><Relationship Id="rId101" Type="http://schemas.openxmlformats.org/officeDocument/2006/relationships/hyperlink" Target="http://www.sec.gov/Archives/edgar/data/1812477/000121390021032713/ea142433ex99-158_bitfarms.htm" TargetMode="External"/><Relationship Id="rId102" Type="http://schemas.openxmlformats.org/officeDocument/2006/relationships/hyperlink" Target="http://www.sec.gov/Archives/edgar/data/1812477/000121390021032713/ea142433ex99-160_bitfarms.htm" TargetMode="External"/><Relationship Id="rId103" Type="http://schemas.openxmlformats.org/officeDocument/2006/relationships/hyperlink" Target="http://www.sec.gov/Archives/edgar/data/1812477/000121390021032713/ea142433ex99-163_bitfarms.htm" TargetMode="External"/><Relationship Id="rId104" Type="http://schemas.openxmlformats.org/officeDocument/2006/relationships/hyperlink" Target="http://www.sec.gov/Archives/edgar/data/1812477/000121390021032713/ea142433ex99-140_bitfarms.htm" TargetMode="External"/><Relationship Id="rId105" Type="http://schemas.openxmlformats.org/officeDocument/2006/relationships/hyperlink" Target="http://www.sec.gov/Archives/edgar/data/1812477/000121390021032713/ea142433ex99-167_bitfarms.htm" TargetMode="External"/><Relationship Id="rId106" Type="http://schemas.openxmlformats.org/officeDocument/2006/relationships/hyperlink" Target="http://www.sec.gov/Archives/edgar/data/1812477/000121390021032713/ea142433ex99-169_bitfarms.htm" TargetMode="External"/><Relationship Id="rId107" Type="http://schemas.openxmlformats.org/officeDocument/2006/relationships/hyperlink" Target="http://www.sec.gov/Archives/edgar/data/1812477/000121390021033851/ea143208ex99-1_bitfarms.htm" TargetMode="External"/><Relationship Id="rId108" Type="http://schemas.openxmlformats.org/officeDocument/2006/relationships/hyperlink" Target="http://www.sec.gov/Archives/edgar/data/1812477/000121390021035038/ea143587ex99-1_bitfarmsltd.htm" TargetMode="External"/><Relationship Id="rId109" Type="http://schemas.openxmlformats.org/officeDocument/2006/relationships/hyperlink" Target="http://www.sec.gov/Archives/edgar/data/1812477/000121390021036886/ea144208ex99-1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2021-08-13T11:43:01Z</dcterms:created>
  <dcterms:modified xsi:type="dcterms:W3CDTF">2021-08-13T11:43:01Z</dcterms:modified>
</cp:coreProperties>
</file>