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0000FF"/>
        </w:rPr>
        <w:t>Riot Platforms, Inc.</w:t>
      </w:r>
    </w:p>
    <w:p>
      <w:pPr>
        <w:spacing w:after="0" w:line="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0000FF"/>
        </w:rPr>
        <w:t>3855 Ambrosia Street, Suite 301,</w:t>
      </w:r>
    </w:p>
    <w:p>
      <w:pPr>
        <w:ind w:left="3720"/>
        <w:spacing w:after="0" w:line="230" w:lineRule="auto"/>
        <w:rPr>
          <w:sz w:val="20"/>
          <w:szCs w:val="20"/>
          <w:color w:val="auto"/>
        </w:rPr>
      </w:pPr>
      <w:r>
        <w:rPr>
          <w:rFonts w:ascii="Times New Roman" w:cs="Times New Roman" w:eastAsia="Times New Roman" w:hAnsi="Times New Roman"/>
          <w:sz w:val="22"/>
          <w:szCs w:val="22"/>
          <w:b w:val="1"/>
          <w:bCs w:val="1"/>
          <w:color w:val="0000FF"/>
        </w:rPr>
        <w:t>Castle Rock, CO, 80109</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303-794-2000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54,810,793.00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90,110,912.00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90,110,912.00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Bitfarms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110 YONGE STREET, SUITE 1601, TORONTO, ONTARIO, CANADA , M5C 1T4.</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14 to Schedule 13D ("Amendment No. 14") relates to the Schedule 13D filed on May 28, 2024</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(as amended by Amendment No. 1, dated May 29, 2024, Amendment No. 2, dated June 4, 2024, Amendment No.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dated June 5, 2024, Amendment No. 4 dated June 12, 2024, Amendment No. 5 dated June 13, 2024, Amendment No.</w:t>
      </w:r>
    </w:p>
    <w:p>
      <w:pPr>
        <w:spacing w:after="0" w:line="1" w:lineRule="exact"/>
        <w:rPr>
          <w:sz w:val="20"/>
          <w:szCs w:val="20"/>
          <w:color w:val="auto"/>
        </w:rPr>
      </w:pPr>
    </w:p>
    <w:p>
      <w:pPr>
        <w:jc w:val="both"/>
        <w:ind w:left="960"/>
        <w:spacing w:after="0" w:line="232" w:lineRule="auto"/>
        <w:rPr>
          <w:sz w:val="20"/>
          <w:szCs w:val="20"/>
          <w:color w:val="auto"/>
        </w:rPr>
      </w:pPr>
      <w:r>
        <w:rPr>
          <w:rFonts w:ascii="Times New Roman" w:cs="Times New Roman" w:eastAsia="Times New Roman" w:hAnsi="Times New Roman"/>
          <w:sz w:val="22"/>
          <w:szCs w:val="22"/>
          <w:color w:val="auto"/>
        </w:rPr>
        <w:t>6 dated June 24, 2024, Amendment No. 7 dated July 31, 2024, Amendment No. 8 dated August 5, 2024, Amendment No. 9 dated August 9, 2024, Amendment No. 10 dated August 14, 2024, Amendment No. 11 dated August 21, 2024, Amendment No. 12 dated September 5, 2024 and Amendment No. 13 dated September 23, 2024, the "Schedule 13D") by Riot Platforms, Inc., a Nevada corporation (the "Reporting Person"), relating to the Common Shares, no par value per share (the "Common Shares"), of Bitfarms Ltd., a corporation incorporated under the Canada Business Corporations Act and continued under the Business Corporations Act (Ontario) (the "Company"), whose principal executive offices are located at 110 Yonge Street, Suite 1601, Toronto, Ontario, M5C 1T4. Except as specifically amended by this Amendment No. 14, the Schedule 13D is unchanged.</w:t>
      </w:r>
    </w:p>
    <w:p>
      <w:pPr>
        <w:sectPr>
          <w:pgSz w:w="11900" w:h="16838" w:orient="portrait"/>
          <w:cols w:equalWidth="0" w:num="1">
            <w:col w:w="11160"/>
          </w:cols>
          <w:pgMar w:left="360" w:top="126" w:right="379" w:bottom="0" w:gutter="0" w:footer="0" w:header="0"/>
          <w:type w:val="continuous"/>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2" w:lineRule="exact"/>
        <w:rPr>
          <w:sz w:val="20"/>
          <w:szCs w:val="20"/>
          <w:color w:val="auto"/>
        </w:rPr>
      </w:pPr>
    </w:p>
    <w:p>
      <w:pPr>
        <w:ind w:left="920" w:right="1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previously included as Schedule A to the Schedule 13D is hereby replaced with the information set forth in Exhibit 3, which information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1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previously included as Schedule A to the Schedule 13D is hereby replaced with the information set forth in Exhibit 3, which information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1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previously included as Schedule A to the Schedule 13D is hereby replaced with the information set forth in Exhibit 3, which information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16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and the individuals listed on Exhibit 3 have not,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Reporting Person and the individuals listed on Exhibit 3 have not, during the last five years, been a party to a</w:t>
      </w:r>
    </w:p>
    <w:p>
      <w:pPr>
        <w:spacing w:after="0" w:line="14" w:lineRule="exact"/>
        <w:rPr>
          <w:rFonts w:ascii="Times New Roman" w:cs="Times New Roman" w:eastAsia="Times New Roman" w:hAnsi="Times New Roman"/>
          <w:sz w:val="39"/>
          <w:szCs w:val="39"/>
          <w:color w:val="auto"/>
          <w:vertAlign w:val="subscript"/>
        </w:rPr>
      </w:pPr>
    </w:p>
    <w:p>
      <w:pPr>
        <w:ind w:left="920" w:right="32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civil proceeding of a judicial or administrative body of competent jurisdiction, as a result of which proceeding any such person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1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previously included as Schedule A to the Schedule 13D is hereby replaced with the information set forth in Exhibit 3, which information is incorporated herein by reference.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32"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by adding the following information: Reference is made to that certain Settlement Agreement, dated as of September 23, 2024 (the "Settlement Agreement"), by and between the Company and the Reporting Person. On April 7, 2025, the Reporting Person delivered a waiver and irrevocable proxy (the "Waiver and Irrevocable Proxy") to the Company, pursuant to which the Reporting Person (i) irrevocably waived and relinquished its rights under Section 2.2, Section 3.4, Section 3.5, Section 3.7 and Section 5 of the Settlement Agreement and irrevocably released the Company from all of its obligations thereunder; and (ii) granted to the Company and any of its designees an irrevocable proxy to vote or act by written consent as determined by the Company from time to time, solely with respect to any Subject Securities (as defined in the Settlement Agreement) the voting power of which represents in excess of 9.9% of the total voting power of all securities of the Company entitled to vote for the election of directors of the Company from time to time outstanding. As a result of such proxy, the Reporting Person currently exercises voting power over approximately 54,810,793, or approximately 9.9%, of the outstanding Common Shares. Such proxy shall automatically and immediately be terminated on the date on which the Subject Securities represent 9.9% or less of the total voting power of all securities of the Company entitled to vote for the election of directors of the Company from time to time outstanding. The foregoing summary of the Waiver and Irrevocable Proxy is not intended to be complete and is qualified in its entirety by reference to the full text of the Waiver and Irrevocable Proxy, which is filed as Exhibit 1 hereto and is incorporated herein by reference. On April 8, 2025, the Reporting Person issued a press release in accordance with applicable Canadian securities laws announcing the Waiver and Irrevocable Proxy. The foregoing summary of such press release is not intended to be complete and is qualified in its entirety by reference to the full text of the press release, which is filed as Exhibit 2 hereto and is incorporated herein by reference.</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spacing w:after="0" w:line="238" w:lineRule="auto"/>
        <w:rPr>
          <w:sz w:val="20"/>
          <w:szCs w:val="20"/>
          <w:color w:val="auto"/>
        </w:rPr>
      </w:pPr>
      <w:r>
        <w:rPr>
          <w:rFonts w:ascii="Times New Roman" w:cs="Times New Roman" w:eastAsia="Times New Roman" w:hAnsi="Times New Roman"/>
          <w:sz w:val="22"/>
          <w:szCs w:val="22"/>
          <w:color w:val="auto"/>
        </w:rPr>
        <w:t>Item 5(a) and (b) of the Schedule 13D is hereby amended and restated to read in full as follows: (a) and (b) The aggregate number and percentage of the Common Shares that are beneficially owned by the Reporting Person and as to which the Reporting Person has sole voting power, shared voting power, sole dispositive power and shared</w:t>
      </w:r>
    </w:p>
    <w:p>
      <w:pPr>
        <w:ind w:left="920" w:right="100" w:hanging="912"/>
        <w:spacing w:after="0" w:line="249"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dispositive power are set forth on the cover page of this Statement, and such information is incorporated herein by reference. The percentage used herein is calculated based on an aggregate of 553,644,380 Common Shares outstanding, based on the information contained in the Company's management's discussion and analysis for the year ended December 31, 2024, filed as Exhibit 99.3 to the Company's annual report on Form 40-F on April 1, 2025. Item 5(a) and (b) of the Schedule 13D is hereby amended and restated to read in full as follows: (a) and (b) The aggregate number and percentage of the Common Shares that are beneficially owned by the Reporting Person and as to which the Reporting Person has sole voting power, shared voting power, sole dispositive power and shared</w:t>
      </w:r>
    </w:p>
    <w:p>
      <w:pPr>
        <w:spacing w:after="0" w:line="1" w:lineRule="exact"/>
        <w:rPr>
          <w:rFonts w:ascii="Times New Roman" w:cs="Times New Roman" w:eastAsia="Times New Roman" w:hAnsi="Times New Roman"/>
          <w:sz w:val="21"/>
          <w:szCs w:val="21"/>
          <w:color w:val="auto"/>
        </w:rPr>
      </w:pPr>
    </w:p>
    <w:p>
      <w:pPr>
        <w:ind w:left="920" w:right="100" w:hanging="912"/>
        <w:spacing w:after="0" w:line="247"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dispositive power are set forth on the cover page of this Statement, and such information is incorporated herein by reference. The percentage used herein is calculated based on an aggregate of 553,644,380 Common Shares outstanding, based on the information contained in the Company's management's discussion and analysis for the year ended December 31, 2024, filed as Exhibit 99.3 to the Company's annual report on Form 40-F on April 1, 2025.</w:t>
      </w:r>
    </w:p>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2"/>
          <w:szCs w:val="22"/>
          <w:color w:val="auto"/>
        </w:rPr>
        <w:t>As described in Item 4, on April 7, 2025, the Reporting Person delivered the Waiver and Irrevocable Proxy to the Company, a copy of which is filed as Exhibit 1 hereto. The Waiver and Irrevocable Proxy and the description thereof set forth in Item 4 are incorporated herein by reference.</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Exhibit 1: Waiver and Irrevocable Proxy, dated April 7, 2025 Exhibit 2: Press Release of the Reporting Person, dated</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April 8, 2025 Exhibit 3: Directors and Executive Officers of the Reporting Person</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65" w:gutter="0" w:footer="0" w:header="0"/>
        </w:sectPr>
      </w:pPr>
    </w:p>
    <w:bookmarkStart w:id="3" w:name="page4"/>
    <w:bookmarkEnd w:id="3"/>
    <w:p>
      <w:pPr>
        <w:ind w:left="82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153"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Colin Yee</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Name/Title: Colin Yee/Chief Financial Officer</w:t>
      </w:r>
    </w:p>
    <w:p>
      <w:pPr>
        <w:spacing w:after="0" w:line="56"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04/09/2025</w:t>
      </w:r>
    </w:p>
    <w:p>
      <w:pPr>
        <w:sectPr>
          <w:pgSz w:w="11900" w:h="16838" w:orient="portrait"/>
          <w:cols w:equalWidth="0" w:num="1">
            <w:col w:w="9019"/>
          </w:cols>
          <w:pgMar w:left="1440" w:top="112" w:right="1440" w:bottom="1440" w:gutter="0" w:footer="0" w:header="0"/>
        </w:sectPr>
      </w:pPr>
    </w:p>
    <w:bookmarkStart w:id="4" w:name="page5"/>
    <w:bookmarkEnd w:id="4"/>
    <w:p>
      <w:pPr>
        <w:ind w:left="10540"/>
        <w:spacing w:after="0"/>
        <w:rPr>
          <w:sz w:val="20"/>
          <w:szCs w:val="20"/>
          <w:color w:val="auto"/>
        </w:rPr>
      </w:pPr>
      <w:r>
        <w:rPr>
          <w:rFonts w:ascii="Times New Roman" w:cs="Times New Roman" w:eastAsia="Times New Roman" w:hAnsi="Times New Roman"/>
          <w:sz w:val="17"/>
          <w:szCs w:val="17"/>
          <w:b w:val="1"/>
          <w:bCs w:val="1"/>
          <w:color w:val="auto"/>
        </w:rPr>
        <w:t>Exhibit 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3855 Ambrosia Street, Suite 301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Castle Rock, CO 80109</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 M5C 1T4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right="160" w:firstLine="1296"/>
        <w:spacing w:after="0" w:line="266" w:lineRule="auto"/>
        <w:rPr>
          <w:sz w:val="20"/>
          <w:szCs w:val="20"/>
          <w:color w:val="auto"/>
        </w:rPr>
      </w:pPr>
      <w:r>
        <w:rPr>
          <w:rFonts w:ascii="Times New Roman" w:cs="Times New Roman" w:eastAsia="Times New Roman" w:hAnsi="Times New Roman"/>
          <w:sz w:val="18"/>
          <w:szCs w:val="18"/>
          <w:color w:val="auto"/>
        </w:rPr>
        <w:t>Reference is hereby made to that certain Settlement Agreement, dated as of September 23, 2024 (the “</w:t>
      </w:r>
      <w:r>
        <w:rPr>
          <w:rFonts w:ascii="Times New Roman" w:cs="Times New Roman" w:eastAsia="Times New Roman" w:hAnsi="Times New Roman"/>
          <w:sz w:val="18"/>
          <w:szCs w:val="18"/>
          <w:u w:val="single" w:color="auto"/>
          <w:color w:val="auto"/>
        </w:rPr>
        <w:t>Settlement Agreement</w:t>
      </w:r>
      <w:r>
        <w:rPr>
          <w:rFonts w:ascii="Times New Roman" w:cs="Times New Roman" w:eastAsia="Times New Roman" w:hAnsi="Times New Roman"/>
          <w:sz w:val="18"/>
          <w:szCs w:val="18"/>
          <w:color w:val="auto"/>
        </w:rPr>
        <w:t>”), by and between Bitfarms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Riot Platforms, Inc. (“</w:t>
      </w:r>
      <w:r>
        <w:rPr>
          <w:rFonts w:ascii="Times New Roman" w:cs="Times New Roman" w:eastAsia="Times New Roman" w:hAnsi="Times New Roman"/>
          <w:sz w:val="18"/>
          <w:szCs w:val="18"/>
          <w:u w:val="single" w:color="auto"/>
          <w:color w:val="auto"/>
        </w:rPr>
        <w:t>Riot</w:t>
      </w:r>
      <w:r>
        <w:rPr>
          <w:rFonts w:ascii="Times New Roman" w:cs="Times New Roman" w:eastAsia="Times New Roman" w:hAnsi="Times New Roman"/>
          <w:sz w:val="18"/>
          <w:szCs w:val="18"/>
          <w:color w:val="auto"/>
        </w:rPr>
        <w:t>”). Capitalized terms used but not defined herein shall have the meanings ascribed to such terms in the Settlement Agreement.</w:t>
      </w:r>
    </w:p>
    <w:p>
      <w:pPr>
        <w:spacing w:after="0" w:line="176" w:lineRule="exact"/>
        <w:rPr>
          <w:sz w:val="20"/>
          <w:szCs w:val="20"/>
          <w:color w:val="auto"/>
        </w:rPr>
      </w:pPr>
    </w:p>
    <w:p>
      <w:pPr>
        <w:ind w:right="920" w:firstLine="1296"/>
        <w:spacing w:after="0" w:line="282" w:lineRule="auto"/>
        <w:rPr>
          <w:sz w:val="20"/>
          <w:szCs w:val="20"/>
          <w:color w:val="auto"/>
        </w:rPr>
      </w:pPr>
      <w:r>
        <w:rPr>
          <w:rFonts w:ascii="Times New Roman" w:cs="Times New Roman" w:eastAsia="Times New Roman" w:hAnsi="Times New Roman"/>
          <w:sz w:val="18"/>
          <w:szCs w:val="18"/>
          <w:color w:val="auto"/>
        </w:rPr>
        <w:t>For good and valuable consideration, the sufficiency of which is hereby acknowledged, Riot makes the following irrevocable undertakings to the Company:</w:t>
      </w:r>
    </w:p>
    <w:p>
      <w:pPr>
        <w:spacing w:after="0" w:line="162"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             Waiver of Rights. Riot hereby irrevocably waives and relinquishes its rights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Settlement Agreement and irrevocably releases the Company from all of its obligations thereunder, and such rights and obligations shall immediately and forever be void and of no further force and effect.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Grant of Irrevocable Proxy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944"/>
        <w:spacing w:after="0" w:line="273" w:lineRule="auto"/>
        <w:rPr>
          <w:sz w:val="20"/>
          <w:szCs w:val="20"/>
          <w:color w:val="auto"/>
        </w:rPr>
      </w:pPr>
      <w:r>
        <w:rPr>
          <w:rFonts w:ascii="Times New Roman" w:cs="Times New Roman" w:eastAsia="Times New Roman" w:hAnsi="Times New Roman"/>
          <w:sz w:val="17"/>
          <w:szCs w:val="17"/>
          <w:color w:val="auto"/>
        </w:rPr>
        <w:t>(a)               Riot hereby irrevocably appoints the Company and any designee of the Company, and each of them individually (each an “</w:t>
      </w:r>
      <w:r>
        <w:rPr>
          <w:rFonts w:ascii="Times New Roman" w:cs="Times New Roman" w:eastAsia="Times New Roman" w:hAnsi="Times New Roman"/>
          <w:sz w:val="17"/>
          <w:szCs w:val="17"/>
          <w:u w:val="single" w:color="auto"/>
          <w:color w:val="auto"/>
        </w:rPr>
        <w:t>Authorized 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Authorized Parties</w:t>
      </w:r>
      <w:r>
        <w:rPr>
          <w:rFonts w:ascii="Times New Roman" w:cs="Times New Roman" w:eastAsia="Times New Roman" w:hAnsi="Times New Roman"/>
          <w:sz w:val="17"/>
          <w:szCs w:val="17"/>
          <w:color w:val="auto"/>
        </w:rPr>
        <w:t xml:space="preserve">”) its proxies and attorneys-in-fact, with full power of substitution and resubstitution, to vote or act by written consent in accordance with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of the Settlement Agreement or otherwise as determined by the Company from time to time, solely with respect to any Subject Securities (the “</w:t>
      </w:r>
      <w:r>
        <w:rPr>
          <w:rFonts w:ascii="Times New Roman" w:cs="Times New Roman" w:eastAsia="Times New Roman" w:hAnsi="Times New Roman"/>
          <w:sz w:val="17"/>
          <w:szCs w:val="17"/>
          <w:u w:val="single" w:color="auto"/>
          <w:color w:val="auto"/>
        </w:rPr>
        <w:t>Excess Subject Securities</w:t>
      </w:r>
      <w:r>
        <w:rPr>
          <w:rFonts w:ascii="Times New Roman" w:cs="Times New Roman" w:eastAsia="Times New Roman" w:hAnsi="Times New Roman"/>
          <w:sz w:val="17"/>
          <w:szCs w:val="17"/>
          <w:color w:val="auto"/>
        </w:rPr>
        <w:t>”) the voting power of which represents in excess of 9.9% of the total voting power of all securities of the Company entitled to vote for the election of directors of the Company from time to time outstanding (the “</w:t>
      </w:r>
      <w:r>
        <w:rPr>
          <w:rFonts w:ascii="Times New Roman" w:cs="Times New Roman" w:eastAsia="Times New Roman" w:hAnsi="Times New Roman"/>
          <w:sz w:val="17"/>
          <w:szCs w:val="17"/>
          <w:u w:val="single" w:color="auto"/>
          <w:color w:val="auto"/>
        </w:rPr>
        <w:t>Proxy</w:t>
      </w:r>
      <w:r>
        <w:rPr>
          <w:rFonts w:ascii="Times New Roman" w:cs="Times New Roman" w:eastAsia="Times New Roman" w:hAnsi="Times New Roman"/>
          <w:sz w:val="17"/>
          <w:szCs w:val="17"/>
          <w:color w:val="auto"/>
        </w:rPr>
        <w:t>”). This irrevocable Proxy and power of attorney shall automatically and immediately be terminated on the date on which the Subject Securities represent 9.9% or less of the of the total voting power of all securities of the Company entitled to vote for the election of directors of the Company from time to time outstanding.</w:t>
      </w:r>
    </w:p>
    <w:p>
      <w:pPr>
        <w:spacing w:after="0" w:line="171" w:lineRule="exact"/>
        <w:rPr>
          <w:sz w:val="20"/>
          <w:szCs w:val="20"/>
          <w:color w:val="auto"/>
        </w:rPr>
      </w:pPr>
    </w:p>
    <w:p>
      <w:pPr>
        <w:ind w:right="20" w:firstLine="1944"/>
        <w:spacing w:after="0" w:line="256" w:lineRule="auto"/>
        <w:rPr>
          <w:sz w:val="20"/>
          <w:szCs w:val="20"/>
          <w:color w:val="auto"/>
        </w:rPr>
      </w:pPr>
      <w:r>
        <w:rPr>
          <w:rFonts w:ascii="Times New Roman" w:cs="Times New Roman" w:eastAsia="Times New Roman" w:hAnsi="Times New Roman"/>
          <w:sz w:val="18"/>
          <w:szCs w:val="18"/>
          <w:color w:val="auto"/>
        </w:rPr>
        <w:t xml:space="preserve">(b)               Riot shall take such further action or execute such other instruments as may be necessary or appropriate to effectuate the intent of the Proxy. The Proxy shall be irrevocable until terminated in accordance with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shall be deemed to be coupled with an interest sufficient in law to support an irrevocable proxy, and shall revoke any and all prior proxies granted by Riot with respect to the Excess Subject Securities. The power of attorney granted by Riot herein is a durable power of attorney and shall, to the extent applicable, survive the bankruptcy or dissolution of Riot. Following the grant of the Proxy, the vote of an Authorized Party shall control in any conflict between the vote by an Authorized Party of such Excess Subject Securities and any other vote by Riot of such Excess Subject Securities during the Term.</w:t>
      </w:r>
    </w:p>
    <w:p>
      <w:pPr>
        <w:spacing w:after="0" w:line="187"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letter shall be governed by and construed in accordance with the laws of the Province of Ontario and the laws of Canada applicable therein.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180"/>
        <w:spacing w:after="0"/>
        <w:rPr>
          <w:sz w:val="20"/>
          <w:szCs w:val="20"/>
          <w:color w:val="auto"/>
        </w:rPr>
      </w:pPr>
      <w:r>
        <w:rPr>
          <w:rFonts w:ascii="Times New Roman" w:cs="Times New Roman" w:eastAsia="Times New Roman" w:hAnsi="Times New Roman"/>
          <w:sz w:val="17"/>
          <w:szCs w:val="17"/>
          <w:color w:val="auto"/>
        </w:rPr>
        <w:t>IN WITNESS WHEREOF, this letter is executed and delivered as of the date first written above.</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Jason 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Jason Les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EARLY WARNING REPORT PRESS RELEASE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REGARDING WAIVER AND IRREVOCABLE PROXY</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CASTLE ROCK, CO, April 8, 2025 </w:t>
      </w:r>
      <w:r>
        <w:rPr>
          <w:rFonts w:ascii="Times New Roman" w:cs="Times New Roman" w:eastAsia="Times New Roman" w:hAnsi="Times New Roman"/>
          <w:sz w:val="18"/>
          <w:szCs w:val="18"/>
          <w:color w:val="auto"/>
        </w:rPr>
        <w:t>– Riot Platforms, Inc. (NASDAQ: RIOT) (“</w:t>
      </w:r>
      <w:r>
        <w:rPr>
          <w:rFonts w:ascii="Times New Roman" w:cs="Times New Roman" w:eastAsia="Times New Roman" w:hAnsi="Times New Roman"/>
          <w:sz w:val="18"/>
          <w:szCs w:val="18"/>
          <w:b w:val="1"/>
          <w:bCs w:val="1"/>
          <w:color w:val="auto"/>
        </w:rPr>
        <w:t>Riot</w:t>
      </w:r>
      <w:r>
        <w:rPr>
          <w:rFonts w:ascii="Times New Roman" w:cs="Times New Roman" w:eastAsia="Times New Roman" w:hAnsi="Times New Roman"/>
          <w:sz w:val="18"/>
          <w:szCs w:val="18"/>
          <w:color w:val="auto"/>
        </w:rPr>
        <w:t>”) issues this press release pursuant to Part 3 of Canadian 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Instrument 62-103 – </w:t>
      </w:r>
      <w:r>
        <w:rPr>
          <w:rFonts w:ascii="Times New Roman" w:cs="Times New Roman" w:eastAsia="Times New Roman" w:hAnsi="Times New Roman"/>
          <w:sz w:val="18"/>
          <w:szCs w:val="18"/>
          <w:i w:val="1"/>
          <w:iCs w:val="1"/>
          <w:color w:val="auto"/>
        </w:rPr>
        <w:t>The Early Warning System and Related Take-Over Bid and Insider Reporting Issues</w:t>
      </w:r>
      <w:r>
        <w:rPr>
          <w:rFonts w:ascii="Times New Roman" w:cs="Times New Roman" w:eastAsia="Times New Roman" w:hAnsi="Times New Roman"/>
          <w:sz w:val="18"/>
          <w:szCs w:val="18"/>
          <w:color w:val="auto"/>
        </w:rPr>
        <w:t xml:space="preserve"> and Part 5 of Canadian National Instrument 62-104 – </w:t>
      </w:r>
      <w:r>
        <w:rPr>
          <w:rFonts w:ascii="Times New Roman" w:cs="Times New Roman" w:eastAsia="Times New Roman" w:hAnsi="Times New Roman"/>
          <w:sz w:val="18"/>
          <w:szCs w:val="18"/>
          <w:i w:val="1"/>
          <w:iCs w:val="1"/>
          <w:color w:val="auto"/>
        </w:rPr>
        <w:t>Take-Over Bids and Issuer Bids</w:t>
      </w:r>
      <w:r>
        <w:rPr>
          <w:rFonts w:ascii="Times New Roman" w:cs="Times New Roman" w:eastAsia="Times New Roman" w:hAnsi="Times New Roman"/>
          <w:sz w:val="18"/>
          <w:szCs w:val="18"/>
          <w:color w:val="auto"/>
        </w:rPr>
        <w:t xml:space="preserve"> in respect of Bitfarms Ltd. (NASDAQ/TSX: BITF)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7, 2025, Riot delivered a waiver and irrevocable proxy (the “</w:t>
      </w:r>
      <w:r>
        <w:rPr>
          <w:rFonts w:ascii="Times New Roman" w:cs="Times New Roman" w:eastAsia="Times New Roman" w:hAnsi="Times New Roman"/>
          <w:sz w:val="18"/>
          <w:szCs w:val="18"/>
          <w:b w:val="1"/>
          <w:bCs w:val="1"/>
          <w:color w:val="auto"/>
        </w:rPr>
        <w:t>Waiver and Irrevocable Proxy</w:t>
      </w:r>
      <w:r>
        <w:rPr>
          <w:rFonts w:ascii="Times New Roman" w:cs="Times New Roman" w:eastAsia="Times New Roman" w:hAnsi="Times New Roman"/>
          <w:sz w:val="18"/>
          <w:szCs w:val="18"/>
          <w:color w:val="auto"/>
        </w:rPr>
        <w:t>”) to the Company, pursuant to which Riot irrevocably waived and relinquished its rights under Section 2.2, Section 3.4, Section 3.5, Section 3.7 and Section 5 of the Settlement Agreement (the “</w:t>
      </w:r>
      <w:r>
        <w:rPr>
          <w:rFonts w:ascii="Times New Roman" w:cs="Times New Roman" w:eastAsia="Times New Roman" w:hAnsi="Times New Roman"/>
          <w:sz w:val="18"/>
          <w:szCs w:val="18"/>
          <w:b w:val="1"/>
          <w:bCs w:val="1"/>
          <w:color w:val="auto"/>
        </w:rPr>
        <w:t>Settlement Agreement</w:t>
      </w:r>
      <w:r>
        <w:rPr>
          <w:rFonts w:ascii="Times New Roman" w:cs="Times New Roman" w:eastAsia="Times New Roman" w:hAnsi="Times New Roman"/>
          <w:sz w:val="18"/>
          <w:szCs w:val="18"/>
          <w:color w:val="auto"/>
        </w:rPr>
        <w:t>”) dated September 23, 2024 between the Company and Riot (as previously described in Riot’s press release and early warning report dated September 23, 2024 and a copy of which is available under the Company’s profile on SEDAR+), which provided, among other things: (i) that the Riot Nominee (as defined in the Settlement Agreement) be a member of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(ii) that the Board be comprised of not more than six members; (iii) that Riot has the right to nominate an individual to replace a previous Riot Nominee; (iv) that neither the Board nor the Company be entitled to remove the Riot Nominee, except in certain circumstances; and (v) that Riot has certain pre-emptive rights. Riot irrevocably released the Company from all of its obligations in connection with the foregoing waived and relinquished rights. Pursuant to the Waiver and Irrevocable Proxy, Riot granted to the Company and any of its designees an irrevocable proxy to vote or act by written consent as determined by the Company from time to time, solely with respect to any Subject Securities (as defined in the Settlement Agreement) the voting power of which represents in excess of 9.9% of the total voting power of all securities of the Company entitled to vote for the election of directors of the Company from time to time outstanding. As a result of such proxy, Riot currently exercises voting power over approximately 54,810,793, or approximately 9.9%, of the outstanding Common Shares. Such proxy shall automatically and immediately be terminated on the date on which the Subject Securities represent 9.9% or less of the total voting power of all securities of the Company entitled to vote for the election of directors of the Company from time to time outstanding. For additional details regarding the Waiver and Irrevocable Proxy, see the full text of the Waiver and Irrevocable Proxy, which is or will be made available under the Company’s profile on SEDAR+, and Riot’s early warning report that will be filed in accordance with applicable Canadian securities laws.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and immediately after, the delivery of the Waiver and Irrevocable Proxy, Riot beneficially owned 90,110,912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Bitfarms, representing approximately 16.3% of the issued and outstanding Common Shares (as calculated based on the information contained in the Company’s management’s discussion and analysis for the year ended December 31, 2024).</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Riot intends to review its investment in the Company on a continuing basis and, subject to the terms of the Settlement Agreement, and depending upon various factors, including without limitation, any discussion between Riot, the Company and/or the Board and its advisors regarding, among other things, the Company’s financial position and strategic direction, overall market conditions, other investment opportunities available to Riot, and the availability of securities of the Company at prices that would make the purchase or sale of such securities desirable, Riot may (i) increase or decrease its position in the Company through, among other things, the purchase or sale of securities of the Company, including through transactions involving the Common Shares and/or other equity, debt, notes, other securities, or derivative or other instruments that are based upon or relate to the value of securities of the Company in the open market or otherwise, (ii) enter into transactions that increase or hedge its economic exposure to the Common Shares without affecting its beneficial ownership of the Common Shares or (iii) consider or propose one or more of the actions described in subparagraphs (a) - (k) of Item 5 of Riot’s early warning report filed in accordance with applicable Canadian securities laws, including submitting a revised proposal to acquire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is not meant to be, nor should it be construed as, an offer (or an intention to make an offer) to buy or the solicitation of an offer to sell any of the Company’s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Riot will file the Early Warning Report in accordance with applicable securities laws, which will be available under the Company’s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The head office of the Company is 110 Yonge Street, Suite 1601 Toronto, Ontario M5C 1T4. The address of Riot is 3855 Ambrosia Street, Suite 301, Castle Rock, CO 80109.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and to obtain a copy of the Early Warning Report, please see the Company’s profile on the SEDAR+ website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or contact Phil McPherson, Vice President, Capital Markets &amp; Investor Relations, at (303) 794-2000 ext. 110.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the Company to achieve best-in-class execution and create successful outcomes.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“create,” “drive,” “expect,” “forecast,” “future,” “growth,” “intend,” “hope,” “opportunity,” “plan,” “potential,” “proposal,” “synergies,” “unlock,” “upside,” “will,” “would,” and similar words and phrases are intended to identify forward-looking statements.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including the risks, uncertainties and other factors discussed under the sections entitled “Risk Factors” and “Cautionary Note Regarding Forward-Looking Statements” of Riot’s Annual Report on Form 10-K for the fiscal year ended December 31, 2024, filed with the SEC on February 28, 2025,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ind w:left="10540"/>
        <w:spacing w:after="0"/>
        <w:rPr>
          <w:sz w:val="20"/>
          <w:szCs w:val="20"/>
          <w:color w:val="auto"/>
        </w:rPr>
      </w:pPr>
      <w:r>
        <w:rPr>
          <w:rFonts w:ascii="Times New Roman" w:cs="Times New Roman" w:eastAsia="Times New Roman" w:hAnsi="Times New Roman"/>
          <w:sz w:val="17"/>
          <w:szCs w:val="17"/>
          <w:b w:val="1"/>
          <w:bCs w:val="1"/>
          <w:color w:val="auto"/>
        </w:rPr>
        <w:t>Exhibit 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Directors and Executive Officers of the Reporting Person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directors and executive officers of the Reporting Person. Unless otherwise specified below, the business address and address of the organization of principal occupation or employment of each director and executive officer of the Reporting Person is 3855 Ambrosia Street, Suite 301 Castle Rock, CO, USA 80109.</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9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8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4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10"/>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Benjamin Yi</w:t>
            </w:r>
          </w:p>
        </w:tc>
        <w:tc>
          <w:tcPr>
            <w:tcW w:w="5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 and Executive Chairman</w:t>
            </w:r>
          </w:p>
        </w:tc>
        <w:tc>
          <w:tcPr>
            <w:tcW w:w="2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r>
      <w:tr>
        <w:trPr>
          <w:trHeight w:val="226"/>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Jason Les</w:t>
            </w:r>
          </w:p>
        </w:tc>
        <w:tc>
          <w:tcPr>
            <w:tcW w:w="5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2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3"/>
        </w:trPr>
        <w:tc>
          <w:tcPr>
            <w:tcW w:w="2960" w:type="dxa"/>
            <w:vAlign w:val="bottom"/>
            <w:tcBorders>
              <w:left w:val="single" w:sz="8" w:color="auto"/>
              <w:bottom w:val="single" w:sz="8" w:color="auto"/>
              <w:right w:val="single" w:sz="8" w:color="auto"/>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rPr>
              <w:t>Jaime Leverton</w:t>
            </w:r>
          </w:p>
        </w:tc>
        <w:tc>
          <w:tcPr>
            <w:tcW w:w="5840" w:type="dxa"/>
            <w:vAlign w:val="bottom"/>
            <w:tcBorders>
              <w:bottom w:val="single" w:sz="8" w:color="auto"/>
              <w:right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Borders>
              <w:bottom w:val="single" w:sz="8" w:color="auto"/>
              <w:right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rPr>
              <w:t>Canada</w:t>
            </w:r>
          </w:p>
        </w:tc>
      </w:tr>
      <w:tr>
        <w:trPr>
          <w:trHeight w:val="193"/>
        </w:trPr>
        <w:tc>
          <w:tcPr>
            <w:tcW w:w="2960" w:type="dxa"/>
            <w:vAlign w:val="bottom"/>
            <w:tcBorders>
              <w:left w:val="single" w:sz="8" w:color="auto"/>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Michael Turner</w:t>
            </w:r>
          </w:p>
        </w:tc>
        <w:tc>
          <w:tcPr>
            <w:tcW w:w="5840" w:type="dxa"/>
            <w:vAlign w:val="bottom"/>
            <w:tcBorders>
              <w:bottom w:val="single" w:sz="8" w:color="auto"/>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Borders>
              <w:bottom w:val="single" w:sz="8" w:color="auto"/>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Canada</w:t>
            </w:r>
          </w:p>
        </w:tc>
      </w:tr>
      <w:tr>
        <w:trPr>
          <w:trHeight w:val="209"/>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Doug Mouton</w:t>
            </w:r>
          </w:p>
        </w:tc>
        <w:tc>
          <w:tcPr>
            <w:tcW w:w="5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Lance D’Ambrosio</w:t>
            </w:r>
          </w:p>
        </w:tc>
        <w:tc>
          <w:tcPr>
            <w:tcW w:w="5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Colin Yee</w:t>
            </w:r>
          </w:p>
        </w:tc>
        <w:tc>
          <w:tcPr>
            <w:tcW w:w="5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2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r>
      <w:tr>
        <w:trPr>
          <w:trHeight w:val="210"/>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William Jackman</w:t>
            </w:r>
          </w:p>
        </w:tc>
        <w:tc>
          <w:tcPr>
            <w:tcW w:w="5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2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r>
      <w:tr>
        <w:trPr>
          <w:trHeight w:val="209"/>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Jason Chung</w:t>
            </w:r>
          </w:p>
        </w:tc>
        <w:tc>
          <w:tcPr>
            <w:tcW w:w="5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Vice President, Head of Corporate Development &amp; Strategy</w:t>
            </w:r>
          </w:p>
        </w:tc>
        <w:tc>
          <w:tcPr>
            <w:tcW w:w="2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r>
      <w:tr>
        <w:trPr>
          <w:trHeight w:val="226"/>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Ryan Werner</w:t>
            </w:r>
          </w:p>
        </w:tc>
        <w:tc>
          <w:tcPr>
            <w:tcW w:w="5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tc>
        <w:tc>
          <w:tcPr>
            <w:tcW w:w="2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3"/>
        </w:trPr>
        <w:tc>
          <w:tcPr>
            <w:tcW w:w="2960" w:type="dxa"/>
            <w:vAlign w:val="bottom"/>
            <w:tcBorders>
              <w:left w:val="single" w:sz="8" w:color="auto"/>
              <w:bottom w:val="single" w:sz="8" w:color="auto"/>
              <w:right w:val="single" w:sz="8" w:color="auto"/>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rPr>
              <w:t>Stephen Howell</w:t>
            </w:r>
          </w:p>
        </w:tc>
        <w:tc>
          <w:tcPr>
            <w:tcW w:w="5840" w:type="dxa"/>
            <w:vAlign w:val="bottom"/>
            <w:tcBorders>
              <w:bottom w:val="single" w:sz="8" w:color="auto"/>
              <w:right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rPr>
              <w:t>Chief Operating Officer</w:t>
            </w:r>
          </w:p>
        </w:tc>
        <w:tc>
          <w:tcPr>
            <w:tcW w:w="2460" w:type="dxa"/>
            <w:vAlign w:val="bottom"/>
            <w:tcBorders>
              <w:bottom w:val="single" w:sz="8" w:color="auto"/>
              <w:right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rPr>
              <w:t>United States</w:t>
            </w:r>
          </w:p>
        </w:tc>
      </w:tr>
      <w:tr>
        <w:trPr>
          <w:trHeight w:val="672"/>
        </w:trPr>
        <w:tc>
          <w:tcPr>
            <w:tcW w:w="29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2025-04-09T15:53:05Z</dcterms:created>
  <dcterms:modified xsi:type="dcterms:W3CDTF">2025-04-09T15:53:05Z</dcterms:modified>
</cp:coreProperties>
</file>