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07/21/2025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46,421,327.00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46,421,327.00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46,421,327.00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20 to Schedule 13D ("Amendment No. 20")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Amendment No. 16 dated June 20, 2025, Amendment No. 17 dated July 1, 2025, Amendment No. 18 dated July 8, 2025 and Amendment No. 19 dated July 16, 2025, the "Schedule 13D") by Riot Platforms, Inc., a Nevada corporation (the "Reporting Person"), relating to the Common Shares, no par value per share (the "Common Shares"), of Bitfarms Ltd., a corporation incorporated under the Canada Business Corporations Act and continued under the Business Corporations Act (Ontario) (the "Company"), whose</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principal executive offices are located at 110 Yonge Street, Suite 1601, Toronto, Ontario, M5C 1T4. Except as specifically amended by this Amendment No. 20, the Schedule 13D is unchanged.</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w:t>
      </w:r>
    </w:p>
    <w:p>
      <w:pPr>
        <w:spacing w:after="0" w:line="1" w:lineRule="exact"/>
        <w:rPr>
          <w:sz w:val="20"/>
          <w:szCs w:val="20"/>
          <w:color w:val="auto"/>
        </w:rPr>
      </w:pPr>
    </w:p>
    <w:p>
      <w:pPr>
        <w:ind w:left="920" w:right="6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557,548,857 Common Shares outstanding, based on the information contained in the Company's press release, filed on SEDAR+ on July 22, 2025.</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20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20,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20</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07/23/2025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July 16,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84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1,702,565</w:t>
            </w:r>
          </w:p>
        </w:tc>
        <w:tc>
          <w:tcPr>
            <w:tcW w:w="2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 – 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2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4,009,614</w:t>
            </w:r>
          </w:p>
        </w:tc>
        <w:tc>
          <w:tcPr>
            <w:tcW w:w="24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1.12 – 1.22</w:t>
            </w:r>
          </w:p>
        </w:tc>
      </w:tr>
      <w:tr>
        <w:trPr>
          <w:trHeight w:val="216"/>
        </w:trPr>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2,546,598</w:t>
            </w:r>
          </w:p>
        </w:tc>
        <w:tc>
          <w:tcPr>
            <w:tcW w:w="240" w:type="dxa"/>
            <w:vAlign w:val="bottom"/>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1.28 – 1.34</w:t>
            </w:r>
          </w:p>
        </w:tc>
      </w:tr>
      <w:tr>
        <w:trPr>
          <w:trHeight w:val="234"/>
        </w:trPr>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7/23/2025</w:t>
            </w:r>
          </w:p>
        </w:tc>
        <w:tc>
          <w:tcPr>
            <w:tcW w:w="12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64,959</w:t>
            </w:r>
          </w:p>
        </w:tc>
        <w:tc>
          <w:tcPr>
            <w:tcW w:w="24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20"/>
                <w:szCs w:val="20"/>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1.28 – 1.30</w:t>
            </w:r>
          </w:p>
        </w:tc>
      </w:tr>
      <w:tr>
        <w:trPr>
          <w:trHeight w:val="684"/>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2025-07-23T17:08:33Z</dcterms:created>
  <dcterms:modified xsi:type="dcterms:W3CDTF">2025-07-23T17:08:33Z</dcterms:modified>
</cp:coreProperties>
</file>