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60"/>
        <w:ind w:left="60" w:right="60" w:hanging="0"/>
        <w:rPr>
          <w:bdr w:val="single" w:sz="12" w:space="1" w:color="000000"/>
        </w:rPr>
      </w:pPr>
      <w:bookmarkStart w:id="0" w:name="ea177658-6k_bitfarmsltd.htm"/>
      <w:bookmarkStart w:id="1" w:name="ksea1776586k_bitfarmsltd"/>
      <w:bookmarkEnd w:id="0"/>
      <w:bookmarkEnd w:id="1"/>
      <w:r>
        <w:rPr>
          <w:bdr w:val="single" w:sz="12"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2023</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BITFARMS LTD.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Canada M5C 1C4</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rPr>
          <w:caps w:val="false"/>
          <w:smallCaps w:val="false"/>
        </w:rPr>
      </w:pPr>
      <w:r>
        <w:rPr>
          <w:caps w:val="false"/>
          <w:smallCaps w:val="false"/>
        </w:rPr>
        <w:t> </w:t>
      </w:r>
    </w:p>
    <w:p>
      <w:pPr>
        <w:pStyle w:val="TextBody"/>
        <w:spacing w:before="60" w:after="60"/>
        <w:ind w:left="60" w:right="6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pStyle w:val="TextBody"/>
        <w:rPr>
          <w:caps w:val="false"/>
          <w:smallCaps w:val="false"/>
        </w:rPr>
      </w:pPr>
      <w:r>
        <w:rPr>
          <w:caps w:val="false"/>
          <w:smallCaps w:val="false"/>
        </w:rPr>
        <w:t> </w:t>
      </w:r>
    </w:p>
    <w:tbl>
      <w:tblPr>
        <w:tblW w:w="5545" w:type="dxa"/>
        <w:jc w:val="left"/>
        <w:tblInd w:w="0" w:type="dxa"/>
        <w:tblCellMar>
          <w:top w:w="0" w:type="dxa"/>
          <w:left w:w="0" w:type="dxa"/>
          <w:bottom w:w="0" w:type="dxa"/>
          <w:right w:w="0" w:type="dxa"/>
        </w:tblCellMar>
      </w:tblPr>
      <w:tblGrid>
        <w:gridCol w:w="1145"/>
        <w:gridCol w:w="60"/>
        <w:gridCol w:w="4340"/>
      </w:tblGrid>
      <w:tr>
        <w:trPr/>
        <w:tc>
          <w:tcPr>
            <w:tcW w:w="1145" w:type="dxa"/>
            <w:tcBorders/>
            <w:shd w:fill="auto" w:val="clear"/>
            <w:vAlign w:val="center"/>
          </w:tcPr>
          <w:p>
            <w:pPr>
              <w:pStyle w:val="TableContents"/>
              <w:spacing w:before="0" w:after="283"/>
              <w:jc w:val="both"/>
              <w:rPr>
                <w:b/>
              </w:rPr>
            </w:pPr>
            <w:r>
              <w:rPr>
                <w:b/>
              </w:rPr>
              <w:t>Exhibits</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bottom w:val="single" w:sz="12" w:space="0" w:color="000000"/>
            </w:tcBorders>
            <w:shd w:fill="auto" w:val="clear"/>
            <w:tcMar>
              <w:bottom w:w="28" w:type="dxa"/>
            </w:tcMar>
            <w:vAlign w:val="center"/>
          </w:tcPr>
          <w:p>
            <w:pPr>
              <w:pStyle w:val="TableContents"/>
              <w:spacing w:before="0" w:after="283"/>
              <w:jc w:val="both"/>
              <w:rPr/>
            </w:pPr>
            <w:r>
              <w:rPr/>
              <w:t>Exhibit No.</w:t>
            </w:r>
          </w:p>
        </w:tc>
        <w:tc>
          <w:tcPr>
            <w:tcW w:w="60" w:type="dxa"/>
            <w:tcBorders/>
            <w:shd w:fill="auto" w:val="clear"/>
            <w:vAlign w:val="center"/>
          </w:tcPr>
          <w:p>
            <w:pPr>
              <w:pStyle w:val="TableContents"/>
              <w:spacing w:before="0" w:after="283"/>
              <w:rPr/>
            </w:pPr>
            <w:r>
              <w:rPr/>
              <w:t> </w:t>
            </w:r>
          </w:p>
        </w:tc>
        <w:tc>
          <w:tcPr>
            <w:tcW w:w="4340" w:type="dxa"/>
            <w:tcBorders>
              <w:bottom w:val="single" w:sz="12" w:space="0" w:color="000000"/>
            </w:tcBorders>
            <w:shd w:fill="auto" w:val="clear"/>
            <w:tcMar>
              <w:bottom w:w="28" w:type="dxa"/>
            </w:tcMar>
            <w:vAlign w:val="center"/>
          </w:tcPr>
          <w:p>
            <w:pPr>
              <w:pStyle w:val="TableContents"/>
              <w:spacing w:before="0" w:after="283"/>
              <w:jc w:val="both"/>
              <w:rPr/>
            </w:pPr>
            <w:r>
              <w:rPr/>
              <w:t>Description</w:t>
            </w:r>
          </w:p>
        </w:tc>
      </w:tr>
      <w:tr>
        <w:trPr/>
        <w:tc>
          <w:tcPr>
            <w:tcW w:w="114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shd w:fill="CCEEFF" w:val="clear"/>
            <w:vAlign w:val="center"/>
          </w:tcPr>
          <w:p>
            <w:pPr>
              <w:pStyle w:val="TableContents"/>
              <w:spacing w:before="0" w:after="283"/>
              <w:jc w:val="both"/>
              <w:rPr/>
            </w:pPr>
            <w:r>
              <w:rPr/>
              <w:t>99.1</w:t>
            </w:r>
          </w:p>
        </w:tc>
        <w:tc>
          <w:tcPr>
            <w:tcW w:w="60" w:type="dxa"/>
            <w:tcBorders/>
            <w:shd w:fill="CCEEFF" w:val="clear"/>
            <w:vAlign w:val="center"/>
          </w:tcPr>
          <w:p>
            <w:pPr>
              <w:pStyle w:val="TableContents"/>
              <w:spacing w:before="0" w:after="283"/>
              <w:rPr/>
            </w:pPr>
            <w:r>
              <w:rPr/>
              <w:t> </w:t>
            </w:r>
          </w:p>
        </w:tc>
        <w:tc>
          <w:tcPr>
            <w:tcW w:w="4340" w:type="dxa"/>
            <w:tcBorders/>
            <w:shd w:fill="CCEEFF" w:val="clear"/>
            <w:vAlign w:val="center"/>
          </w:tcPr>
          <w:p>
            <w:pPr>
              <w:pStyle w:val="TableContents"/>
              <w:spacing w:before="0" w:after="283"/>
              <w:jc w:val="both"/>
              <w:rPr/>
            </w:pPr>
            <w:hyperlink w:anchor="ea177658ex99-1_bitfarmsltd.htm">
              <w:r>
                <w:rPr>
                  <w:rStyle w:val="InternetLink"/>
                </w:rPr>
                <w:t>Material Change Report dated April 28, 2023</w:t>
              </w:r>
            </w:hyperlink>
          </w:p>
        </w:tc>
      </w:tr>
      <w:tr>
        <w:trPr/>
        <w:tc>
          <w:tcPr>
            <w:tcW w:w="114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4340" w:type="dxa"/>
            <w:tcBorders/>
            <w:shd w:fill="FFFFFF" w:val="clear"/>
            <w:vAlign w:val="center"/>
          </w:tcPr>
          <w:p>
            <w:pPr>
              <w:pStyle w:val="TableContents"/>
              <w:spacing w:before="0" w:after="283"/>
              <w:jc w:val="both"/>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rPr>
          <w:caps w:val="false"/>
          <w:smallCaps w:val="false"/>
        </w:rPr>
      </w:pPr>
      <w:r>
        <w:rPr>
          <w:caps w:val="false"/>
          <w:smallCaps w:val="false"/>
        </w:rPr>
        <w:t> </w:t>
      </w:r>
    </w:p>
    <w:tbl>
      <w:tblPr>
        <w:tblW w:w="4785" w:type="dxa"/>
        <w:jc w:val="left"/>
        <w:tblInd w:w="0" w:type="dxa"/>
        <w:tblCellMar>
          <w:top w:w="0" w:type="dxa"/>
          <w:left w:w="0" w:type="dxa"/>
          <w:bottom w:w="0" w:type="dxa"/>
          <w:right w:w="0" w:type="dxa"/>
        </w:tblCellMar>
      </w:tblPr>
      <w:tblGrid>
        <w:gridCol w:w="75"/>
        <w:gridCol w:w="365"/>
        <w:gridCol w:w="650"/>
        <w:gridCol w:w="3695"/>
      </w:tblGrid>
      <w:tr>
        <w:trPr/>
        <w:tc>
          <w:tcPr>
            <w:tcW w:w="75" w:type="dxa"/>
            <w:tcBorders/>
            <w:shd w:fill="auto" w:val="clear"/>
            <w:vAlign w:val="center"/>
          </w:tcPr>
          <w:p>
            <w:pPr>
              <w:pStyle w:val="TableContents"/>
              <w:spacing w:before="0" w:after="283"/>
              <w:rPr/>
            </w:pPr>
            <w:r>
              <w:rPr/>
              <w:t> </w:t>
            </w:r>
          </w:p>
        </w:tc>
        <w:tc>
          <w:tcPr>
            <w:tcW w:w="4710" w:type="dxa"/>
            <w:gridSpan w:val="3"/>
            <w:tcBorders/>
            <w:shd w:fill="auto" w:val="clear"/>
            <w:vAlign w:val="center"/>
          </w:tcPr>
          <w:p>
            <w:pPr>
              <w:pStyle w:val="TableContents"/>
              <w:spacing w:before="0" w:after="283"/>
              <w:rPr>
                <w:b/>
              </w:rPr>
            </w:pPr>
            <w:r>
              <w:rPr>
                <w:b/>
              </w:rPr>
              <w:t>BITFARMS LTD.</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345" w:type="dxa"/>
            <w:gridSpan w:val="2"/>
            <w:tcBorders>
              <w:bottom w:val="single" w:sz="12" w:space="0" w:color="000000"/>
            </w:tcBorders>
            <w:shd w:fill="auto" w:val="clear"/>
            <w:tcMar>
              <w:bottom w:w="28" w:type="dxa"/>
            </w:tcMar>
            <w:vAlign w:val="center"/>
          </w:tcPr>
          <w:p>
            <w:pPr>
              <w:pStyle w:val="TableContents"/>
              <w:spacing w:before="0" w:after="283"/>
              <w:rPr/>
            </w:pPr>
            <w:r>
              <w:rPr/>
              <w:t>/s/ L. Geoffrey Morphy</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95" w:type="dxa"/>
            <w:tcBorders/>
            <w:shd w:fill="auto" w:val="clear"/>
            <w:vAlign w:val="center"/>
          </w:tcPr>
          <w:p>
            <w:pPr>
              <w:pStyle w:val="TableContents"/>
              <w:spacing w:before="0" w:after="283"/>
              <w:rPr/>
            </w:pPr>
            <w:r>
              <w:rPr/>
              <w:t> </w:t>
            </w:r>
            <w:r>
              <w:rPr/>
              <w:t>L. Geoffrey Morphy</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95" w:type="dxa"/>
            <w:tcBorders/>
            <w:shd w:fill="auto" w:val="clear"/>
            <w:vAlign w:val="center"/>
          </w:tcPr>
          <w:p>
            <w:pPr>
              <w:pStyle w:val="TableContents"/>
              <w:spacing w:before="0" w:after="283"/>
              <w:rPr/>
            </w:pPr>
            <w:r>
              <w:rPr/>
              <w:t> </w:t>
            </w:r>
            <w:r>
              <w:rPr/>
              <w:t>President and Chief Executive Officer</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2023</w:t>
      </w:r>
    </w:p>
    <w:p>
      <w:pPr>
        <w:pStyle w:val="TextBody"/>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r>
        <w:br w:type="page"/>
      </w:r>
    </w:p>
    <w:p>
      <w:pPr>
        <w:pStyle w:val="TextBody"/>
        <w:jc w:val="right"/>
        <w:rPr>
          <w:b/>
          <w:color w:val="000000"/>
        </w:rPr>
      </w:pPr>
      <w:bookmarkStart w:id="2" w:name="ea177658ex99-1_bitfarmsltd.htm"/>
      <w:bookmarkStart w:id="3" w:name="ksea177658ex991_bitfarmsltd"/>
      <w:bookmarkEnd w:id="2"/>
      <w:bookmarkEnd w:id="3"/>
      <w:r>
        <w:rPr>
          <w:b/>
          <w:color w:val="000000"/>
        </w:rPr>
        <w:t>Exhibit 99.1</w:t>
      </w:r>
    </w:p>
    <w:p>
      <w:pPr>
        <w:pStyle w:val="TextBody"/>
        <w:rPr>
          <w:color w:val="000000"/>
        </w:rPr>
      </w:pPr>
      <w:r>
        <w:rPr>
          <w:color w:val="000000"/>
        </w:rPr>
        <w:t> </w:t>
      </w:r>
    </w:p>
    <w:p>
      <w:pPr>
        <w:pStyle w:val="TextBody"/>
        <w:rPr>
          <w:color w:val="000000"/>
        </w:rPr>
      </w:pPr>
      <w:r>
        <w:rPr>
          <w:color w:val="000000"/>
        </w:rPr>
        <w:t> </w:t>
      </w:r>
    </w:p>
    <w:p>
      <w:pPr>
        <w:pStyle w:val="TextBody"/>
        <w:rPr>
          <w:color w:val="000000"/>
        </w:rPr>
      </w:pPr>
      <w:r>
        <w:rPr>
          <w:color w:val="000000"/>
        </w:rPr>
        <w:t> </w:t>
      </w:r>
    </w:p>
    <w:p>
      <w:pPr>
        <w:pStyle w:val="TextBody"/>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FORM 51-102F3</w:t>
      </w:r>
    </w:p>
    <w:p>
      <w:pPr>
        <w:pStyle w:val="TextBody"/>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MATERIAL CHANGE REPORT</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95"/>
        <w:gridCol w:w="1668"/>
        <w:gridCol w:w="8442"/>
      </w:tblGrid>
      <w:tr>
        <w:trPr/>
        <w:tc>
          <w:tcPr>
            <w:tcW w:w="95"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b/>
                <w:color w:val="000000"/>
              </w:rPr>
            </w:pPr>
            <w:r>
              <w:rPr>
                <w:b/>
                <w:color w:val="000000"/>
              </w:rPr>
              <w:t>Item 1</w:t>
            </w:r>
          </w:p>
        </w:tc>
        <w:tc>
          <w:tcPr>
            <w:tcW w:w="8442" w:type="dxa"/>
            <w:tcBorders/>
            <w:shd w:fill="auto" w:val="clear"/>
            <w:vAlign w:val="center"/>
          </w:tcPr>
          <w:p>
            <w:pPr>
              <w:pStyle w:val="TableContents"/>
              <w:spacing w:before="0" w:after="283"/>
              <w:rPr>
                <w:b/>
                <w:color w:val="000000"/>
              </w:rPr>
            </w:pPr>
            <w:r>
              <w:rPr>
                <w:b/>
                <w:color w:val="000000"/>
              </w:rPr>
              <w:t xml:space="preserve">Name and Address of Company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Ltd. (“Bitfarms” or the “Company”)</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 King Street East, Suite 902</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Toronto, Ontario M5C 1C4</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116"/>
        <w:gridCol w:w="2046"/>
        <w:gridCol w:w="8043"/>
      </w:tblGrid>
      <w:tr>
        <w:trPr/>
        <w:tc>
          <w:tcPr>
            <w:tcW w:w="116"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b/>
                <w:color w:val="000000"/>
              </w:rPr>
            </w:pPr>
            <w:r>
              <w:rPr>
                <w:b/>
                <w:color w:val="000000"/>
              </w:rPr>
              <w:t>Item 2</w:t>
            </w:r>
          </w:p>
        </w:tc>
        <w:tc>
          <w:tcPr>
            <w:tcW w:w="8043" w:type="dxa"/>
            <w:tcBorders/>
            <w:shd w:fill="auto" w:val="clear"/>
            <w:vAlign w:val="center"/>
          </w:tcPr>
          <w:p>
            <w:pPr>
              <w:pStyle w:val="TableContents"/>
              <w:spacing w:before="0" w:after="283"/>
              <w:rPr>
                <w:b/>
                <w:color w:val="000000"/>
              </w:rPr>
            </w:pPr>
            <w:r>
              <w:rPr>
                <w:b/>
                <w:color w:val="000000"/>
              </w:rPr>
              <w:t xml:space="preserve">Date of Material Change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April 28, 2023.</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177"/>
        <w:gridCol w:w="3116"/>
        <w:gridCol w:w="6912"/>
      </w:tblGrid>
      <w:tr>
        <w:trPr/>
        <w:tc>
          <w:tcPr>
            <w:tcW w:w="177" w:type="dxa"/>
            <w:tcBorders/>
            <w:shd w:fill="auto" w:val="clear"/>
            <w:vAlign w:val="center"/>
          </w:tcPr>
          <w:p>
            <w:pPr>
              <w:pStyle w:val="TableContents"/>
              <w:spacing w:before="0" w:after="283"/>
              <w:rPr>
                <w:sz w:val="4"/>
                <w:szCs w:val="4"/>
              </w:rPr>
            </w:pPr>
            <w:r>
              <w:rPr>
                <w:sz w:val="4"/>
                <w:szCs w:val="4"/>
              </w:rPr>
            </w:r>
          </w:p>
        </w:tc>
        <w:tc>
          <w:tcPr>
            <w:tcW w:w="3116" w:type="dxa"/>
            <w:tcBorders/>
            <w:shd w:fill="auto" w:val="clear"/>
            <w:vAlign w:val="center"/>
          </w:tcPr>
          <w:p>
            <w:pPr>
              <w:pStyle w:val="TableContents"/>
              <w:spacing w:before="0" w:after="283"/>
              <w:rPr>
                <w:b/>
                <w:color w:val="000000"/>
              </w:rPr>
            </w:pPr>
            <w:r>
              <w:rPr>
                <w:b/>
                <w:color w:val="000000"/>
              </w:rPr>
              <w:t>Item 3</w:t>
            </w:r>
          </w:p>
        </w:tc>
        <w:tc>
          <w:tcPr>
            <w:tcW w:w="6912" w:type="dxa"/>
            <w:tcBorders/>
            <w:shd w:fill="auto" w:val="clear"/>
            <w:vAlign w:val="center"/>
          </w:tcPr>
          <w:p>
            <w:pPr>
              <w:pStyle w:val="TableContents"/>
              <w:spacing w:before="0" w:after="283"/>
              <w:rPr>
                <w:b/>
                <w:color w:val="000000"/>
              </w:rPr>
            </w:pPr>
            <w:r>
              <w:rPr>
                <w:b/>
                <w:color w:val="000000"/>
              </w:rPr>
              <w:t xml:space="preserve">News Release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press release attached as Schedule “A” was released on April 28, 2023, by a newswire company in Canada.</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100"/>
        <w:gridCol w:w="1766"/>
        <w:gridCol w:w="8339"/>
      </w:tblGrid>
      <w:tr>
        <w:trPr/>
        <w:tc>
          <w:tcPr>
            <w:tcW w:w="100" w:type="dxa"/>
            <w:tcBorders/>
            <w:shd w:fill="auto" w:val="clear"/>
            <w:vAlign w:val="center"/>
          </w:tcPr>
          <w:p>
            <w:pPr>
              <w:pStyle w:val="TableContents"/>
              <w:spacing w:before="0" w:after="283"/>
              <w:rPr>
                <w:sz w:val="4"/>
                <w:szCs w:val="4"/>
              </w:rPr>
            </w:pPr>
            <w:r>
              <w:rPr>
                <w:sz w:val="4"/>
                <w:szCs w:val="4"/>
              </w:rPr>
            </w:r>
          </w:p>
        </w:tc>
        <w:tc>
          <w:tcPr>
            <w:tcW w:w="1766" w:type="dxa"/>
            <w:tcBorders/>
            <w:shd w:fill="auto" w:val="clear"/>
            <w:vAlign w:val="center"/>
          </w:tcPr>
          <w:p>
            <w:pPr>
              <w:pStyle w:val="TableContents"/>
              <w:spacing w:before="0" w:after="283"/>
              <w:rPr>
                <w:b/>
                <w:color w:val="000000"/>
              </w:rPr>
            </w:pPr>
            <w:r>
              <w:rPr>
                <w:b/>
                <w:color w:val="000000"/>
              </w:rPr>
              <w:t>Item 4</w:t>
            </w:r>
          </w:p>
        </w:tc>
        <w:tc>
          <w:tcPr>
            <w:tcW w:w="8339" w:type="dxa"/>
            <w:tcBorders/>
            <w:shd w:fill="auto" w:val="clear"/>
            <w:vAlign w:val="center"/>
          </w:tcPr>
          <w:p>
            <w:pPr>
              <w:pStyle w:val="TableContents"/>
              <w:spacing w:before="0" w:after="283"/>
              <w:rPr>
                <w:b/>
                <w:color w:val="000000"/>
              </w:rPr>
            </w:pPr>
            <w:r>
              <w:rPr>
                <w:b/>
                <w:color w:val="000000"/>
              </w:rPr>
              <w:t xml:space="preserve">Summary of Material Change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material change is described in the press release attached as Schedule “A”.</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86"/>
        <w:gridCol w:w="1517"/>
        <w:gridCol w:w="8602"/>
      </w:tblGrid>
      <w:tr>
        <w:trPr/>
        <w:tc>
          <w:tcPr>
            <w:tcW w:w="86"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b/>
                <w:color w:val="000000"/>
              </w:rPr>
            </w:pPr>
            <w:r>
              <w:rPr>
                <w:b/>
                <w:color w:val="000000"/>
              </w:rPr>
              <w:t>Item 5</w:t>
            </w:r>
          </w:p>
        </w:tc>
        <w:tc>
          <w:tcPr>
            <w:tcW w:w="8602" w:type="dxa"/>
            <w:tcBorders/>
            <w:shd w:fill="auto" w:val="clear"/>
            <w:vAlign w:val="center"/>
          </w:tcPr>
          <w:p>
            <w:pPr>
              <w:pStyle w:val="TableContents"/>
              <w:spacing w:before="0" w:after="283"/>
              <w:rPr>
                <w:b/>
                <w:color w:val="000000"/>
              </w:rPr>
            </w:pPr>
            <w:r>
              <w:rPr>
                <w:b/>
                <w:color w:val="000000"/>
              </w:rPr>
              <w:t xml:space="preserve">Full Description of Material Change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material change is described in the press release attached as Schedule “A”.</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57"/>
        <w:gridCol w:w="1000"/>
        <w:gridCol w:w="9148"/>
      </w:tblGrid>
      <w:tr>
        <w:trPr/>
        <w:tc>
          <w:tcPr>
            <w:tcW w:w="5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b/>
                <w:color w:val="000000"/>
              </w:rPr>
            </w:pPr>
            <w:r>
              <w:rPr>
                <w:b/>
                <w:color w:val="000000"/>
              </w:rPr>
              <w:t>Item 6</w:t>
            </w:r>
          </w:p>
        </w:tc>
        <w:tc>
          <w:tcPr>
            <w:tcW w:w="9148" w:type="dxa"/>
            <w:tcBorders/>
            <w:shd w:fill="auto" w:val="clear"/>
            <w:vAlign w:val="center"/>
          </w:tcPr>
          <w:p>
            <w:pPr>
              <w:pStyle w:val="TableContents"/>
              <w:spacing w:before="0" w:after="283"/>
              <w:rPr>
                <w:b/>
                <w:color w:val="000000"/>
              </w:rPr>
            </w:pPr>
            <w:r>
              <w:rPr>
                <w:b/>
                <w:color w:val="000000"/>
              </w:rPr>
              <w:t xml:space="preserve">Reliance of subsection 7.1(2) of National Instrument 51-102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132"/>
        <w:gridCol w:w="2330"/>
        <w:gridCol w:w="7743"/>
      </w:tblGrid>
      <w:tr>
        <w:trPr/>
        <w:tc>
          <w:tcPr>
            <w:tcW w:w="132" w:type="dxa"/>
            <w:tcBorders/>
            <w:shd w:fill="auto" w:val="clear"/>
            <w:vAlign w:val="center"/>
          </w:tcPr>
          <w:p>
            <w:pPr>
              <w:pStyle w:val="TableContents"/>
              <w:spacing w:before="0" w:after="283"/>
              <w:rPr>
                <w:sz w:val="4"/>
                <w:szCs w:val="4"/>
              </w:rPr>
            </w:pPr>
            <w:r>
              <w:rPr>
                <w:sz w:val="4"/>
                <w:szCs w:val="4"/>
              </w:rPr>
            </w:r>
          </w:p>
        </w:tc>
        <w:tc>
          <w:tcPr>
            <w:tcW w:w="2330" w:type="dxa"/>
            <w:tcBorders/>
            <w:shd w:fill="auto" w:val="clear"/>
            <w:vAlign w:val="center"/>
          </w:tcPr>
          <w:p>
            <w:pPr>
              <w:pStyle w:val="TableContents"/>
              <w:spacing w:before="0" w:after="283"/>
              <w:rPr>
                <w:b/>
                <w:color w:val="000000"/>
              </w:rPr>
            </w:pPr>
            <w:r>
              <w:rPr>
                <w:b/>
                <w:color w:val="000000"/>
              </w:rPr>
              <w:t>Item 7</w:t>
            </w:r>
          </w:p>
        </w:tc>
        <w:tc>
          <w:tcPr>
            <w:tcW w:w="7743" w:type="dxa"/>
            <w:tcBorders/>
            <w:shd w:fill="auto" w:val="clear"/>
            <w:vAlign w:val="center"/>
          </w:tcPr>
          <w:p>
            <w:pPr>
              <w:pStyle w:val="TableContents"/>
              <w:spacing w:before="0" w:after="283"/>
              <w:rPr>
                <w:b/>
                <w:color w:val="000000"/>
              </w:rPr>
            </w:pPr>
            <w:r>
              <w:rPr>
                <w:b/>
                <w:color w:val="000000"/>
              </w:rPr>
              <w:t xml:space="preserve">Omitted Information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applicable.</w:t>
      </w:r>
    </w:p>
    <w:p>
      <w:pPr>
        <w:pStyle w:val="TextBody"/>
        <w:rPr>
          <w:caps w:val="false"/>
          <w:smallCaps w:val="false"/>
          <w:color w:val="000000"/>
        </w:rPr>
      </w:pPr>
      <w:r>
        <w:rPr>
          <w:caps w:val="false"/>
          <w:smallCaps w:val="false"/>
          <w:color w:val="000000"/>
        </w:rPr>
        <w:t> </w:t>
      </w:r>
    </w:p>
    <w:tbl>
      <w:tblPr>
        <w:tblW w:w="5000" w:type="pct"/>
        <w:jc w:val="left"/>
        <w:tblInd w:w="0" w:type="dxa"/>
        <w:tblCellMar>
          <w:top w:w="0" w:type="dxa"/>
          <w:left w:w="0" w:type="dxa"/>
          <w:bottom w:w="0" w:type="dxa"/>
          <w:right w:w="0" w:type="dxa"/>
        </w:tblCellMar>
      </w:tblPr>
      <w:tblGrid>
        <w:gridCol w:w="151"/>
        <w:gridCol w:w="2658"/>
        <w:gridCol w:w="7396"/>
      </w:tblGrid>
      <w:tr>
        <w:trPr/>
        <w:tc>
          <w:tcPr>
            <w:tcW w:w="151"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b/>
                <w:color w:val="000000"/>
              </w:rPr>
            </w:pPr>
            <w:r>
              <w:rPr>
                <w:b/>
                <w:color w:val="000000"/>
              </w:rPr>
              <w:t>Item 8</w:t>
            </w:r>
          </w:p>
        </w:tc>
        <w:tc>
          <w:tcPr>
            <w:tcW w:w="7396" w:type="dxa"/>
            <w:tcBorders/>
            <w:shd w:fill="auto" w:val="clear"/>
            <w:vAlign w:val="center"/>
          </w:tcPr>
          <w:p>
            <w:pPr>
              <w:pStyle w:val="TableContents"/>
              <w:spacing w:before="0" w:after="283"/>
              <w:rPr>
                <w:b/>
                <w:color w:val="000000"/>
              </w:rPr>
            </w:pPr>
            <w:r>
              <w:rPr>
                <w:b/>
                <w:color w:val="000000"/>
              </w:rPr>
              <w:t xml:space="preserve">Executive Officer </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Nicolas Bonta</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Chairman &amp; Director</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Ltd.</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nbonta@bitfarms.com</w:t>
      </w:r>
    </w:p>
    <w:p>
      <w:pPr>
        <w:pStyle w:val="TextBody"/>
        <w:rPr>
          <w:caps w:val="false"/>
          <w:smallCaps w:val="false"/>
          <w:color w:val="000000"/>
        </w:rPr>
      </w:pPr>
      <w:r>
        <w:rPr>
          <w:caps w:val="false"/>
          <w:smallCaps w:val="false"/>
          <w:color w:val="000000"/>
        </w:rPr>
        <w:t> </w:t>
      </w:r>
    </w:p>
    <w:tbl>
      <w:tblPr>
        <w:tblW w:w="2290" w:type="dxa"/>
        <w:jc w:val="left"/>
        <w:tblInd w:w="0" w:type="dxa"/>
        <w:tblCellMar>
          <w:top w:w="0" w:type="dxa"/>
          <w:left w:w="0" w:type="dxa"/>
          <w:bottom w:w="0" w:type="dxa"/>
          <w:right w:w="0" w:type="dxa"/>
        </w:tblCellMar>
      </w:tblPr>
      <w:tblGrid>
        <w:gridCol w:w="75"/>
        <w:gridCol w:w="665"/>
        <w:gridCol w:w="1550"/>
      </w:tblGrid>
      <w:tr>
        <w:trPr/>
        <w:tc>
          <w:tcPr>
            <w:tcW w:w="75"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rPr>
                <w:b/>
              </w:rPr>
            </w:pPr>
            <w:r>
              <w:rPr>
                <w:b/>
              </w:rPr>
              <w:t>Item 9</w:t>
            </w:r>
          </w:p>
        </w:tc>
        <w:tc>
          <w:tcPr>
            <w:tcW w:w="1550" w:type="dxa"/>
            <w:tcBorders/>
            <w:shd w:fill="auto" w:val="clear"/>
            <w:vAlign w:val="center"/>
          </w:tcPr>
          <w:p>
            <w:pPr>
              <w:pStyle w:val="TableContents"/>
              <w:spacing w:before="0" w:after="283"/>
              <w:rPr>
                <w:b/>
              </w:rPr>
            </w:pPr>
            <w:r>
              <w:rPr>
                <w:b/>
              </w:rPr>
              <w:t>Date of Report</w:t>
            </w:r>
          </w:p>
        </w:tc>
      </w:tr>
    </w:tbl>
    <w:p>
      <w:pPr>
        <w:pStyle w:val="TextBody"/>
        <w:rPr>
          <w:caps w:val="false"/>
          <w:smallCaps w:val="false"/>
          <w:color w:val="000000"/>
        </w:rPr>
      </w:pPr>
      <w:r>
        <w:rPr>
          <w:caps w:val="false"/>
          <w:smallCaps w:val="false"/>
          <w:color w:val="000000"/>
        </w:rPr>
        <w:t>  </w:t>
      </w:r>
    </w:p>
    <w:p>
      <w:pPr>
        <w:pStyle w:val="TextBody"/>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April 28, 2023.</w:t>
      </w:r>
    </w:p>
    <w:p>
      <w:pPr>
        <w:pStyle w:val="TextBody"/>
        <w:rPr>
          <w:caps w:val="false"/>
          <w:smallCaps w:val="false"/>
          <w:color w:val="000000"/>
        </w:rPr>
      </w:pPr>
      <w:r>
        <w:rPr>
          <w:caps w:val="false"/>
          <w:smallCaps w:val="false"/>
          <w:color w:val="000000"/>
        </w:rPr>
        <w:t> </w:t>
      </w:r>
    </w:p>
    <w:p>
      <w:pPr>
        <w:pStyle w:val="TextBody"/>
        <w:spacing w:before="0" w:after="0"/>
        <w:ind w:left="0" w:right="0" w:hanging="0"/>
        <w:rPr/>
      </w:pPr>
      <w:r>
        <w:rPr/>
        <w:t> </w:t>
      </w:r>
    </w:p>
    <w:p>
      <w:pPr>
        <w:pStyle w:val="TextBody"/>
        <w:rPr>
          <w:caps w:val="false"/>
          <w:smallCaps w:val="false"/>
          <w:color w:val="000000"/>
        </w:rPr>
      </w:pPr>
      <w:r>
        <w:rPr>
          <w:caps w:val="false"/>
          <w:smallCaps w:val="false"/>
          <w:color w:val="000000"/>
        </w:rPr>
        <w:t> </w:t>
      </w:r>
    </w:p>
    <w:p>
      <w:pPr>
        <w:pStyle w:val="TextBody"/>
        <w:shd w:fill="FFFFFF" w:val="clear"/>
        <w:ind w:left="11" w:right="0" w:hanging="11"/>
        <w:jc w:val="center"/>
        <w:rPr>
          <w:caps w:val="false"/>
          <w:smallCaps w:val="false"/>
          <w:color w:val="000000"/>
        </w:rPr>
      </w:pPr>
      <w:r>
        <w:rPr>
          <w:caps w:val="false"/>
          <w:smallCaps w:val="false"/>
          <w:color w:val="000000"/>
        </w:rPr>
        <w:t> </w:t>
      </w:r>
    </w:p>
    <w:p>
      <w:pPr>
        <w:pStyle w:val="TextBody"/>
        <w:shd w:fill="FFFFFF" w:val="clear"/>
        <w:ind w:left="11" w:right="0" w:hanging="11"/>
        <w:jc w:val="center"/>
        <w:rPr>
          <w:caps w:val="false"/>
          <w:smallCaps w:val="false"/>
          <w:color w:val="000000"/>
        </w:rPr>
      </w:pPr>
      <w:r>
        <w:rPr>
          <w:caps w:val="false"/>
          <w:smallCaps w:val="false"/>
          <w:color w:val="000000"/>
        </w:rPr>
        <w:t> </w:t>
      </w:r>
    </w:p>
    <w:p>
      <w:pPr>
        <w:pStyle w:val="TextBody"/>
        <w:shd w:fill="FFFFFF" w:val="clear"/>
        <w:ind w:left="11" w:right="0" w:hanging="11"/>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SCHEDULE “A”</w:t>
      </w:r>
    </w:p>
    <w:p>
      <w:pPr>
        <w:pStyle w:val="TextBody"/>
        <w:shd w:fill="FFFFFF" w:val="clear"/>
        <w:ind w:left="11" w:right="0" w:hanging="11"/>
        <w:jc w:val="center"/>
        <w:rPr>
          <w:caps w:val="false"/>
          <w:smallCaps w:val="false"/>
          <w:color w:val="000000"/>
        </w:rPr>
      </w:pPr>
      <w:r>
        <w:rPr>
          <w:caps w:val="false"/>
          <w:smallCaps w:val="false"/>
          <w:color w:val="000000"/>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p>
    <w:p>
      <w:pPr>
        <w:pStyle w:val="TextBody"/>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z w:val="32"/>
        </w:rPr>
        <w:t>Bitfarms Achieves Hashrate All Time High of 5.0 EH/s</w:t>
      </w:r>
    </w:p>
    <w:p>
      <w:pPr>
        <w:pStyle w:val="TextBody"/>
        <w:rPr>
          <w:caps w:val="false"/>
          <w:smallCaps w:val="false"/>
          <w:color w:val="000000"/>
        </w:rPr>
      </w:pPr>
      <w:r>
        <w:rPr>
          <w:caps w:val="false"/>
          <w:smallCaps w:val="false"/>
          <w:color w:val="000000"/>
        </w:rPr>
        <w:t> </w:t>
      </w:r>
    </w:p>
    <w:p>
      <w:pPr>
        <w:pStyle w:val="TextBody"/>
        <w:jc w:val="center"/>
        <w:rPr>
          <w:rFonts w:ascii="Times New Roman;Times;Serif" w:hAnsi="Times New Roman;Times;Serif"/>
          <w:b w:val="false"/>
          <w:i/>
          <w:caps w:val="false"/>
          <w:smallCaps w:val="false"/>
          <w:color w:val="000000"/>
          <w:sz w:val="20"/>
          <w:highlight w:val="white"/>
        </w:rPr>
      </w:pPr>
      <w:r>
        <w:rPr>
          <w:rFonts w:ascii="Times New Roman;Times;Serif" w:hAnsi="Times New Roman;Times;Serif"/>
          <w:b w:val="false"/>
          <w:i/>
          <w:caps w:val="false"/>
          <w:smallCaps w:val="false"/>
          <w:color w:val="000000"/>
          <w:sz w:val="20"/>
          <w:highlight w:val="white"/>
        </w:rPr>
        <w:t>This news release constitutes a “designated news release” for purposes of the Company’s prospectus supplement dated August 16, 2021, to its short form base shelf prospectus dated August 12, 2021.</w:t>
      </w:r>
    </w:p>
    <w:p>
      <w:pPr>
        <w:pStyle w:val="TextBody"/>
        <w:rPr>
          <w:caps w:val="false"/>
          <w:smallCaps w:val="false"/>
          <w:color w:val="000000"/>
        </w:rPr>
      </w:pPr>
      <w:r>
        <w:rPr>
          <w:caps w:val="false"/>
          <w:smallCaps w:val="false"/>
          <w:color w:val="000000"/>
        </w:rPr>
        <w:t> </w:t>
      </w:r>
    </w:p>
    <w:p>
      <w:pPr>
        <w:pStyle w:val="TextBody"/>
        <w:spacing w:before="0" w:after="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Toronto, Ontario and Brossard, Québec (April 28, 2023)</w:t>
      </w:r>
      <w:r>
        <w:rPr>
          <w:rFonts w:ascii="Times New Roman;Times;Serif" w:hAnsi="Times New Roman;Times;Serif"/>
          <w:b w:val="false"/>
          <w:i w:val="false"/>
          <w:caps w:val="false"/>
          <w:smallCaps w:val="false"/>
          <w:color w:val="000000"/>
          <w:sz w:val="20"/>
        </w:rPr>
        <w:t xml:space="preserve"> – Bitfarms Ltd. (</w:t>
      </w:r>
      <w:r>
        <w:rPr>
          <w:rFonts w:ascii="Times New Roman;Times;Serif" w:hAnsi="Times New Roman;Times;Serif"/>
          <w:b w:val="false"/>
          <w:i w:val="false"/>
          <w:caps w:val="false"/>
          <w:smallCaps w:val="false"/>
          <w:color w:val="000000"/>
          <w:sz w:val="20"/>
          <w:u w:val="single"/>
        </w:rPr>
        <w:t>NASDAQ: BITF // TSX: BITF</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highlight w:val="white"/>
        </w:rPr>
        <w:t>a global vertically integrated Bitcoin mining company</w:t>
      </w:r>
      <w:r>
        <w:rPr>
          <w:rFonts w:ascii="Times New Roman;Times;Serif" w:hAnsi="Times New Roman;Times;Serif"/>
          <w:b w:val="false"/>
          <w:i w:val="false"/>
          <w:caps w:val="false"/>
          <w:smallCaps w:val="false"/>
          <w:color w:val="000000"/>
          <w:sz w:val="20"/>
        </w:rPr>
        <w:t xml:space="preserve">, reached 5 EH/s of production on April 27, 2023. </w:t>
      </w:r>
    </w:p>
    <w:p>
      <w:pPr>
        <w:pStyle w:val="TextBody"/>
        <w:spacing w:before="0" w:after="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disclosed on April 24, 2023, in Argentina, 2,100 new miners were energized and the underclocking of existing miners was discontinued as scheduled, directly contributing an additional 250 PH/s of total production.</w:t>
      </w:r>
    </w:p>
    <w:p>
      <w:pPr>
        <w:pStyle w:val="TextBody"/>
        <w:spacing w:before="0" w:after="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Geoff Morphy, CEO of Bitfarms, said, “Bitfarms reached a new all time high of 5.0 EH/s by expanding production at our Rio Cuarto farm in Argentina to 18 MW. This exciting moment reflects our team’s hard work over the last two years resulting in our largest, most advanced and lowest cost facility. With our new miner purchases and further expansion opportunities, we expect our farm in Argentina to be a significant growth driver in the coming months as we build toward our year-end goal of 6.0 EH/s.”</w:t>
      </w:r>
    </w:p>
    <w:p>
      <w:pPr>
        <w:pStyle w:val="TextBody"/>
        <w:spacing w:before="0" w:after="1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Jeff Lucas, CFO of Bitfarms, said, “With expected energy costs below $0.03 per KWh and highly efficient new Bitcoin miners, the farm in Argentina is a key component of our strategy to control costs and maintain our best-in-class average cost of bitcoin mined while increasing top line revenue. This expansion exemplifies our commitment to prudent and responsible growth with a disciplined approach focused on driving competitive returns on investment for our shareholders.”</w:t>
      </w:r>
    </w:p>
    <w:p>
      <w:pPr>
        <w:pStyle w:val="TextBody"/>
        <w:shd w:fill="FEFEFE" w:val="clear"/>
        <w:ind w:left="11" w:right="0" w:hanging="11"/>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Bitfarms Ltd.</w:t>
      </w:r>
    </w:p>
    <w:p>
      <w:pPr>
        <w:pStyle w:val="TextBody"/>
        <w:shd w:fill="FEFEFE" w:val="clear"/>
        <w:ind w:left="11" w:right="0" w:hanging="11"/>
        <w:rPr>
          <w:caps w:val="false"/>
          <w:smallCaps w:val="false"/>
          <w:color w:val="000000"/>
        </w:rPr>
      </w:pPr>
      <w:r>
        <w:rPr>
          <w:caps w:val="false"/>
          <w:smallCaps w:val="false"/>
          <w:color w:val="000000"/>
        </w:rPr>
        <w:t> </w:t>
      </w:r>
    </w:p>
    <w:p>
      <w:pPr>
        <w:pStyle w:val="TextBody"/>
        <w:shd w:fill="FEFEFE" w:val="clear"/>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Founded in 2017, Bitfarms runs vertically integrated mining operations with in-house management and company-owned electrical engineering and services, design-build-construct infrastructure capabilities, and multiple onsite technical repair centers. The Company’s proprietary data analytics software system delivers best-in-class operational control, performance and uptime.</w:t>
      </w:r>
    </w:p>
    <w:p>
      <w:pPr>
        <w:pStyle w:val="TextBody"/>
        <w:shd w:fill="FEFEFE" w:val="clear"/>
        <w:jc w:val="both"/>
        <w:rPr>
          <w:caps w:val="false"/>
          <w:smallCaps w:val="false"/>
          <w:color w:val="000000"/>
        </w:rPr>
      </w:pPr>
      <w:r>
        <w:rPr>
          <w:caps w:val="false"/>
          <w:smallCaps w:val="false"/>
          <w:color w:val="000000"/>
        </w:rPr>
        <w:t> </w:t>
      </w:r>
    </w:p>
    <w:p>
      <w:pPr>
        <w:pStyle w:val="TextBody"/>
        <w:shd w:fill="FEFEFE" w:val="clear"/>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has 10 mining facilities which are located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pStyle w:val="TextBody"/>
        <w:shd w:fill="FEFEFE"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 learn more about Bitfarms’ events, developments, and online communities:</w:t>
      </w:r>
    </w:p>
    <w:p>
      <w:pPr>
        <w:pStyle w:val="TextBody"/>
        <w:shd w:fill="FEFEFE"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Website: www.bitfarms.com</w:t>
      </w:r>
    </w:p>
    <w:p>
      <w:pPr>
        <w:pStyle w:val="TextBody"/>
        <w:shd w:fill="FEFEFE" w:val="clear"/>
        <w:spacing w:before="0" w:after="36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https://www.facebook.com/bitfarms/</w:t>
        <w:br/>
        <w:t>https://twitter.com/Bitfarms_io</w:t>
        <w:br/>
        <w:t>https://www.instagram.com/bitfarms/</w:t>
        <w:br/>
        <w:t>https://www.linkedin.com/company/bitfarms/</w:t>
      </w:r>
    </w:p>
    <w:p>
      <w:pPr>
        <w:pStyle w:val="TextBody"/>
        <w:shd w:fill="FEFEFE" w:val="clear"/>
        <w:spacing w:before="0" w:after="36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Glossary of Terms</w:t>
      </w:r>
    </w:p>
    <w:tbl>
      <w:tblPr>
        <w:tblW w:w="5000" w:type="pct"/>
        <w:jc w:val="left"/>
        <w:tblInd w:w="0" w:type="dxa"/>
        <w:shd w:fill="FEFEFE" w:val="clear"/>
        <w:tblCellMar>
          <w:top w:w="0" w:type="dxa"/>
          <w:left w:w="0" w:type="dxa"/>
          <w:bottom w:w="0" w:type="dxa"/>
          <w:right w:w="0" w:type="dxa"/>
        </w:tblCellMar>
      </w:tblPr>
      <w:tblGrid>
        <w:gridCol w:w="90"/>
        <w:gridCol w:w="296"/>
        <w:gridCol w:w="9819"/>
      </w:tblGrid>
      <w:tr>
        <w:trPr/>
        <w:tc>
          <w:tcPr>
            <w:tcW w:w="90" w:type="dxa"/>
            <w:tcBorders/>
            <w:shd w:fill="FEFEFE" w:val="clear"/>
            <w:vAlign w:val="center"/>
          </w:tcPr>
          <w:p>
            <w:pPr>
              <w:pStyle w:val="TableContents"/>
              <w:spacing w:before="0" w:after="283"/>
              <w:rPr>
                <w:sz w:val="4"/>
                <w:szCs w:val="4"/>
              </w:rPr>
            </w:pPr>
            <w:r>
              <w:rPr>
                <w:sz w:val="4"/>
                <w:szCs w:val="4"/>
              </w:rPr>
            </w:r>
          </w:p>
        </w:tc>
        <w:tc>
          <w:tcPr>
            <w:tcW w:w="296"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819"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BTC BTC/day = Bitcoin or Bitcoin per day</w:t>
            </w:r>
          </w:p>
        </w:tc>
      </w:tr>
    </w:tbl>
    <w:tbl>
      <w:tblPr>
        <w:tblW w:w="5000" w:type="pct"/>
        <w:jc w:val="left"/>
        <w:tblInd w:w="0" w:type="dxa"/>
        <w:shd w:fill="FEFEFE" w:val="clear"/>
        <w:tblCellMar>
          <w:top w:w="0" w:type="dxa"/>
          <w:left w:w="0" w:type="dxa"/>
          <w:bottom w:w="0" w:type="dxa"/>
          <w:right w:w="0" w:type="dxa"/>
        </w:tblCellMar>
      </w:tblPr>
      <w:tblGrid>
        <w:gridCol w:w="83"/>
        <w:gridCol w:w="274"/>
        <w:gridCol w:w="9848"/>
      </w:tblGrid>
      <w:tr>
        <w:trPr/>
        <w:tc>
          <w:tcPr>
            <w:tcW w:w="83" w:type="dxa"/>
            <w:tcBorders/>
            <w:shd w:fill="FEFEFE" w:val="clear"/>
            <w:vAlign w:val="center"/>
          </w:tcPr>
          <w:p>
            <w:pPr>
              <w:pStyle w:val="TableContents"/>
              <w:spacing w:before="0" w:after="283"/>
              <w:rPr>
                <w:sz w:val="4"/>
                <w:szCs w:val="4"/>
              </w:rPr>
            </w:pPr>
            <w:r>
              <w:rPr>
                <w:sz w:val="4"/>
                <w:szCs w:val="4"/>
              </w:rPr>
            </w:r>
          </w:p>
        </w:tc>
        <w:tc>
          <w:tcPr>
            <w:tcW w:w="274"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848"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EH or EH/s = Exahash or exahash per second</w:t>
            </w:r>
          </w:p>
        </w:tc>
      </w:tr>
    </w:tbl>
    <w:tbl>
      <w:tblPr>
        <w:tblW w:w="5000" w:type="pct"/>
        <w:jc w:val="left"/>
        <w:tblInd w:w="0" w:type="dxa"/>
        <w:shd w:fill="FEFEFE" w:val="clear"/>
        <w:tblCellMar>
          <w:top w:w="0" w:type="dxa"/>
          <w:left w:w="0" w:type="dxa"/>
          <w:bottom w:w="0" w:type="dxa"/>
          <w:right w:w="0" w:type="dxa"/>
        </w:tblCellMar>
      </w:tblPr>
      <w:tblGrid>
        <w:gridCol w:w="85"/>
        <w:gridCol w:w="283"/>
        <w:gridCol w:w="9837"/>
      </w:tblGrid>
      <w:tr>
        <w:trPr/>
        <w:tc>
          <w:tcPr>
            <w:tcW w:w="85" w:type="dxa"/>
            <w:tcBorders/>
            <w:shd w:fill="FEFEFE" w:val="clear"/>
            <w:vAlign w:val="center"/>
          </w:tcPr>
          <w:p>
            <w:pPr>
              <w:pStyle w:val="TableContents"/>
              <w:spacing w:before="0" w:after="283"/>
              <w:rPr>
                <w:sz w:val="4"/>
                <w:szCs w:val="4"/>
              </w:rPr>
            </w:pPr>
            <w:r>
              <w:rPr>
                <w:sz w:val="4"/>
                <w:szCs w:val="4"/>
              </w:rPr>
            </w:r>
          </w:p>
        </w:tc>
        <w:tc>
          <w:tcPr>
            <w:tcW w:w="283"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837"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MW or MWh = Megawatts or megawatt hour</w:t>
            </w:r>
          </w:p>
        </w:tc>
      </w:tr>
    </w:tbl>
    <w:tbl>
      <w:tblPr>
        <w:tblW w:w="5000" w:type="pct"/>
        <w:jc w:val="left"/>
        <w:tblInd w:w="0" w:type="dxa"/>
        <w:shd w:fill="FEFEFE" w:val="clear"/>
        <w:tblCellMar>
          <w:top w:w="0" w:type="dxa"/>
          <w:left w:w="0" w:type="dxa"/>
          <w:bottom w:w="0" w:type="dxa"/>
          <w:right w:w="0" w:type="dxa"/>
        </w:tblCellMar>
      </w:tblPr>
      <w:tblGrid>
        <w:gridCol w:w="80"/>
        <w:gridCol w:w="267"/>
        <w:gridCol w:w="9858"/>
      </w:tblGrid>
      <w:tr>
        <w:trPr/>
        <w:tc>
          <w:tcPr>
            <w:tcW w:w="80" w:type="dxa"/>
            <w:tcBorders/>
            <w:shd w:fill="FEFEFE" w:val="clear"/>
            <w:vAlign w:val="center"/>
          </w:tcPr>
          <w:p>
            <w:pPr>
              <w:pStyle w:val="TableContents"/>
              <w:spacing w:before="0" w:after="283"/>
              <w:rPr>
                <w:sz w:val="4"/>
                <w:szCs w:val="4"/>
              </w:rPr>
            </w:pPr>
            <w:r>
              <w:rPr>
                <w:sz w:val="4"/>
                <w:szCs w:val="4"/>
              </w:rPr>
            </w:r>
          </w:p>
        </w:tc>
        <w:tc>
          <w:tcPr>
            <w:tcW w:w="267"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858"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PH or PH/s = Petahash or petahash per second</w:t>
            </w:r>
          </w:p>
        </w:tc>
      </w:tr>
    </w:tbl>
    <w:tbl>
      <w:tblPr>
        <w:tblW w:w="5000" w:type="pct"/>
        <w:jc w:val="left"/>
        <w:tblInd w:w="0" w:type="dxa"/>
        <w:shd w:fill="FEFEFE" w:val="clear"/>
        <w:tblCellMar>
          <w:top w:w="0" w:type="dxa"/>
          <w:left w:w="0" w:type="dxa"/>
          <w:bottom w:w="0" w:type="dxa"/>
          <w:right w:w="0" w:type="dxa"/>
        </w:tblCellMar>
      </w:tblPr>
      <w:tblGrid>
        <w:gridCol w:w="81"/>
        <w:gridCol w:w="269"/>
        <w:gridCol w:w="9855"/>
      </w:tblGrid>
      <w:tr>
        <w:trPr/>
        <w:tc>
          <w:tcPr>
            <w:tcW w:w="81" w:type="dxa"/>
            <w:tcBorders/>
            <w:shd w:fill="FEFEFE" w:val="clear"/>
            <w:vAlign w:val="center"/>
          </w:tcPr>
          <w:p>
            <w:pPr>
              <w:pStyle w:val="TableContents"/>
              <w:spacing w:before="0" w:after="283"/>
              <w:rPr>
                <w:sz w:val="4"/>
                <w:szCs w:val="4"/>
              </w:rPr>
            </w:pPr>
            <w:r>
              <w:rPr>
                <w:sz w:val="4"/>
                <w:szCs w:val="4"/>
              </w:rPr>
            </w:r>
          </w:p>
        </w:tc>
        <w:tc>
          <w:tcPr>
            <w:tcW w:w="269"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855"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TH or TH/s = Terahash or terahash per second</w:t>
            </w:r>
          </w:p>
        </w:tc>
      </w:tr>
    </w:tbl>
    <w:tbl>
      <w:tblPr>
        <w:tblW w:w="5000" w:type="pct"/>
        <w:jc w:val="left"/>
        <w:tblInd w:w="0" w:type="dxa"/>
        <w:shd w:fill="FEFEFE" w:val="clear"/>
        <w:tblCellMar>
          <w:top w:w="0" w:type="dxa"/>
          <w:left w:w="0" w:type="dxa"/>
          <w:bottom w:w="0" w:type="dxa"/>
          <w:right w:w="0" w:type="dxa"/>
        </w:tblCellMar>
      </w:tblPr>
      <w:tblGrid>
        <w:gridCol w:w="131"/>
        <w:gridCol w:w="434"/>
        <w:gridCol w:w="9640"/>
      </w:tblGrid>
      <w:tr>
        <w:trPr/>
        <w:tc>
          <w:tcPr>
            <w:tcW w:w="131" w:type="dxa"/>
            <w:tcBorders/>
            <w:shd w:fill="FEFEFE" w:val="clear"/>
            <w:vAlign w:val="center"/>
          </w:tcPr>
          <w:p>
            <w:pPr>
              <w:pStyle w:val="TableContents"/>
              <w:spacing w:before="0" w:after="283"/>
              <w:rPr>
                <w:sz w:val="4"/>
                <w:szCs w:val="4"/>
              </w:rPr>
            </w:pPr>
            <w:r>
              <w:rPr>
                <w:sz w:val="4"/>
                <w:szCs w:val="4"/>
              </w:rPr>
            </w:r>
          </w:p>
        </w:tc>
        <w:tc>
          <w:tcPr>
            <w:tcW w:w="434"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640" w:type="dxa"/>
            <w:tcBorders/>
            <w:shd w:fill="FEFEFE" w:val="clear"/>
            <w:vAlign w:val="center"/>
          </w:tcPr>
          <w:p>
            <w:pPr>
              <w:pStyle w:val="TableContents"/>
              <w:spacing w:before="0" w:after="283"/>
              <w:jc w:val="both"/>
              <w:rPr>
                <w:rFonts w:ascii="Times New Roman;Times;Serif" w:hAnsi="Times New Roman;Times;Serif"/>
                <w:i/>
                <w:color w:val="000000"/>
              </w:rPr>
            </w:pPr>
            <w:r>
              <w:rPr>
                <w:rFonts w:ascii="Times New Roman;Times;Serif" w:hAnsi="Times New Roman;Times;Serif"/>
                <w:i/>
                <w:color w:val="000000"/>
              </w:rPr>
              <w:t xml:space="preserve">w/TH = Watts per Terahash </w:t>
            </w:r>
          </w:p>
        </w:tc>
      </w:tr>
    </w:tbl>
    <w:tbl>
      <w:tblPr>
        <w:tblW w:w="5000" w:type="pct"/>
        <w:jc w:val="left"/>
        <w:tblInd w:w="0" w:type="dxa"/>
        <w:shd w:fill="FEFEFE" w:val="clear"/>
        <w:tblCellMar>
          <w:top w:w="0" w:type="dxa"/>
          <w:left w:w="0" w:type="dxa"/>
          <w:bottom w:w="0" w:type="dxa"/>
          <w:right w:w="0" w:type="dxa"/>
        </w:tblCellMar>
      </w:tblPr>
      <w:tblGrid>
        <w:gridCol w:w="142"/>
        <w:gridCol w:w="469"/>
        <w:gridCol w:w="9594"/>
      </w:tblGrid>
      <w:tr>
        <w:trPr/>
        <w:tc>
          <w:tcPr>
            <w:tcW w:w="142" w:type="dxa"/>
            <w:tcBorders/>
            <w:shd w:fill="FEFEFE" w:val="clear"/>
            <w:vAlign w:val="center"/>
          </w:tcPr>
          <w:p>
            <w:pPr>
              <w:pStyle w:val="TableContents"/>
              <w:spacing w:before="0" w:after="283"/>
              <w:rPr>
                <w:sz w:val="4"/>
                <w:szCs w:val="4"/>
              </w:rPr>
            </w:pPr>
            <w:r>
              <w:rPr>
                <w:sz w:val="4"/>
                <w:szCs w:val="4"/>
              </w:rPr>
            </w:r>
          </w:p>
        </w:tc>
        <w:tc>
          <w:tcPr>
            <w:tcW w:w="469" w:type="dxa"/>
            <w:tcBorders/>
            <w:shd w:fill="FEFEFE" w:val="clear"/>
            <w:vAlign w:val="center"/>
          </w:tcPr>
          <w:p>
            <w:pPr>
              <w:pStyle w:val="TableContents"/>
              <w:spacing w:before="0" w:after="283"/>
              <w:rPr>
                <w:rFonts w:ascii="Symbol" w:hAnsi="Symbol"/>
                <w:color w:val="000000"/>
              </w:rPr>
            </w:pPr>
            <w:r>
              <w:rPr>
                <w:rFonts w:ascii="Symbol" w:hAnsi="Symbol"/>
                <w:color w:val="000000"/>
              </w:rPr>
              <w:t>·</w:t>
            </w:r>
          </w:p>
        </w:tc>
        <w:tc>
          <w:tcPr>
            <w:tcW w:w="9594" w:type="dxa"/>
            <w:tcBorders/>
            <w:shd w:fill="FEFEFE" w:val="clear"/>
            <w:vAlign w:val="center"/>
          </w:tcPr>
          <w:p>
            <w:pPr>
              <w:pStyle w:val="TableContents"/>
              <w:spacing w:before="0" w:after="283"/>
              <w:jc w:val="both"/>
              <w:rPr>
                <w:i/>
                <w:color w:val="000000"/>
              </w:rPr>
            </w:pPr>
            <w:r>
              <w:rPr>
                <w:i/>
                <w:color w:val="000000"/>
              </w:rPr>
              <w:t xml:space="preserve">KWh = Kilowatt per hour </w:t>
            </w:r>
          </w:p>
        </w:tc>
      </w:tr>
    </w:tbl>
    <w:p>
      <w:pPr>
        <w:pStyle w:val="TextBody"/>
        <w:spacing w:before="0" w:after="0"/>
        <w:ind w:left="0" w:right="0" w:hanging="0"/>
        <w:rPr/>
      </w:pPr>
      <w:r>
        <w:rPr/>
        <w:t> </w:t>
      </w:r>
    </w:p>
    <w:p>
      <w:pPr>
        <w:pStyle w:val="TextBody"/>
        <w:shd w:fill="FEFEFE" w:val="clear"/>
        <w:spacing w:before="0" w:after="36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Cautionary Statement</w:t>
      </w:r>
    </w:p>
    <w:p>
      <w:pPr>
        <w:pStyle w:val="TextBody"/>
        <w:shd w:fill="FEFEFE" w:val="clear"/>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Forward-Looking Statements</w:t>
      </w:r>
    </w:p>
    <w:p>
      <w:pPr>
        <w:pStyle w:val="TextBody"/>
        <w:spacing w:before="0" w:after="160"/>
        <w:jc w:val="both"/>
        <w:rPr>
          <w:rFonts w:ascii="Times New Roman;Times;Serif" w:hAnsi="Times New Roman;Times;Serif"/>
          <w:b w:val="false"/>
          <w:i/>
          <w:caps w:val="false"/>
          <w:smallCaps w:val="false"/>
          <w:color w:val="000000"/>
          <w:sz w:val="20"/>
          <w:highlight w:val="white"/>
        </w:rPr>
      </w:pPr>
      <w:r>
        <w:rPr>
          <w:rFonts w:ascii="Times New Roman;Times;Serif" w:hAnsi="Times New Roman;Times;Serif"/>
          <w:b w:val="false"/>
          <w:i/>
          <w:caps w:val="false"/>
          <w:smallCaps w:val="false"/>
          <w:color w:val="000000"/>
          <w:sz w:val="20"/>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future hashrate growth, expected energy costs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pStyle w:val="TextBody"/>
        <w:spacing w:before="0" w:after="160"/>
        <w:jc w:val="both"/>
        <w:rPr>
          <w:rFonts w:ascii="Times New Roman;Times;Serif" w:hAnsi="Times New Roman;Times;Serif"/>
          <w:b w:val="false"/>
          <w:i/>
          <w:caps w:val="false"/>
          <w:smallCaps w:val="false"/>
          <w:color w:val="000000"/>
          <w:sz w:val="20"/>
          <w:highlight w:val="white"/>
        </w:rPr>
      </w:pPr>
      <w:r>
        <w:rPr>
          <w:rFonts w:ascii="Times New Roman;Times;Serif" w:hAnsi="Times New Roman;Times;Serif"/>
          <w:b w:val="false"/>
          <w:i/>
          <w:caps w:val="false"/>
          <w:smallCaps w:val="false"/>
          <w:color w:val="000000"/>
          <w:sz w:val="20"/>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 and are intended to identify forward-looking information.</w:t>
      </w:r>
    </w:p>
    <w:p>
      <w:pPr>
        <w:pStyle w:val="TextBody"/>
        <w:spacing w:before="0" w:after="160"/>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caps w:val="false"/>
          <w:smallCaps w:val="false"/>
          <w:color w:val="000000"/>
          <w:sz w:val="20"/>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Times;Serif" w:hAnsi="Times New Roman;Times;Serif"/>
          <w:b w:val="false"/>
          <w:i w:val="false"/>
          <w:caps w:val="false"/>
          <w:smallCaps w:val="false"/>
          <w:color w:val="000000"/>
          <w:sz w:val="20"/>
          <w:highlight w:val="white"/>
        </w:rPr>
        <w:t>-</w:t>
      </w:r>
      <w:r>
        <w:rPr>
          <w:rFonts w:ascii="Times New Roman;Times;Serif" w:hAnsi="Times New Roman;Times;Serif"/>
          <w:b w:val="false"/>
          <w:i/>
          <w:caps w:val="false"/>
          <w:smallCaps w:val="false"/>
          <w:color w:val="000000"/>
          <w:sz w:val="20"/>
          <w:highlight w:val="white"/>
        </w:rPr>
        <w:t>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r>
        <w:rPr>
          <w:rFonts w:ascii="Times New Roman;Times;Serif" w:hAnsi="Times New Roman;Times;Serif"/>
          <w:b w:val="false"/>
          <w:i/>
          <w:caps w:val="false"/>
          <w:smallCaps w:val="false"/>
          <w:color w:val="000000"/>
          <w:sz w:val="20"/>
          <w:highlight w:val="white"/>
        </w:rPr>
        <w:drawing>
          <wp:inline distT="0" distB="0" distL="0" distR="0">
            <wp:extent cx="1460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4605"/>
                    </a:xfrm>
                    <a:prstGeom prst="rect">
                      <a:avLst/>
                    </a:prstGeom>
                  </pic:spPr>
                </pic:pic>
              </a:graphicData>
            </a:graphic>
          </wp:inline>
        </w:drawing>
      </w:r>
      <w:r>
        <w:rPr>
          <w:rFonts w:ascii="Times New Roman;Times;Serif" w:hAnsi="Times New Roman;Times;Serif"/>
          <w:b w:val="false"/>
          <w:i/>
          <w:caps w:val="false"/>
          <w:smallCaps w:val="false"/>
          <w:color w:val="000000"/>
          <w:sz w:val="20"/>
          <w:highlight w:val="white"/>
        </w:rPr>
        <w:t>.</w:t>
      </w:r>
    </w:p>
    <w:p>
      <w:pPr>
        <w:pStyle w:val="TextBody"/>
        <w:shd w:fill="FFFFFF" w:val="clea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Contacts:</w:t>
      </w:r>
    </w:p>
    <w:p>
      <w:pPr>
        <w:pStyle w:val="TextBody"/>
        <w:shd w:fill="FFFFFF" w:val="clear"/>
        <w:rPr>
          <w:caps w:val="false"/>
          <w:smallCaps w:val="false"/>
          <w:color w:val="000000"/>
        </w:rPr>
      </w:pPr>
      <w:r>
        <w:rPr>
          <w:caps w:val="false"/>
          <w:smallCaps w:val="false"/>
          <w:color w:val="000000"/>
        </w:rPr>
        <w:t> </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LHA Investor Relations</w:t>
        <w:br/>
      </w:r>
      <w:r>
        <w:rPr>
          <w:rFonts w:ascii="Times New Roman;Times;Serif" w:hAnsi="Times New Roman;Times;Serif"/>
          <w:b w:val="false"/>
          <w:i w:val="false"/>
          <w:caps w:val="false"/>
          <w:smallCaps w:val="false"/>
          <w:color w:val="000000"/>
          <w:sz w:val="20"/>
        </w:rPr>
        <w:t>David Barnard</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+1 415-433-3777</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Investors@bitfarms.com</w:t>
      </w:r>
    </w:p>
    <w:p>
      <w:pPr>
        <w:pStyle w:val="TextBody"/>
        <w:shd w:fill="FFFFFF" w:val="clear"/>
        <w:rPr>
          <w:caps w:val="false"/>
          <w:smallCaps w:val="false"/>
          <w:color w:val="000000"/>
        </w:rPr>
      </w:pPr>
      <w:r>
        <w:rPr>
          <w:caps w:val="false"/>
          <w:smallCaps w:val="false"/>
          <w:color w:val="000000"/>
        </w:rPr>
        <w:t> </w:t>
      </w:r>
    </w:p>
    <w:p>
      <w:pPr>
        <w:pStyle w:val="TextBody"/>
        <w:shd w:fill="FFFFFF" w:val="clea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Actual Agency </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Lisa Helfer</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+1 646-373-9946</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mediarelations@bitfarms.com</w:t>
      </w:r>
    </w:p>
    <w:p>
      <w:pPr>
        <w:pStyle w:val="TextBody"/>
        <w:shd w:fill="FFFFFF" w:val="clear"/>
        <w:rPr>
          <w:caps w:val="false"/>
          <w:smallCaps w:val="false"/>
          <w:color w:val="000000"/>
        </w:rPr>
      </w:pPr>
      <w:r>
        <w:rPr>
          <w:caps w:val="false"/>
          <w:smallCaps w:val="false"/>
          <w:color w:val="000000"/>
        </w:rPr>
        <w:t> </w:t>
      </w:r>
    </w:p>
    <w:p>
      <w:pPr>
        <w:pStyle w:val="TextBody"/>
        <w:shd w:fill="FFFFFF" w:val="clea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Québec Media: Tact</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Louis-Martin Leclerc</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+1 418-693-2425</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lmleclerc@tactconseil.ca</w:t>
      </w:r>
    </w:p>
    <w:p>
      <w:pPr>
        <w:pStyle w:val="TextBody"/>
        <w:shd w:fill="FEFEFE" w:val="clear"/>
        <w:jc w:val="both"/>
        <w:rPr>
          <w:caps w:val="false"/>
          <w:smallCaps w:val="false"/>
          <w:color w:val="000000"/>
        </w:rPr>
      </w:pPr>
      <w:r>
        <w:rPr>
          <w:caps w:val="false"/>
          <w:smallCaps w:val="false"/>
          <w:color w:val="000000"/>
        </w:rPr>
        <w:t> </w:t>
      </w:r>
    </w:p>
    <w:p>
      <w:pPr>
        <w:pStyle w:val="TextBody"/>
        <w:shd w:fill="FEFEFE" w:val="clear"/>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Argentina Media: Agora Public Affairs </w:t>
      </w:r>
    </w:p>
    <w:p>
      <w:pPr>
        <w:pStyle w:val="TextBody"/>
        <w:shd w:fill="FEFEFE" w:val="clear"/>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Wendy Pasten</w:t>
      </w:r>
    </w:p>
    <w:p>
      <w:pPr>
        <w:pStyle w:val="TextBody"/>
        <w:shd w:fill="FEFEFE" w:val="clear"/>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+54 011 6110 6114</w:t>
      </w:r>
    </w:p>
    <w:p>
      <w:pPr>
        <w:pStyle w:val="TextBody"/>
        <w:shd w:fill="FFFFFF" w:val="clea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wendy.pasten@agorapublicaffairs.com</w:t>
      </w:r>
    </w:p>
    <w:p>
      <w:pPr>
        <w:pStyle w:val="TextBody"/>
        <w:shd w:fill="FEFEFE" w:val="clear"/>
        <w:jc w:val="both"/>
        <w:rPr>
          <w:caps w:val="false"/>
          <w:smallCaps w:val="false"/>
          <w:color w:val="000000"/>
        </w:rPr>
      </w:pPr>
      <w:r>
        <w:rPr>
          <w:caps w:val="false"/>
          <w:smallCaps w:val="false"/>
          <w:color w:val="000000"/>
        </w:rPr>
        <w:t> </w:t>
      </w:r>
    </w:p>
    <w:p>
      <w:pPr>
        <w:pStyle w:val="TextBody"/>
        <w:shd w:fill="FFFFFF" w:val="clear"/>
        <w:spacing w:before="0" w:after="283"/>
        <w:ind w:left="11" w:right="0" w:hanging="11"/>
        <w:jc w:val="center"/>
        <w:rPr>
          <w:caps w:val="false"/>
          <w:smallCaps w:val="false"/>
          <w:color w:val="000000"/>
        </w:rPr>
      </w:pPr>
      <w:r>
        <w:rPr>
          <w:caps w:val="false"/>
          <w:smallCaps w:val="false"/>
          <w:color w:val="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2001</Words>
  <CharactersWithSpaces>13706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