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August 12,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Form F-10 (File No. </w:t>
        </w:r>
        <w:r>
          <w:rPr>
            <w:rFonts w:ascii="Times New Roman" w:cs="Times New Roman" w:eastAsia="Times New Roman" w:hAnsi="Times New Roman"/>
            <w:sz w:val="18"/>
            <w:szCs w:val="18"/>
            <w:u w:val="single" w:color="auto"/>
            <w:color w:val="0000EE"/>
          </w:rPr>
          <w:t>333-272989</w:t>
        </w:r>
        <w:r>
          <w:rPr>
            <w:rFonts w:ascii="Times New Roman" w:cs="Times New Roman" w:eastAsia="Times New Roman" w:hAnsi="Times New Roman"/>
            <w:sz w:val="18"/>
            <w:szCs w:val="18"/>
            <w:color w:val="auto"/>
          </w:rPr>
          <w:t xml:space="preserve">)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August 12,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2025</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August 12, 2025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Reports Second Quarter 2025 Results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Executing HPC/AI Growth Strategy with Industry-Leading Strategic Partners &amp; Robust Balance Sheet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Revenue of $78 million, up 87% Y/Y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Gross mining margin of 45%, down from 51% in Q2 2024 -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Master Site Plan for Panther Creek, PA data center campus submitted to Macquarie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Partnered with data center builder and operator T5 Data Centers to advance HPC/AI development at its Panther Creek campus in Pennsylvania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(August 12, 2025) </w:t>
      </w:r>
      <w:r>
        <w:rPr>
          <w:rFonts w:ascii="Times New Roman" w:cs="Times New Roman" w:eastAsia="Times New Roman" w:hAnsi="Times New Roman"/>
          <w:sz w:val="18"/>
          <w:szCs w:val="18"/>
          <w:color w:val="auto"/>
        </w:rPr>
        <w:t>- Bitfarms Ltd. (Nasdaq/TSX: BITF), a global energy and compute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reported its financial results for the second quarter ended June 30, 2025. All financial references are in U.S. dollars.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CEO Ben Gagnon stated, “Our North American energy portfolio positions Bitfarms to be a leader in HPC and AI infrastructure. With over 1 GW in our Pennsylvania pipeline, anchored by our flagship Panther Creek campus which is in close proximity to Amazon and CoreWeave sites, we aim to capture significant market share in what is quickly emerging as a new AI infrastructure hub. With additional energy strategically located in data center hotspots in Washington and Quebec, we are building a diversified, unique and scalable North American platform of robust energy and fiber infrastructure that is attracting significant interest from prospective clients. Coupled with strong political support for data center development in these regions, our strategic vision and pivot to the U.S. and to HPC &amp; AI infrastructure positions us as a key player to meet surging demand in the AI industrial revolution coast-to-coast.”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CFO Jeff Lucas stated, “We executed several key initiatives over the last four months, including the Panther Creek financing, the commitment to our transition to U.S. GAAP accounting in Q4 2025, the announcement of our second principal executive office in New York City, and the commencement of our corporate share buyback program. I am proud to report that we’ve already repurchased 10% of all shares available under the repurchase program, a testament to our strong belief that the market is significantly undervaluing our shares. With minimal 2025 capex remaining and strong liquidity comprised of a growing Bitcoin treasury, approximately $85 million in cash, a debt financing in place with Macquarie, and consistent cash flows from our mining operations, we are well-positioned to execute on our HPC/AI infrastructure, share buyback, and U.S. pivot strategies.”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HPC / AI Development</w:t>
      </w:r>
    </w:p>
    <w:p>
      <w:pPr>
        <w:spacing w:after="0" w:line="229"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Master Site Plan for HPC/AI development of Panther Creek campus to Macquarie Group under the previously announced $300 million debt facility.</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binding purchase and sale agreement for 180 acres of contiguous land at Panther Creek Campus, expected to be more than sufficient land for all 3 phases of the campus’ HPC/AI development.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data center builder and operator T5 Data Centers to advance HPC/AI development at Panther Creek Campus. The work will encompass comprehensive pre-construction project design planning and development approval processes.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binding purchase and sale agreement to more than double the acreage of Washington Campus, ensuring more than sufficient land for a full HPC/AI conversion.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Energy Portfolio</w:t>
      </w:r>
    </w:p>
    <w:p>
      <w:pPr>
        <w:spacing w:after="0" w:line="25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expanded Panther Creek energy capacity of 50 MW in 2026 and 300 MW as early as 2027 based on electricity service agreements from PPL Electric.</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Rebalanced energy portfolio to 410 MWuM with 82% in North America.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Megawatts under Active Development (MWuD) to 430 MW with 100% in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total multi-year MW pipeline of over 1.3 GW with over 80% in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Pivot &amp; Corporate Initiatives</w:t>
      </w:r>
    </w:p>
    <w:p>
      <w:pPr>
        <w:spacing w:after="0" w:line="256"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corporate share buyback program under which the Company is authorized to purchase up to 10% of the Company’s public float during the period starting on July 28, 2025 and ending on July 27, 2026.</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 8, 2025 purchased 4.9 million shares or 10% of shares available for repurchase at an average price of $1.24 per share.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second Principal Executive Office in NYC and commitment to convert to U.S. GAAP by year-end 2025 as part of broader strategy to redomicile to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Operations</w:t>
      </w:r>
    </w:p>
    <w:p>
      <w:pPr>
        <w:spacing w:after="0" w:line="256" w:lineRule="exact"/>
        <w:rPr>
          <w:sz w:val="20"/>
          <w:szCs w:val="20"/>
          <w:color w:val="auto"/>
        </w:rPr>
      </w:pPr>
    </w:p>
    <w:p>
      <w:pPr>
        <w:jc w:val="both"/>
        <w:ind w:left="660" w:hanging="328"/>
        <w:spacing w:after="0" w:line="23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it will discontinue operations at its mining operations in Argentina due to the previously-disclosed halting of the energy supply to the site since May 12, 2025 and future economic uncertainty in the region. The shut down of Argentina mining operation is expected to be completed by November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2025. Reduction in EHuM partially offset by improvement in other key operating metrics, namely fleet energy efficiency, average electricity price, direct hash cost, and uptime.</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proceeds from Argentina shut down of $18 million through the elimination of site remediation liabilities, recovery of prepaid deposits, reduction in lease expenses, free termination option and equipment sales. This is equivalent to over 2 years of free cash flow from Argentina mining operations with current economics.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all planned Bitcoin mining growth initiatives with an ending EH/s of 17.7 EHuM and efficiency of 17 w/TH, inclusive of Argentina shut down. There are no plans for additional miner purchases at this time. Over $25 million in miners being actively marketed for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2025 Financial Highlights</w:t>
      </w:r>
    </w:p>
    <w:p>
      <w:pPr>
        <w:spacing w:after="0" w:line="25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$78 million, up 87%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margin of 45%, down from 51% in Q2 2024</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general and administrative expenses (G&amp;A) of $18 million, compared to $11 million in Q2 2024, inclusive of Stronghold Digital personnel and other G&amp;A.</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$40 million, including non-cash impairment charge of $15 million in Argentina and non-cash depreciation of $37 million, compared to an operating loss of $24 million in Q2 2024</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$29 million, or $0.05 per basic and diluted share, compared to a net loss of $27 million, or $0.07 per basic and diluted share, in Q2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$14 million, or 18% of revenue, up from $11 million or 28% of revenue in Q2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718 BTC at an average direct cost of production per BTC* of $48,200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11, 2025, the Company had total liquidity of approximately $230 million comprised of approximately $85 million in cash and approximately $145 million in unencumbered Bitcoin.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2025 and Recent Financing Activities</w:t>
      </w:r>
    </w:p>
    <w:p>
      <w:pPr>
        <w:spacing w:after="0" w:line="256"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1,052 BTC at an average price of $95,500 for total proceeds of $100 million in Q2 2025. Earned 231 BTC and sold 85 BTC during July 2025, generating total proceeds of $10 million. A portion of the funds was used to pay capital expenditures to support the Company’s growth and efficiency improvement objectives and to supplement our Bitcoin One market operations program.</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11, 2025, the Company held 1,402 BTC.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January 24, 2025 through August 8, 2025, the Company issued zero shares through the ATM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$11 million in profits under the Bitcoin One program in its first six months. The program is currently undergoing strategic review.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Q1 2025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BTC received through hosting revenue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50"/>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Q2 2025</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Q1 2025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47,800</w:t>
            </w: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72,300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both"/>
        <w:ind w:firstLine="8"/>
        <w:spacing w:after="0" w:line="261" w:lineRule="auto"/>
        <w:tabs>
          <w:tab w:leader="none" w:pos="139"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8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unrestricted digital assets.</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 the energy consumption of miners.</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 Hosting revenue and energy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All Q2 2025 materials will be available before the call and can be accessed on the ‘Financial Results’ section of the Bitfarms investor site.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Toronto, ON and New York, NY and traded on the Nasdaq and Toronto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EHuM = Exahash Under Management, which includes Bitfarms’ proprietary hashrate and hashrate being hosted by Bitfarms for third-party hosting clients</w:t>
      </w:r>
    </w:p>
    <w:p>
      <w:pPr>
        <w:spacing w:after="0" w:line="18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GW or GWh = Gigawatts or gigawatt hour</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MWuM = Megawatts under management</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MWuD = Megawatts under active development</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Q/Q = Quarter over Quarter</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 Year over Year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5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the prospective location of the Company’s facilities to developing AI infrastructure regions, the merits of the expansion of the sites of current facilities, the potential to deploy the proceeds of the Macquarie Group financing facility at the Panther Creek location, the merits and ability to secure long-term contracts associated with HPC/AI customers, the success of the Company’s HPC/AI strategy in general and its ability to capitalize on growing demand for AI computing while securing predictable cash flows and revenue diversification, the benefits of the corporate share buyback program, the benefits of maintaining strong liquidity and controlled capex spending, the ability to enhance the business of the Company through retention of consulting groups to advance project development, the benefits of the transition to U.S. GAAP accounting and a second principal office in the U.S. as part of a broader U.S. pivot strategy, the merits of discontinuing operations in Argentina and controlling miner investment, whether the anticipated discontinuance of the Argentina mining operations will occur on time or at all, whether the anticipated benefits of the discontinuance of the Argentina mining operations will materialize on the anticipated timeline or at all, the merits of the BTC holding, monetization and Bitcoin One strategy, the Company’s energy pipeline and its anticipated megawatt growth, the Company’s ability to drive greater shareholder value, projected growth, target hashrate, and other statements regarding future growth, plans and objectives of the Company are forward-looking information.</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 w:name="page10"/>
    <w:bookmarkEnd w:id="9"/>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80" w:type="dxa"/>
            <w:vAlign w:val="bottom"/>
            <w:gridSpan w:val="10"/>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Bitfarms Ltd. Consolidated Financial &amp; Operational Results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in thousands except where</w:t>
            </w:r>
          </w:p>
        </w:tc>
        <w:tc>
          <w:tcPr>
            <w:tcW w:w="3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080" w:type="dxa"/>
            <w:vAlign w:val="bottom"/>
            <w:gridSpan w:val="2"/>
            <w:vMerge w:val="continue"/>
          </w:tcPr>
          <w:p>
            <w:pPr>
              <w:spacing w:after="0"/>
              <w:rPr>
                <w:sz w:val="16"/>
                <w:szCs w:val="16"/>
                <w:color w:val="auto"/>
              </w:rPr>
            </w:pPr>
          </w:p>
        </w:tc>
        <w:tc>
          <w:tcPr>
            <w:tcW w:w="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2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77,800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(83,280)</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(52,823)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(113,822)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(5,480)</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(6,022)</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0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(21,423)</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(41,596)</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(25,598)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30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disposition of property, plant</w:t>
            </w:r>
          </w:p>
        </w:tc>
        <w:tc>
          <w:tcPr>
            <w:tcW w:w="108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1,897</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nm</w:t>
            </w:r>
          </w:p>
        </w:tc>
        <w:tc>
          <w:tcPr>
            <w:tcW w:w="112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7,483</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equipment and deposits</w:t>
            </w:r>
          </w:p>
        </w:tc>
        <w:tc>
          <w:tcPr>
            <w:tcW w:w="1080" w:type="dxa"/>
            <w:vAlign w:val="bottom"/>
            <w:gridSpan w:val="2"/>
            <w:vMerge w:val="continue"/>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99</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1,798</w:t>
            </w:r>
          </w:p>
        </w:tc>
        <w:tc>
          <w:tcPr>
            <w:tcW w:w="104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269</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7,214</w:t>
            </w: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0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(31,850)</w:t>
            </w: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(39,626)</w:t>
            </w:r>
          </w:p>
        </w:tc>
        <w:tc>
          <w:tcPr>
            <w:tcW w:w="3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(23,578)</w:t>
            </w:r>
          </w:p>
        </w:tc>
        <w:tc>
          <w:tcPr>
            <w:tcW w:w="26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(16,048)</w:t>
            </w:r>
          </w:p>
        </w:tc>
        <w:tc>
          <w:tcPr>
            <w:tcW w:w="120" w:type="dxa"/>
            <w:vAlign w:val="bottom"/>
            <w:vMerge w:val="continue"/>
          </w:tcPr>
          <w:p>
            <w:pPr>
              <w:spacing w:after="0"/>
              <w:rPr>
                <w:sz w:val="17"/>
                <w:szCs w:val="17"/>
                <w:color w:val="auto"/>
              </w:rPr>
            </w:pPr>
          </w:p>
        </w:tc>
        <w:tc>
          <w:tcPr>
            <w:tcW w:w="104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(71,985)</w:t>
            </w:r>
          </w:p>
        </w:tc>
        <w:tc>
          <w:tcPr>
            <w:tcW w:w="300" w:type="dxa"/>
            <w:vAlign w:val="bottom"/>
            <w:vMerge w:val="continue"/>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(47,286)</w:t>
            </w:r>
          </w:p>
        </w:tc>
        <w:tc>
          <w:tcPr>
            <w:tcW w:w="28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(24,699)</w:t>
            </w:r>
          </w:p>
        </w:tc>
        <w:tc>
          <w:tcPr>
            <w:tcW w:w="120" w:type="dxa"/>
            <w:vAlign w:val="bottom"/>
            <w:vMerge w:val="continue"/>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7"/>
        </w:trPr>
        <w:tc>
          <w:tcPr>
            <w:tcW w:w="30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0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2,143</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(1,317)</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3,460</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1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4,253</w:t>
            </w: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10,126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(37,483</w:t>
            </w:r>
          </w:p>
        </w:tc>
        <w:tc>
          <w:tcPr>
            <w:tcW w:w="300" w:type="dxa"/>
            <w:vAlign w:val="bottom"/>
            <w:tcBorders>
              <w:top w:val="single" w:sz="8" w:color="CCEEFF"/>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(67,732</w:t>
            </w:r>
          </w:p>
        </w:tc>
        <w:tc>
          <w:tcPr>
            <w:tcW w:w="300" w:type="dxa"/>
            <w:vAlign w:val="bottom"/>
            <w:tcBorders>
              <w:top w:val="single" w:sz="8" w:color="CCEEFF"/>
              <w:bottom w:val="single" w:sz="8" w:color="CCEEFF"/>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0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8,639</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(1,704)</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10,343</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3,013</w:t>
            </w: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4,581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(28,844</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(64,719</w:t>
            </w:r>
          </w:p>
        </w:tc>
        <w:tc>
          <w:tcPr>
            <w:tcW w:w="30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loss per share (in</w:t>
            </w:r>
          </w:p>
        </w:tc>
        <w:tc>
          <w:tcPr>
            <w:tcW w:w="108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(0.05)</w:t>
            </w:r>
          </w:p>
        </w:tc>
        <w:tc>
          <w:tcPr>
            <w:tcW w:w="104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(0.07)</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(0.12)</w:t>
            </w:r>
          </w:p>
        </w:tc>
        <w:tc>
          <w:tcPr>
            <w:tcW w:w="108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(0.09)</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w:t>
            </w:r>
          </w:p>
        </w:tc>
        <w:tc>
          <w:tcPr>
            <w:tcW w:w="1080" w:type="dxa"/>
            <w:vAlign w:val="bottom"/>
            <w:gridSpan w:val="2"/>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8"/>
                <w:szCs w:val="18"/>
                <w:color w:val="auto"/>
              </w:rPr>
              <w:t>(5,455)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5"/>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10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23,003</w:t>
            </w:r>
          </w:p>
        </w:tc>
        <w:tc>
          <w:tcPr>
            <w:tcW w:w="1040" w:type="dxa"/>
            <w:vAlign w:val="bottom"/>
            <w:gridSpan w:val="2"/>
            <w:vMerge w:val="continue"/>
          </w:tcPr>
          <w:p>
            <w:pPr>
              <w:spacing w:after="0"/>
              <w:rPr>
                <w:sz w:val="22"/>
                <w:szCs w:val="22"/>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28,458</w:t>
            </w:r>
          </w:p>
        </w:tc>
        <w:tc>
          <w:tcPr>
            <w:tcW w:w="1040" w:type="dxa"/>
            <w:vAlign w:val="bottom"/>
            <w:gridSpan w:val="2"/>
            <w:vMerge w:val="continue"/>
          </w:tcPr>
          <w:p>
            <w:pPr>
              <w:spacing w:after="0"/>
              <w:rPr>
                <w:sz w:val="22"/>
                <w:szCs w:val="22"/>
                <w:color w:val="auto"/>
              </w:rPr>
            </w:pPr>
          </w:p>
        </w:tc>
        <w:tc>
          <w:tcPr>
            <w:tcW w:w="11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9,582</w:t>
            </w: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11,978</w:t>
            </w:r>
          </w:p>
        </w:tc>
        <w:tc>
          <w:tcPr>
            <w:tcW w:w="90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(5,841</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(55,137</w:t>
            </w:r>
          </w:p>
        </w:tc>
        <w:tc>
          <w:tcPr>
            <w:tcW w:w="30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32,367</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20,650</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11,717</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61,731</w:t>
            </w: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51,990</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9,741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6"/>
        </w:trPr>
        <w:tc>
          <w:tcPr>
            <w:tcW w:w="3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45%</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13,720</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11,466</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2,254</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28,806</w:t>
            </w: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34,790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7"/>
        </w:trPr>
        <w:tc>
          <w:tcPr>
            <w:tcW w:w="30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18%</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20%</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margin and Operating margin are supplemental financial ratios; refer to Section 9 - </w:t>
      </w:r>
      <w:r>
        <w:rPr>
          <w:rFonts w:ascii="Times New Roman" w:cs="Times New Roman" w:eastAsia="Times New Roman" w:hAnsi="Times New Roman"/>
          <w:sz w:val="18"/>
          <w:szCs w:val="18"/>
          <w:i w:val="1"/>
          <w:iCs w:val="1"/>
          <w:color w:val="auto"/>
        </w:rPr>
        <w:t>Non-IFRS and Other Financial Measures and Ratios of the</w:t>
      </w:r>
    </w:p>
    <w:p>
      <w:pPr>
        <w:spacing w:after="0" w:line="227"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9 - </w:t>
      </w:r>
      <w:r>
        <w:rPr>
          <w:rFonts w:ascii="Times New Roman" w:cs="Times New Roman" w:eastAsia="Times New Roman" w:hAnsi="Times New Roman"/>
          <w:sz w:val="18"/>
          <w:szCs w:val="18"/>
          <w:i w:val="1"/>
          <w:iCs w:val="1"/>
          <w:color w:val="auto"/>
        </w:rPr>
        <w:t>Non-IFRS and Other Financial Measures and Ratios of the Company’s MD&amp;A.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0220" w:type="dxa"/>
            <w:vAlign w:val="bottom"/>
            <w:gridSpan w:val="16"/>
          </w:tcPr>
          <w:p>
            <w:pPr>
              <w:ind w:left="1840"/>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Income (loss) to EBITDA and Adjusted EBITDA</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in thousands except where</w:t>
            </w:r>
          </w:p>
        </w:tc>
        <w:tc>
          <w:tcPr>
            <w:tcW w:w="4060" w:type="dxa"/>
            <w:vAlign w:val="bottom"/>
            <w:gridSpan w:val="8"/>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0" w:type="dxa"/>
            <w:vAlign w:val="bottom"/>
          </w:tcPr>
          <w:p>
            <w:pPr>
              <w:spacing w:after="0"/>
              <w:rPr>
                <w:sz w:val="24"/>
                <w:szCs w:val="24"/>
                <w:color w:val="auto"/>
              </w:rPr>
            </w:pPr>
          </w:p>
        </w:tc>
        <w:tc>
          <w:tcPr>
            <w:tcW w:w="22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60" w:type="dxa"/>
            <w:vAlign w:val="bottom"/>
            <w:gridSpan w:val="2"/>
            <w:vMerge w:val="continue"/>
          </w:tcPr>
          <w:p>
            <w:pPr>
              <w:spacing w:after="0"/>
              <w:rPr>
                <w:sz w:val="16"/>
                <w:szCs w:val="16"/>
                <w:color w:val="auto"/>
              </w:rPr>
            </w:pPr>
          </w:p>
        </w:tc>
        <w:tc>
          <w:tcPr>
            <w:tcW w:w="7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9"/>
              </w:rPr>
              <w:t>% Change</w:t>
            </w:r>
          </w:p>
        </w:tc>
        <w:tc>
          <w:tcPr>
            <w:tcW w:w="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(37,483)</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(24,895)</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(12,588)</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(67,732)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(37,160)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Interest income (expense)</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1,690</w:t>
            </w:r>
          </w:p>
        </w:tc>
        <w:tc>
          <w:tcPr>
            <w:tcW w:w="2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(1,693)</w:t>
            </w: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3,383</w:t>
            </w:r>
          </w:p>
        </w:tc>
        <w:tc>
          <w:tcPr>
            <w:tcW w:w="1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1,385</w:t>
            </w: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(1,995)</w:t>
            </w: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3,380</w:t>
            </w:r>
          </w:p>
        </w:tc>
        <w:tc>
          <w:tcPr>
            <w:tcW w:w="1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57,337</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(20,329)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96,314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(8,760)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(8,760)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continue"/>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gridSpan w:val="2"/>
            <w:vMerge w:val="continue"/>
          </w:tcPr>
          <w:p>
            <w:pPr>
              <w:spacing w:after="0"/>
              <w:rPr>
                <w:sz w:val="22"/>
                <w:szCs w:val="22"/>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vMerge w:val="continue"/>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c>
          <w:tcPr>
            <w:tcW w:w="10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21,989</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48,399</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7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3,615</w:t>
            </w:r>
          </w:p>
        </w:tc>
        <w:tc>
          <w:tcPr>
            <w:tcW w:w="2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8,052</w:t>
            </w:r>
          </w:p>
        </w:tc>
        <w:tc>
          <w:tcPr>
            <w:tcW w:w="2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14,620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14,620</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31,850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warrants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(5,763)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(420)</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40" w:type="dxa"/>
            <w:vAlign w:val="bottom"/>
            <w:gridSpan w:val="2"/>
            <w:vMerge w:val="continue"/>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40" w:type="dxa"/>
            <w:vAlign w:val="bottom"/>
            <w:gridSpan w:val="2"/>
            <w:vMerge w:val="continue"/>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 Hosting</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(945)</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4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Professional services not associated with</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1,671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ongoing operations</w:t>
            </w:r>
          </w:p>
        </w:tc>
        <w:tc>
          <w:tcPr>
            <w:tcW w:w="1040" w:type="dxa"/>
            <w:vAlign w:val="bottom"/>
            <w:gridSpan w:val="2"/>
            <w:vMerge w:val="continue"/>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3,096</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(3,096)</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vMerge w:val="continue"/>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3,096</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1"/>
        </w:trPr>
        <w:tc>
          <w:tcPr>
            <w:tcW w:w="31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6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 xml:space="preserve">and infrastructure and G&amp;A expenses </w:t>
            </w:r>
            <w:r>
              <w:rPr>
                <w:rFonts w:ascii="Times New Roman" w:cs="Times New Roman" w:eastAsia="Times New Roman" w:hAnsi="Times New Roman"/>
                <w:sz w:val="29"/>
                <w:szCs w:val="29"/>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(18,468)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18,468</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(16,081)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financial (income) expense and other</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(5,556)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(5,993)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3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13,720</w:t>
            </w:r>
          </w:p>
        </w:tc>
        <w:tc>
          <w:tcPr>
            <w:tcW w:w="2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28,806</w:t>
            </w:r>
          </w:p>
        </w:tc>
        <w:tc>
          <w:tcPr>
            <w:tcW w:w="2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 refer to Note 29b - Additional Details to the Statement of Profit or Loss and Comprehensive Profit or Loss (Canadian sales tax refund) to the 2024 Annual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9300" w:type="dxa"/>
            <w:vAlign w:val="bottom"/>
            <w:gridSpan w:val="25"/>
          </w:tcPr>
          <w:p>
            <w:pPr>
              <w:ind w:left="2720"/>
              <w:spacing w:after="0"/>
              <w:rPr>
                <w:sz w:val="20"/>
                <w:szCs w:val="20"/>
                <w:color w:val="auto"/>
              </w:rPr>
            </w:pPr>
            <w:r>
              <w:rPr>
                <w:rFonts w:ascii="Times New Roman" w:cs="Times New Roman" w:eastAsia="Times New Roman" w:hAnsi="Times New Roman"/>
                <w:sz w:val="18"/>
                <w:szCs w:val="18"/>
                <w:b w:val="1"/>
                <w:bCs w:val="1"/>
                <w:color w:val="auto"/>
              </w:rPr>
              <w:t>Bitfarms Ltd. Calculation of Gross Mining Profit and Gross Mining Margin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in thousands except where</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6"/>
                <w:szCs w:val="16"/>
                <w:color w:val="auto"/>
              </w:rPr>
            </w:pPr>
          </w:p>
        </w:tc>
        <w:tc>
          <w:tcPr>
            <w:tcW w:w="8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64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color w:val="auto"/>
              </w:rPr>
              <w:t>$ Change  % Change</w:t>
            </w:r>
          </w:p>
        </w:tc>
        <w:tc>
          <w:tcPr>
            <w:tcW w:w="6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49"/>
        </w:trPr>
        <w:tc>
          <w:tcPr>
            <w:tcW w:w="3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(5,480</w:t>
            </w:r>
          </w:p>
        </w:tc>
        <w:tc>
          <w:tcPr>
            <w:tcW w:w="240" w:type="dxa"/>
            <w:vAlign w:val="bottom"/>
            <w:tcBorders>
              <w:top w:val="single" w:sz="8" w:color="CCEEFF"/>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(6,022</w:t>
            </w:r>
          </w:p>
        </w:tc>
        <w:tc>
          <w:tcPr>
            <w:tcW w:w="18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Non-Mining revenues¹</w:t>
            </w:r>
          </w:p>
        </w:tc>
        <w:tc>
          <w:tcPr>
            <w:tcW w:w="140" w:type="dxa"/>
            <w:vAlign w:val="bottom"/>
          </w:tcPr>
          <w:p>
            <w:pPr>
              <w:spacing w:after="0"/>
              <w:rPr>
                <w:sz w:val="17"/>
                <w:szCs w:val="17"/>
                <w:color w:val="auto"/>
              </w:rPr>
            </w:pPr>
          </w:p>
        </w:tc>
        <w:tc>
          <w:tcPr>
            <w:tcW w:w="6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(6,508)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(8,493)</w:t>
            </w:r>
          </w:p>
        </w:tc>
        <w:tc>
          <w:tcPr>
            <w:tcW w:w="1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gridSpan w:val="4"/>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37,008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57,337</w:t>
            </w:r>
          </w:p>
        </w:tc>
        <w:tc>
          <w:tcPr>
            <w:tcW w:w="1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(20,329)</w:t>
            </w: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66,701</w:t>
            </w:r>
          </w:p>
        </w:tc>
        <w:tc>
          <w:tcPr>
            <w:tcW w:w="960" w:type="dxa"/>
            <w:vAlign w:val="bottom"/>
            <w:tcBorders>
              <w:left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96,314</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(29,613)</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880" w:type="dxa"/>
            <w:vAlign w:val="bottom"/>
            <w:gridSpan w:val="4"/>
            <w:vMerge w:val="restart"/>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6,517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7,838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6,517</w:t>
            </w: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4"/>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(8,760)</w:t>
            </w:r>
          </w:p>
        </w:tc>
        <w:tc>
          <w:tcPr>
            <w:tcW w:w="12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c>
          <w:tcPr>
            <w:tcW w:w="160" w:type="dxa"/>
            <w:vAlign w:val="bottom"/>
            <w:tcBorders>
              <w:lef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9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4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88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830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1,707</w:t>
            </w: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4"/>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infrastructure²</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4"/>
            <w:vMerge w:val="continue"/>
            <w:shd w:val="clear" w:color="auto" w:fill="CCEEFF"/>
          </w:tcPr>
          <w:p>
            <w:pPr>
              <w:spacing w:after="0"/>
              <w:rPr>
                <w:sz w:val="20"/>
                <w:szCs w:val="20"/>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(16,366)</w:t>
            </w:r>
          </w:p>
        </w:tc>
        <w:tc>
          <w:tcPr>
            <w:tcW w:w="12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Borders>
              <w:lef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96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4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w:t>
            </w:r>
          </w:p>
        </w:tc>
        <w:tc>
          <w:tcPr>
            <w:tcW w:w="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20" w:type="dxa"/>
            <w:vAlign w:val="bottom"/>
            <w:tcBorders>
              <w:left w:val="single" w:sz="8" w:color="CCEEFF"/>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tcBorders>
              <w:right w:val="single" w:sz="8" w:color="CCEEFF"/>
            </w:tcBorders>
            <w:vMerge w:val="restart"/>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32,367</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22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20" w:type="dxa"/>
            <w:vAlign w:val="bottom"/>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61,731</w:t>
            </w:r>
          </w:p>
        </w:tc>
        <w:tc>
          <w:tcPr>
            <w:tcW w:w="180" w:type="dxa"/>
            <w:vAlign w:val="bottom"/>
            <w:vMerge w:val="continue"/>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8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4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1"/>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gridSpan w:val="2"/>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80" w:type="dxa"/>
            <w:vAlign w:val="bottom"/>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49"/>
        </w:trPr>
        <w:tc>
          <w:tcPr>
            <w:tcW w:w="334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2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6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144,648</w:t>
            </w:r>
          </w:p>
        </w:tc>
        <w:tc>
          <w:tcPr>
            <w:tcW w:w="12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91,865</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71"/>
        </w:trPr>
        <w:tc>
          <w:tcPr>
            <w:tcW w:w="334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Less Mining related revenues for the purpose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 calculating gross Mining margin:</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revenues³</w:t>
            </w:r>
          </w:p>
        </w:tc>
        <w:tc>
          <w:tcPr>
            <w:tcW w:w="10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(71,292)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(30,909)</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(136,155)</w:t>
            </w:r>
          </w:p>
        </w:tc>
        <w:tc>
          <w:tcPr>
            <w:tcW w:w="1100" w:type="dxa"/>
            <w:vAlign w:val="bottom"/>
            <w:tcBorders>
              <w:left w:val="single" w:sz="8" w:color="CCEEFF"/>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(89,806)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(46,349)</w:t>
            </w:r>
          </w:p>
        </w:tc>
        <w:tc>
          <w:tcPr>
            <w:tcW w:w="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6,508</w:t>
            </w: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8,493</w:t>
            </w: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recovery relating to energy and infrastructure expenses has been allocated to their respective periods; refer to Note 29b - Additional Details to the Statement of Profit or Loss and Comprehensive Profit or Loss (Canadian sales tax refund) to the 2024 Annual Financial Statements.</w:t>
      </w:r>
    </w:p>
    <w:p>
      <w:pPr>
        <w:ind w:left="340" w:hanging="332"/>
        <w:spacing w:after="0" w:line="26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320" w:type="dxa"/>
            <w:vAlign w:val="bottom"/>
            <w:gridSpan w:val="12"/>
          </w:tcPr>
          <w:p>
            <w:pPr>
              <w:ind w:left="310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50"/>
        </w:trPr>
        <w:tc>
          <w:tcPr>
            <w:tcW w:w="33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3"/>
        </w:trPr>
        <w:tc>
          <w:tcPr>
            <w:tcW w:w="34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(37,008)</w:t>
            </w: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(57,337)</w:t>
            </w: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20,329</w:t>
            </w: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(66,701)</w:t>
            </w: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(96,314)</w:t>
            </w: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29,613</w:t>
            </w: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(2,857)</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(3,673)</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gridSpan w:val="2"/>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(3,673)</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gridSpan w:val="2"/>
            <w:vMerge w:val="continue"/>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(8,760)</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(15,334)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(14,412)</w:t>
            </w: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nm</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(19,011)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98"/>
        </w:trPr>
        <w:tc>
          <w:tcPr>
            <w:tcW w:w="3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Infrastructure expenses related to self-</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7,321</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8,329</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energy for mining</w:t>
            </w:r>
          </w:p>
        </w:tc>
        <w:tc>
          <w:tcPr>
            <w:tcW w:w="940" w:type="dxa"/>
            <w:vAlign w:val="bottom"/>
            <w:gridSpan w:val="2"/>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7,321</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8,329</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3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44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 xml:space="preserve">infrastructure </w:t>
            </w:r>
            <w:r>
              <w:rPr>
                <w:rFonts w:ascii="Times New Roman" w:cs="Times New Roman" w:eastAsia="Times New Roman" w:hAnsi="Times New Roman"/>
                <w:sz w:val="29"/>
                <w:szCs w:val="29"/>
                <w:color w:val="auto"/>
                <w:vertAlign w:val="superscript"/>
              </w:rPr>
              <w:t>(1)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16,366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14,338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34,572</w:t>
            </w: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67,907</w:t>
            </w:r>
          </w:p>
        </w:tc>
        <w:tc>
          <w:tcPr>
            <w:tcW w:w="1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w:t>
            </w: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w:t>
            </w:r>
          </w:p>
        </w:tc>
        <w:tc>
          <w:tcPr>
            <w:tcW w:w="120" w:type="dxa"/>
            <w:vAlign w:val="bottom"/>
            <w:vMerge w:val="continue"/>
            <w:shd w:val="clear" w:color="auto" w:fill="CCEEFF"/>
          </w:tcPr>
          <w:p>
            <w:pPr>
              <w:spacing w:after="0"/>
              <w:rPr>
                <w:sz w:val="18"/>
                <w:szCs w:val="18"/>
                <w:color w:val="auto"/>
              </w:rPr>
            </w:pP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48,200</w:t>
            </w: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48,100</w:t>
            </w: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recovery relating to energy and infrastructure has been allocated to its respective periods; refer to Note 29b - Additional Details to the Statement of Profit or Loss and Comprehensive Profit or Loss (Canadian sales tax refund) to the 2024 Annual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320" w:type="dxa"/>
            <w:vAlign w:val="bottom"/>
            <w:gridSpan w:val="11"/>
          </w:tcPr>
          <w:p>
            <w:pPr>
              <w:ind w:left="2960"/>
              <w:spacing w:after="0"/>
              <w:rPr>
                <w:sz w:val="20"/>
                <w:szCs w:val="20"/>
                <w:color w:val="auto"/>
              </w:rPr>
            </w:pPr>
            <w:r>
              <w:rPr>
                <w:rFonts w:ascii="Times New Roman" w:cs="Times New Roman" w:eastAsia="Times New Roman" w:hAnsi="Times New Roman"/>
                <w:sz w:val="18"/>
                <w:szCs w:val="18"/>
                <w:b w:val="1"/>
                <w:bCs w:val="1"/>
                <w:color w:val="auto"/>
                <w:w w:val="99"/>
              </w:rPr>
              <w:t>Bitfarms Ltd. Calculation of Total Cash Cost and Total Cost per BTC</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440" w:type="dxa"/>
            <w:vAlign w:val="bottom"/>
          </w:tcPr>
          <w:p>
            <w:pPr>
              <w:spacing w:after="0"/>
              <w:rPr>
                <w:sz w:val="24"/>
                <w:szCs w:val="24"/>
                <w:color w:val="auto"/>
              </w:rPr>
            </w:pPr>
          </w:p>
        </w:tc>
        <w:tc>
          <w:tcPr>
            <w:tcW w:w="366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120" w:type="dxa"/>
            <w:vAlign w:val="bottom"/>
            <w:shd w:val="clear" w:color="auto" w:fill="CCEEFF"/>
          </w:tcPr>
          <w:p>
            <w:pPr>
              <w:spacing w:after="0"/>
              <w:rPr>
                <w:sz w:val="18"/>
                <w:szCs w:val="18"/>
                <w:color w:val="auto"/>
              </w:rPr>
            </w:pP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21,423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9,021</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41,596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344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40" w:type="dxa"/>
            <w:vAlign w:val="bottom"/>
            <w:tcBorders>
              <w:left w:val="single" w:sz="8" w:color="auto"/>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104,703</w:t>
            </w: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w:t>
            </w:r>
          </w:p>
        </w:tc>
        <w:tc>
          <w:tcPr>
            <w:tcW w:w="1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192,266</w:t>
            </w:r>
          </w:p>
        </w:tc>
        <w:tc>
          <w:tcPr>
            <w:tcW w:w="1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52,846</w:t>
            </w:r>
          </w:p>
        </w:tc>
        <w:tc>
          <w:tcPr>
            <w:tcW w:w="120" w:type="dxa"/>
            <w:vAlign w:val="bottom"/>
            <w:vMerge w:val="continue"/>
            <w:shd w:val="clear" w:color="auto" w:fill="CCEEFF"/>
          </w:tcPr>
          <w:p>
            <w:pPr>
              <w:spacing w:after="0"/>
              <w:rPr>
                <w:sz w:val="18"/>
                <w:szCs w:val="18"/>
                <w:color w:val="auto"/>
              </w:rPr>
            </w:pP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(37,008)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(57,337)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(66,701)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(96,314)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4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gridSpan w:val="2"/>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 related to hosting and energy</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(8,304)</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gridSpan w:val="2"/>
            <w:vMerge w:val="continue"/>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(6,930)</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3440" w:type="dxa"/>
            <w:vAlign w:val="bottom"/>
            <w:tcBorders>
              <w:right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(1,750)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(3,615)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(8,052)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(3,283)</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Professional services not associated with</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(1,671)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940" w:type="dxa"/>
            <w:vAlign w:val="bottom"/>
            <w:gridSpan w:val="2"/>
            <w:vMerge w:val="continue"/>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3,096</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1"/>
        </w:trPr>
        <w:tc>
          <w:tcPr>
            <w:tcW w:w="3440" w:type="dxa"/>
            <w:vAlign w:val="bottom"/>
            <w:tcBorders>
              <w:right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40" w:type="dxa"/>
            <w:vAlign w:val="bottom"/>
            <w:tcBorders>
              <w:right w:val="single" w:sz="8" w:color="CCEEFF"/>
            </w:tcBorders>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infrastructure and G&amp;A expenses </w:t>
            </w:r>
            <w:r>
              <w:rPr>
                <w:rFonts w:ascii="Times New Roman" w:cs="Times New Roman" w:eastAsia="Times New Roman" w:hAnsi="Times New Roman"/>
                <w:sz w:val="29"/>
                <w:szCs w:val="29"/>
                <w:color w:val="auto"/>
                <w:vertAlign w:val="superscript"/>
              </w:rPr>
              <w:t>(1)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18,468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(16,081)</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4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40" w:type="dxa"/>
            <w:vAlign w:val="bottom"/>
            <w:tcBorders>
              <w:left w:val="single" w:sz="8" w:color="auto"/>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Borders>
              <w:right w:val="single" w:sz="8" w:color="CCEEFF"/>
            </w:tcBorders>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55,355</w:t>
            </w: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12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104,081</w:t>
            </w:r>
          </w:p>
        </w:tc>
        <w:tc>
          <w:tcPr>
            <w:tcW w:w="1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55,342</w:t>
            </w:r>
          </w:p>
        </w:tc>
        <w:tc>
          <w:tcPr>
            <w:tcW w:w="1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120" w:type="dxa"/>
            <w:vAlign w:val="bottom"/>
            <w:vMerge w:val="continue"/>
            <w:shd w:val="clear" w:color="auto" w:fill="CCEEFF"/>
          </w:tcPr>
          <w:p>
            <w:pPr>
              <w:spacing w:after="0"/>
              <w:rPr>
                <w:sz w:val="18"/>
                <w:szCs w:val="18"/>
                <w:color w:val="auto"/>
              </w:rPr>
            </w:pP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77,100</w:t>
            </w: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73,800</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left w:val="single" w:sz="8" w:color="auto"/>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7"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 refer to Note 29b - Additional Details to the Statement of Profit or Loss and Comprehensive Profit or Loss (Canadian sales tax refund) to the 2024 Annual Financial Statements.</w:t>
      </w:r>
    </w:p>
    <w:p>
      <w:pPr>
        <w:spacing w:after="0" w:line="1" w:lineRule="exact"/>
        <w:rPr>
          <w:sz w:val="20"/>
          <w:szCs w:val="20"/>
          <w:color w:val="auto"/>
        </w:rPr>
      </w:pPr>
    </w:p>
    <w:p>
      <w:pPr>
        <w:ind w:left="5540" w:right="3240" w:hanging="5532"/>
        <w:spacing w:after="0" w:line="761" w:lineRule="auto"/>
        <w:tabs>
          <w:tab w:leader="none" w:pos="3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service expense, included in infrastructure, which was exchanged for computational power sold.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1"/>
      <w:numFmt w:val="bullet"/>
      <w:start w:val="1"/>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1"/>
      <w:numFmt w:val="bullet"/>
      <w:start w:val="1"/>
    </w:lvl>
  </w:abstractNum>
  <w:abstractNum w:abstractNumId="18">
    <w:nsid w:val="7C83E45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2025-08-12T16:22:59Z</dcterms:created>
  <dcterms:modified xsi:type="dcterms:W3CDTF">2025-08-12T16:22:59Z</dcterms:modified>
</cp:coreProperties>
</file>