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-803275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0001812477</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Bitfarms Ltd</w:t>
      </w:r>
    </w:p>
    <w:p>
      <w:pPr>
        <w:spacing w:after="0" w:line="40" w:lineRule="exact"/>
        <w:rPr>
          <w:sz w:val="24"/>
          <w:szCs w:val="24"/>
          <w:color w:val="auto"/>
        </w:rPr>
      </w:pPr>
    </w:p>
    <w:p>
      <w:pPr>
        <w:jc w:val="center"/>
        <w:ind w:right="3074"/>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jc w:val="center"/>
        <w:ind w:right="3074"/>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Over Five Years Ago</w:t>
      </w:r>
    </w:p>
    <w:p>
      <w:pPr>
        <w:spacing w:after="0" w:line="44" w:lineRule="exact"/>
        <w:rPr>
          <w:sz w:val="24"/>
          <w:szCs w:val="24"/>
          <w:color w:val="auto"/>
        </w:rPr>
      </w:pPr>
    </w:p>
    <w:p>
      <w:pPr>
        <w:ind w:left="300" w:right="2734" w:hanging="215"/>
        <w:spacing w:after="0" w:line="309" w:lineRule="auto"/>
        <w:rPr>
          <w:sz w:val="20"/>
          <w:szCs w:val="20"/>
          <w:color w:val="auto"/>
        </w:rPr>
      </w:pPr>
      <w:r>
        <w:rPr>
          <w:rFonts w:ascii="Times New Roman" w:cs="Times New Roman" w:eastAsia="Times New Roman" w:hAnsi="Times New Roman"/>
          <w:sz w:val="22"/>
          <w:szCs w:val="22"/>
          <w:color w:val="auto"/>
        </w:rPr>
        <w:t>X Within Last Five Years (Specify Year) 2018 Yet to Be Formed</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 Principal Place of Business and Contact Information</w:t>
      </w:r>
    </w:p>
    <w:p>
      <w:pPr>
        <w:spacing w:after="0" w:line="254"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4"/>
          <w:szCs w:val="24"/>
          <w:color w:val="auto"/>
        </w:rPr>
      </w:pPr>
      <w:r>
        <w:rPr>
          <w:sz w:val="24"/>
          <w:szCs w:val="24"/>
          <w:color w:val="auto"/>
        </w:rPr>
        <w:br w:type="column"/>
      </w:r>
    </w:p>
    <w:p>
      <w:pPr>
        <w:ind w:left="286" w:right="1020" w:hanging="286"/>
        <w:spacing w:after="0" w:line="281" w:lineRule="auto"/>
        <w:tabs>
          <w:tab w:leader="none" w:pos="28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 Limited Partnership Limited Liability Company General Partnership Business Trust</w:t>
      </w:r>
    </w:p>
    <w:p>
      <w:pPr>
        <w:spacing w:after="0" w:line="4" w:lineRule="exact"/>
        <w:rPr>
          <w:rFonts w:ascii="Times New Roman" w:cs="Times New Roman" w:eastAsia="Times New Roman" w:hAnsi="Times New Roman"/>
          <w:sz w:val="22"/>
          <w:szCs w:val="22"/>
          <w:color w:val="auto"/>
        </w:rPr>
      </w:pPr>
    </w:p>
    <w:p>
      <w:pPr>
        <w:ind w:left="28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510" w:lineRule="exact"/>
        <w:rPr>
          <w:sz w:val="24"/>
          <w:szCs w:val="24"/>
          <w:color w:val="auto"/>
        </w:rPr>
      </w:pPr>
    </w:p>
    <w:p>
      <w:pPr>
        <w:sectPr>
          <w:pgSz w:w="11900" w:h="16838" w:orient="portrait"/>
          <w:cols w:equalWidth="0" w:num="2">
            <w:col w:w="6834" w:space="720"/>
            <w:col w:w="3686"/>
          </w:cols>
          <w:pgMar w:left="320" w:top="315" w:right="33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4220" w:type="dxa"/>
            <w:vAlign w:val="bottom"/>
            <w:gridSpan w:val="2"/>
          </w:tcPr>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0" w:type="dxa"/>
            <w:vAlign w:val="bottom"/>
            <w:gridSpan w:val="2"/>
          </w:tcPr>
          <w:p>
            <w:pPr>
              <w:ind w:left="380"/>
              <w:spacing w:after="0"/>
              <w:rPr>
                <w:sz w:val="20"/>
                <w:szCs w:val="20"/>
                <w:color w:val="auto"/>
              </w:rPr>
            </w:pPr>
            <w:r>
              <w:rPr>
                <w:rFonts w:ascii="Times New Roman" w:cs="Times New Roman" w:eastAsia="Times New Roman" w:hAnsi="Times New Roman"/>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2580" w:type="dxa"/>
            <w:vAlign w:val="bottom"/>
            <w:gridSpan w:val="2"/>
          </w:tcPr>
          <w:p>
            <w:pPr>
              <w:ind w:left="5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3580" w:type="dxa"/>
            <w:vAlign w:val="bottom"/>
          </w:tcPr>
          <w:p>
            <w:pPr>
              <w:jc w:val="right"/>
              <w:ind w:right="1172"/>
              <w:spacing w:after="0"/>
              <w:rPr>
                <w:sz w:val="20"/>
                <w:szCs w:val="20"/>
                <w:color w:val="auto"/>
              </w:rPr>
            </w:pPr>
            <w:r>
              <w:rPr>
                <w:rFonts w:ascii="Times New Roman" w:cs="Times New Roman" w:eastAsia="Times New Roman" w:hAnsi="Times New Roman"/>
                <w:sz w:val="22"/>
                <w:szCs w:val="22"/>
                <w:b w:val="1"/>
                <w:bCs w:val="1"/>
                <w:color w:val="auto"/>
                <w:w w:val="99"/>
              </w:rPr>
              <w:t>Phone Number of Issuer</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2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ONTARIO, CANADA</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M4G 3A1</w:t>
            </w:r>
          </w:p>
        </w:tc>
        <w:tc>
          <w:tcPr>
            <w:tcW w:w="4800" w:type="dxa"/>
            <w:vAlign w:val="bottom"/>
            <w:gridSpan w:val="2"/>
          </w:tcPr>
          <w:p>
            <w:pPr>
              <w:jc w:val="right"/>
              <w:ind w:right="2312"/>
              <w:spacing w:after="0"/>
              <w:rPr>
                <w:sz w:val="20"/>
                <w:szCs w:val="20"/>
                <w:color w:val="auto"/>
              </w:rPr>
            </w:pPr>
            <w:r>
              <w:rPr>
                <w:rFonts w:ascii="Times New Roman" w:cs="Times New Roman" w:eastAsia="Times New Roman" w:hAnsi="Times New Roman"/>
                <w:sz w:val="22"/>
                <w:szCs w:val="22"/>
                <w:color w:val="auto"/>
              </w:rPr>
              <w:t>416 804-8535</w:t>
            </w:r>
          </w:p>
        </w:tc>
      </w:tr>
      <w:tr>
        <w:trPr>
          <w:trHeight w:val="499"/>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Finkielsztain</w:t>
            </w:r>
          </w:p>
        </w:tc>
        <w:tc>
          <w:tcPr>
            <w:tcW w:w="1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Andres</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920" w:type="dxa"/>
            <w:vAlign w:val="bottom"/>
            <w:gridSpan w:val="3"/>
          </w:tcPr>
          <w:p>
            <w:pPr>
              <w:jc w:val="center"/>
              <w:ind w:left="10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9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ONTARIO, CANADA</w:t>
            </w:r>
          </w:p>
        </w:tc>
        <w:tc>
          <w:tcPr>
            <w:tcW w:w="12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M4G 3A1</w:t>
            </w:r>
          </w:p>
        </w:tc>
        <w:tc>
          <w:tcPr>
            <w:tcW w:w="358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Executive Officer X Director</w:t>
            </w:r>
          </w:p>
        </w:tc>
        <w:tc>
          <w:tcPr>
            <w:tcW w:w="8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Promoter</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99"/>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1"/>
        </w:trPr>
        <w:tc>
          <w:tcPr>
            <w:tcW w:w="252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r>
      <w:tr>
        <w:trPr>
          <w:trHeight w:val="403"/>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Grodzki</w:t>
            </w:r>
          </w:p>
        </w:tc>
        <w:tc>
          <w:tcPr>
            <w:tcW w:w="1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9"/>
              </w:rPr>
              <w:t>Emiliano</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700" w:type="dxa"/>
            <w:vAlign w:val="bottom"/>
          </w:tcPr>
          <w:p>
            <w:pPr>
              <w:spacing w:after="0"/>
              <w:rPr>
                <w:sz w:val="24"/>
                <w:szCs w:val="24"/>
                <w:color w:val="auto"/>
              </w:rPr>
            </w:pPr>
          </w:p>
        </w:tc>
        <w:tc>
          <w:tcPr>
            <w:tcW w:w="2220" w:type="dxa"/>
            <w:vAlign w:val="bottom"/>
            <w:gridSpan w:val="2"/>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920" w:type="dxa"/>
            <w:vAlign w:val="bottom"/>
            <w:gridSpan w:val="3"/>
          </w:tcPr>
          <w:p>
            <w:pPr>
              <w:jc w:val="center"/>
              <w:ind w:left="10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1220" w:type="dxa"/>
            <w:vAlign w:val="bottom"/>
          </w:tcPr>
          <w:p>
            <w:pPr>
              <w:spacing w:after="0"/>
              <w:rPr>
                <w:sz w:val="24"/>
                <w:szCs w:val="24"/>
                <w:color w:val="auto"/>
              </w:rPr>
            </w:pPr>
          </w:p>
        </w:tc>
        <w:tc>
          <w:tcPr>
            <w:tcW w:w="3580" w:type="dxa"/>
            <w:vAlign w:val="bottom"/>
          </w:tcPr>
          <w:p>
            <w:pPr>
              <w:jc w:val="center"/>
              <w:ind w:right="19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3920" w:type="dxa"/>
            <w:vAlign w:val="bottom"/>
            <w:gridSpan w:val="3"/>
          </w:tcPr>
          <w:p>
            <w:pPr>
              <w:ind w:left="880"/>
              <w:spacing w:after="0"/>
              <w:rPr>
                <w:sz w:val="20"/>
                <w:szCs w:val="20"/>
                <w:color w:val="auto"/>
              </w:rPr>
            </w:pPr>
            <w:r>
              <w:rPr>
                <w:rFonts w:ascii="Times New Roman" w:cs="Times New Roman" w:eastAsia="Times New Roman" w:hAnsi="Times New Roman"/>
                <w:sz w:val="22"/>
                <w:szCs w:val="22"/>
                <w:color w:val="auto"/>
              </w:rPr>
              <w:t>ONTARIO, CANADA</w:t>
            </w:r>
          </w:p>
        </w:tc>
        <w:tc>
          <w:tcPr>
            <w:tcW w:w="12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M4G 3A1</w:t>
            </w:r>
          </w:p>
        </w:tc>
        <w:tc>
          <w:tcPr>
            <w:tcW w:w="3580" w:type="dxa"/>
            <w:vAlign w:val="bottom"/>
          </w:tcPr>
          <w:p>
            <w:pPr>
              <w:spacing w:after="0"/>
              <w:rPr>
                <w:sz w:val="24"/>
                <w:szCs w:val="24"/>
                <w:color w:val="auto"/>
              </w:rPr>
            </w:pPr>
          </w:p>
        </w:tc>
      </w:tr>
      <w:tr>
        <w:trPr>
          <w:trHeight w:val="324"/>
        </w:trPr>
        <w:tc>
          <w:tcPr>
            <w:tcW w:w="422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Promoter</w:t>
            </w:r>
          </w:p>
        </w:tc>
        <w:tc>
          <w:tcPr>
            <w:tcW w:w="122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Vachon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Mathieu</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M4G 3A1</w:t>
            </w:r>
          </w:p>
        </w:tc>
      </w:tr>
      <w:tr>
        <w:trPr>
          <w:trHeight w:val="324"/>
        </w:trPr>
        <w:tc>
          <w:tcPr>
            <w:tcW w:w="422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Bonta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Nicolas</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M4G 3A1</w:t>
            </w:r>
          </w:p>
        </w:tc>
      </w:tr>
      <w:tr>
        <w:trPr>
          <w:trHeight w:val="324"/>
        </w:trPr>
        <w:tc>
          <w:tcPr>
            <w:tcW w:w="422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Seccareccia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Pierre</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M4G 3A1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Howlett</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Brian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M4G 3A1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4"/>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Morphy</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Geoffrey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M4G 3A1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102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Director</w:t>
            </w:r>
          </w:p>
        </w:tc>
        <w:tc>
          <w:tcPr>
            <w:tcW w:w="2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Ferrara</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Mauro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02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1376 BAYVIEW AVE</w:t>
            </w:r>
          </w:p>
        </w:tc>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TORONTO</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ONTARIO, CANADA</w:t>
            </w:r>
          </w:p>
        </w:tc>
        <w:tc>
          <w:tcPr>
            <w:tcW w:w="48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M4G 3A1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-8682355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-8690610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-6813550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-6821805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-4944745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-3075940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-3084195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-1207135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9" w:right="339" w:bottom="0" w:gutter="0" w:footer="0" w:header="0"/>
        </w:sectPr>
      </w:pPr>
    </w:p>
    <w:bookmarkStart w:id="2" w:name="page3"/>
    <w:bookmarkEnd w:id="2"/>
    <w:p>
      <w:pPr>
        <w:ind w:left="60"/>
        <w:spacing w:after="0"/>
        <w:tabs>
          <w:tab w:leader="none" w:pos="3300" w:val="left"/>
          <w:tab w:leader="none" w:pos="4240" w:val="left"/>
        </w:tabs>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r>
        <w:rPr>
          <w:sz w:val="20"/>
          <w:szCs w:val="20"/>
          <w:color w:val="auto"/>
        </w:rPr>
        <w:tab/>
      </w:r>
      <w:r>
        <w:rPr>
          <w:rFonts w:ascii="Times New Roman" w:cs="Times New Roman" w:eastAsia="Times New Roman" w:hAnsi="Times New Roman"/>
          <w:sz w:val="22"/>
          <w:szCs w:val="22"/>
          <w:color w:val="auto"/>
        </w:rPr>
        <w:t>Director</w:t>
      </w:r>
      <w:r>
        <w:rPr>
          <w:sz w:val="20"/>
          <w:szCs w:val="20"/>
          <w:color w:val="auto"/>
        </w:rPr>
        <w:tab/>
      </w:r>
      <w:r>
        <w:rPr>
          <w:rFonts w:ascii="Times New Roman" w:cs="Times New Roman" w:eastAsia="Times New Roman" w:hAnsi="Times New Roman"/>
          <w:sz w:val="21"/>
          <w:szCs w:val="21"/>
          <w:color w:val="auto"/>
        </w:rPr>
        <w:t>Promoter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3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Biotechnology</w:t>
            </w:r>
          </w:p>
        </w:tc>
        <w:tc>
          <w:tcPr>
            <w:tcW w:w="29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9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9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92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9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20" w:right="939" w:firstLine="1847"/>
        <w:spacing w:after="0" w:line="316" w:lineRule="auto"/>
        <w:rPr>
          <w:sz w:val="20"/>
          <w:szCs w:val="20"/>
          <w:color w:val="auto"/>
        </w:rPr>
      </w:pPr>
      <w:r>
        <w:rPr>
          <w:rFonts w:ascii="Times New Roman" w:cs="Times New Roman" w:eastAsia="Times New Roman" w:hAnsi="Times New Roman"/>
          <w:sz w:val="22"/>
          <w:szCs w:val="22"/>
          <w:b w:val="1"/>
          <w:bCs w:val="1"/>
          <w:color w:val="auto"/>
        </w:rPr>
        <w:t xml:space="preserve">Aggregate Net Asset Value Range </w:t>
      </w:r>
      <w:r>
        <w:rPr>
          <w:rFonts w:ascii="Times New Roman" w:cs="Times New Roman" w:eastAsia="Times New Roman" w:hAnsi="Times New Roman"/>
          <w:sz w:val="22"/>
          <w:szCs w:val="22"/>
          <w:color w:val="auto"/>
        </w:rPr>
        <w:t>No Aggregate Net Asset Value $1 - $5,000,000</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08" w:right="1440" w:bottom="3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 Federal Exemption(s) and Exclusion(s) Claimed (select all that apply)</w:t>
      </w:r>
    </w:p>
    <w:p>
      <w:pPr>
        <w:sectPr>
          <w:pgSz w:w="11900" w:h="16838" w:orient="portrait"/>
          <w:cols w:equalWidth="0" w:num="1">
            <w:col w:w="10139"/>
          </w:cols>
          <w:pgMar w:left="320" w:top="108"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Investment Company Act Section 3(c)</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08" w:right="1440" w:bottom="3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680" w:type="dxa"/>
            <w:vAlign w:val="bottom"/>
          </w:tcPr>
          <w:p>
            <w:pPr>
              <w:spacing w:after="0"/>
              <w:rPr>
                <w:sz w:val="20"/>
                <w:szCs w:val="20"/>
                <w:color w:val="auto"/>
              </w:rPr>
            </w:pPr>
            <w:r>
              <w:rPr>
                <w:rFonts w:ascii="Times New Roman" w:cs="Times New Roman" w:eastAsia="Times New Roman" w:hAnsi="Times New Roman"/>
                <w:sz w:val="22"/>
                <w:szCs w:val="22"/>
                <w:color w:val="auto"/>
              </w:rPr>
              <w:t>7. Type of Filing</w:t>
            </w:r>
          </w:p>
        </w:tc>
        <w:tc>
          <w:tcPr>
            <w:tcW w:w="3040" w:type="dxa"/>
            <w:vAlign w:val="bottom"/>
          </w:tcPr>
          <w:p>
            <w:pPr>
              <w:spacing w:after="0"/>
              <w:rPr>
                <w:sz w:val="24"/>
                <w:szCs w:val="24"/>
                <w:color w:val="auto"/>
              </w:rPr>
            </w:pPr>
          </w:p>
        </w:tc>
      </w:tr>
      <w:tr>
        <w:trPr>
          <w:trHeight w:val="500"/>
        </w:trPr>
        <w:tc>
          <w:tcPr>
            <w:tcW w:w="8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New Notice  Date of First Sale 2021-01-06   First Sale Yet to Occur</w:t>
            </w:r>
          </w:p>
        </w:tc>
      </w:tr>
      <w:tr>
        <w:trPr>
          <w:trHeight w:val="297"/>
        </w:trPr>
        <w:tc>
          <w:tcPr>
            <w:tcW w:w="5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w:t>
            </w:r>
          </w:p>
        </w:tc>
        <w:tc>
          <w:tcPr>
            <w:tcW w:w="3040" w:type="dxa"/>
            <w:vAlign w:val="bottom"/>
          </w:tcPr>
          <w:p>
            <w:pPr>
              <w:spacing w:after="0"/>
              <w:rPr>
                <w:sz w:val="24"/>
                <w:szCs w:val="24"/>
                <w:color w:val="auto"/>
              </w:rPr>
            </w:pPr>
          </w:p>
        </w:tc>
      </w:tr>
      <w:tr>
        <w:trPr>
          <w:trHeight w:val="499"/>
        </w:trPr>
        <w:tc>
          <w:tcPr>
            <w:tcW w:w="5680" w:type="dxa"/>
            <w:vAlign w:val="bottom"/>
          </w:tcPr>
          <w:p>
            <w:pPr>
              <w:spacing w:after="0"/>
              <w:rPr>
                <w:sz w:val="20"/>
                <w:szCs w:val="20"/>
                <w:color w:val="auto"/>
              </w:rPr>
            </w:pPr>
            <w:r>
              <w:rPr>
                <w:rFonts w:ascii="Times New Roman" w:cs="Times New Roman" w:eastAsia="Times New Roman" w:hAnsi="Times New Roman"/>
                <w:sz w:val="22"/>
                <w:szCs w:val="22"/>
                <w:color w:val="auto"/>
              </w:rPr>
              <w:t>8. Duration of Offering</w:t>
            </w:r>
          </w:p>
        </w:tc>
        <w:tc>
          <w:tcPr>
            <w:tcW w:w="3040" w:type="dxa"/>
            <w:vAlign w:val="bottom"/>
          </w:tcPr>
          <w:p>
            <w:pPr>
              <w:spacing w:after="0"/>
              <w:rPr>
                <w:sz w:val="24"/>
                <w:szCs w:val="24"/>
                <w:color w:val="auto"/>
              </w:rPr>
            </w:pPr>
          </w:p>
        </w:tc>
      </w:tr>
      <w:tr>
        <w:trPr>
          <w:trHeight w:val="540"/>
        </w:trPr>
        <w:tc>
          <w:tcPr>
            <w:tcW w:w="5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Does the Issuer intend this offering to last more than one year?</w:t>
            </w:r>
          </w:p>
        </w:tc>
        <w:tc>
          <w:tcPr>
            <w:tcW w:w="3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Yes X No</w:t>
            </w:r>
          </w:p>
        </w:tc>
      </w:tr>
      <w:tr>
        <w:trPr>
          <w:trHeight w:val="540"/>
        </w:trPr>
        <w:tc>
          <w:tcPr>
            <w:tcW w:w="5680" w:type="dxa"/>
            <w:vAlign w:val="bottom"/>
          </w:tcPr>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tc>
        <w:tc>
          <w:tcPr>
            <w:tcW w:w="30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Equity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r>
      <w:tr>
        <w:trPr>
          <w:trHeight w:val="297"/>
        </w:trPr>
        <w:tc>
          <w:tcPr>
            <w:tcW w:w="5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Tenant-in-Common Securities</w:t>
            </w:r>
          </w:p>
        </w:tc>
      </w:tr>
      <w:tr>
        <w:trPr>
          <w:trHeight w:val="297"/>
        </w:trPr>
        <w:tc>
          <w:tcPr>
            <w:tcW w:w="5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Option, Warrant or Other Right to Acquire Another Security</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Mineral Property Securities</w:t>
            </w:r>
          </w:p>
        </w:tc>
      </w:tr>
      <w:tr>
        <w:trPr>
          <w:trHeight w:val="353"/>
        </w:trPr>
        <w:tc>
          <w:tcPr>
            <w:tcW w:w="5680" w:type="dxa"/>
            <w:vAlign w:val="bottom"/>
          </w:tcPr>
          <w:p>
            <w:pPr>
              <w:ind w:left="40"/>
              <w:spacing w:after="0" w:line="351" w:lineRule="exact"/>
              <w:rPr>
                <w:sz w:val="20"/>
                <w:szCs w:val="20"/>
                <w:color w:val="auto"/>
              </w:rPr>
            </w:pPr>
            <w:r>
              <w:rPr>
                <w:rFonts w:ascii="Times New Roman" w:cs="Times New Roman" w:eastAsia="Times New Roman" w:hAnsi="Times New Roman"/>
                <w:sz w:val="40"/>
                <w:szCs w:val="40"/>
                <w:color w:val="auto"/>
                <w:vertAlign w:val="subscript"/>
              </w:rPr>
              <w:t>X</w:t>
            </w:r>
            <w:r>
              <w:rPr>
                <w:rFonts w:ascii="Times New Roman" w:cs="Times New Roman" w:eastAsia="Times New Roman" w:hAnsi="Times New Roman"/>
                <w:sz w:val="21"/>
                <w:szCs w:val="21"/>
                <w:color w:val="auto"/>
              </w:rPr>
              <w:t xml:space="preserve"> Security to be Acquired Upon Exercise of Option, Warrant or</w:t>
            </w:r>
          </w:p>
        </w:tc>
        <w:tc>
          <w:tcPr>
            <w:tcW w:w="30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(describe)</w:t>
            </w:r>
          </w:p>
        </w:tc>
      </w:tr>
      <w:tr>
        <w:trPr>
          <w:trHeight w:val="282"/>
        </w:trPr>
        <w:tc>
          <w:tcPr>
            <w:tcW w:w="56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40" w:type="dxa"/>
            <w:vAlign w:val="bottom"/>
          </w:tcPr>
          <w:p>
            <w:pPr>
              <w:spacing w:after="0"/>
              <w:rPr>
                <w:sz w:val="24"/>
                <w:szCs w:val="24"/>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Canadian dollars were converted to US dollars for this Form D using the Bank of Canada exchange rate of one Canadian dollar for US$0.7883 in effect on January 6, 2021, the date on which Bitfarms Ltd. (the "Company") issued the securities reported herein.</w:t>
      </w:r>
    </w:p>
    <w:p>
      <w:pPr>
        <w:sectPr>
          <w:pgSz w:w="11900" w:h="16838" w:orient="portrait"/>
          <w:cols w:equalWidth="0" w:num="1">
            <w:col w:w="11160"/>
          </w:cols>
          <w:pgMar w:left="320" w:top="112" w:right="419" w:bottom="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80" w:type="dxa"/>
            <w:vAlign w:val="bottom"/>
          </w:tcPr>
          <w:p>
            <w:pPr>
              <w:spacing w:after="0"/>
              <w:rPr>
                <w:sz w:val="20"/>
                <w:szCs w:val="20"/>
                <w:color w:val="auto"/>
              </w:rPr>
            </w:pPr>
            <w:r>
              <w:rPr>
                <w:rFonts w:ascii="Times New Roman" w:cs="Times New Roman" w:eastAsia="Times New Roman" w:hAnsi="Times New Roman"/>
                <w:sz w:val="22"/>
                <w:szCs w:val="22"/>
                <w:color w:val="auto"/>
              </w:rPr>
              <w:t>12. Sales Compensation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Recipient</w:t>
            </w:r>
          </w:p>
        </w:tc>
        <w:tc>
          <w:tcPr>
            <w:tcW w:w="39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Recipient CRD Number  None</w:t>
            </w: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H.C. Wainwright &amp; Co., LLC</w:t>
            </w:r>
          </w:p>
        </w:tc>
        <w:tc>
          <w:tcPr>
            <w:tcW w:w="39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375</w:t>
            </w:r>
          </w:p>
        </w:tc>
        <w:tc>
          <w:tcPr>
            <w:tcW w:w="0" w:type="dxa"/>
            <w:vAlign w:val="bottom"/>
          </w:tcPr>
          <w:p>
            <w:pPr>
              <w:spacing w:after="0"/>
              <w:rPr>
                <w:sz w:val="1"/>
                <w:szCs w:val="1"/>
                <w:color w:val="auto"/>
              </w:rPr>
            </w:pPr>
          </w:p>
        </w:tc>
      </w:tr>
      <w:tr>
        <w:trPr>
          <w:trHeight w:val="298"/>
        </w:trPr>
        <w:tc>
          <w:tcPr>
            <w:tcW w:w="42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tc>
        <w:tc>
          <w:tcPr>
            <w:tcW w:w="39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(Associated) Broker or Dealer CRD</w:t>
            </w:r>
          </w:p>
        </w:tc>
        <w:tc>
          <w:tcPr>
            <w:tcW w:w="0" w:type="dxa"/>
            <w:vAlign w:val="bottom"/>
          </w:tcPr>
          <w:p>
            <w:pPr>
              <w:spacing w:after="0"/>
              <w:rPr>
                <w:sz w:val="1"/>
                <w:szCs w:val="1"/>
                <w:color w:val="auto"/>
              </w:rPr>
            </w:pPr>
          </w:p>
        </w:tc>
      </w:tr>
      <w:tr>
        <w:trPr>
          <w:trHeight w:val="161"/>
        </w:trPr>
        <w:tc>
          <w:tcPr>
            <w:tcW w:w="4280" w:type="dxa"/>
            <w:vAlign w:val="bottom"/>
            <w:vMerge w:val="continue"/>
          </w:tcPr>
          <w:p>
            <w:pPr>
              <w:spacing w:after="0"/>
              <w:rPr>
                <w:sz w:val="13"/>
                <w:szCs w:val="13"/>
                <w:color w:val="auto"/>
              </w:rPr>
            </w:pPr>
          </w:p>
        </w:tc>
        <w:tc>
          <w:tcPr>
            <w:tcW w:w="398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Number</w:t>
            </w:r>
          </w:p>
        </w:tc>
        <w:tc>
          <w:tcPr>
            <w:tcW w:w="0" w:type="dxa"/>
            <w:vAlign w:val="bottom"/>
          </w:tcPr>
          <w:p>
            <w:pPr>
              <w:spacing w:after="0"/>
              <w:rPr>
                <w:sz w:val="1"/>
                <w:szCs w:val="1"/>
                <w:color w:val="auto"/>
              </w:rPr>
            </w:pPr>
          </w:p>
        </w:tc>
      </w:tr>
      <w:tr>
        <w:trPr>
          <w:trHeight w:val="122"/>
        </w:trPr>
        <w:tc>
          <w:tcPr>
            <w:tcW w:w="428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39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97"/>
        </w:trPr>
        <w:tc>
          <w:tcPr>
            <w:tcW w:w="4280" w:type="dxa"/>
            <w:vAlign w:val="bottom"/>
          </w:tcPr>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tc>
        <w:tc>
          <w:tcPr>
            <w:tcW w:w="3980" w:type="dxa"/>
            <w:vAlign w:val="bottom"/>
          </w:tcPr>
          <w:p>
            <w:pPr>
              <w:ind w:left="238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430 Park Avenue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X None</w:t>
      </w:r>
    </w:p>
    <w:p>
      <w:pPr>
        <w:spacing w:after="0" w:line="1108" w:lineRule="exact"/>
        <w:rPr>
          <w:sz w:val="20"/>
          <w:szCs w:val="20"/>
          <w:color w:val="auto"/>
        </w:rPr>
      </w:pPr>
    </w:p>
    <w:p>
      <w:pPr>
        <w:sectPr>
          <w:pgSz w:w="11900" w:h="16838" w:orient="portrait"/>
          <w:cols w:equalWidth="0" w:num="2">
            <w:col w:w="8280" w:space="720"/>
            <w:col w:w="2160"/>
          </w:cols>
          <w:pgMar w:left="320" w:top="112" w:right="419" w:bottom="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50165</wp:posOffset>
            </wp:positionV>
            <wp:extent cx="82296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22960" cy="445770"/>
                    </a:xfrm>
                    <a:prstGeom prst="rect">
                      <a:avLst/>
                    </a:prstGeom>
                    <a:noFill/>
                  </pic:spPr>
                </pic:pic>
              </a:graphicData>
            </a:graphic>
          </wp:anchor>
        </w:drawing>
      </w:r>
    </w:p>
    <w:p>
      <w:pPr>
        <w:spacing w:after="0" w:line="52" w:lineRule="exact"/>
        <w:rPr>
          <w:sz w:val="20"/>
          <w:szCs w:val="20"/>
          <w:color w:val="auto"/>
        </w:rPr>
      </w:pPr>
    </w:p>
    <w:p>
      <w:pPr>
        <w:ind w:left="80"/>
        <w:spacing w:after="0"/>
        <w:rPr>
          <w:sz w:val="20"/>
          <w:szCs w:val="20"/>
          <w:color w:val="auto"/>
        </w:rPr>
      </w:pPr>
      <w:r>
        <w:rPr>
          <w:sz w:val="1"/>
          <w:szCs w:val="1"/>
          <w:color w:val="auto"/>
        </w:rPr>
        <w:drawing>
          <wp:inline distT="0" distB="0" distL="0" distR="0">
            <wp:extent cx="8255" cy="1885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188595"/>
                    </a:xfrm>
                    <a:prstGeom prst="rect">
                      <a:avLst/>
                    </a:prstGeom>
                    <a:noFill/>
                    <a:ln>
                      <a:noFill/>
                    </a:ln>
                  </pic:spPr>
                </pic:pic>
              </a:graphicData>
            </a:graphic>
          </wp:inline>
        </w:drawing>
      </w:r>
      <w:r>
        <w:rPr>
          <w:rFonts w:ascii="Times New Roman" w:cs="Times New Roman" w:eastAsia="Times New Roman" w:hAnsi="Times New Roman"/>
          <w:sz w:val="22"/>
          <w:szCs w:val="22"/>
          <w:color w:val="auto"/>
        </w:rPr>
        <w:t>NEW YORK</w:t>
      </w:r>
      <w:r>
        <w:rPr>
          <w:sz w:val="1"/>
          <w:szCs w:val="1"/>
          <w:color w:val="auto"/>
        </w:rPr>
        <w:drawing>
          <wp:inline distT="0" distB="0" distL="0" distR="0">
            <wp:extent cx="8255" cy="1803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180340"/>
                    </a:xfrm>
                    <a:prstGeom prst="rect">
                      <a:avLst/>
                    </a:prstGeom>
                    <a:noFill/>
                    <a:ln>
                      <a:noFill/>
                    </a:ln>
                  </pic:spPr>
                </pic:pic>
              </a:graphicData>
            </a:graphic>
          </wp:inline>
        </w:drawing>
      </w:r>
    </w:p>
    <w:p>
      <w:pPr>
        <w:ind w:left="80"/>
        <w:spacing w:after="0"/>
        <w:rPr>
          <w:sz w:val="20"/>
          <w:szCs w:val="20"/>
          <w:color w:val="auto"/>
        </w:rPr>
      </w:pPr>
      <w:r>
        <w:rPr>
          <w:sz w:val="1"/>
          <w:szCs w:val="1"/>
          <w:color w:val="auto"/>
        </w:rPr>
        <w:drawing>
          <wp:inline distT="0" distB="0" distL="0" distR="0">
            <wp:extent cx="8255"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71450"/>
                    </a:xfrm>
                    <a:prstGeom prst="rect">
                      <a:avLst/>
                    </a:prstGeom>
                    <a:noFill/>
                    <a:ln>
                      <a:noFill/>
                    </a:ln>
                  </pic:spPr>
                </pic:pic>
              </a:graphicData>
            </a:graphic>
          </wp:inline>
        </w:drawing>
      </w:r>
      <w:r>
        <w:rPr>
          <w:rFonts w:ascii="Times New Roman" w:cs="Times New Roman" w:eastAsia="Times New Roman" w:hAnsi="Times New Roman"/>
          <w:sz w:val="22"/>
          <w:szCs w:val="22"/>
          <w:color w:val="auto"/>
        </w:rPr>
        <w:t>TEXAS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State/Province/Country</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NEW YORK</w:t>
      </w:r>
    </w:p>
    <w:p>
      <w:pPr>
        <w:spacing w:after="0" w:line="183" w:lineRule="auto"/>
        <w:tabs>
          <w:tab w:leader="none" w:pos="1120" w:val="left"/>
        </w:tabs>
        <w:rPr>
          <w:sz w:val="20"/>
          <w:szCs w:val="20"/>
          <w:color w:val="auto"/>
        </w:rPr>
      </w:pPr>
      <w:r>
        <w:rPr>
          <w:rFonts w:ascii="Times New Roman" w:cs="Times New Roman" w:eastAsia="Times New Roman" w:hAnsi="Times New Roman"/>
          <w:sz w:val="40"/>
          <w:szCs w:val="40"/>
          <w:color w:val="auto"/>
          <w:vertAlign w:val="superscript"/>
        </w:rPr>
        <w:t>All</w:t>
      </w:r>
      <w:r>
        <w:rPr>
          <w:sz w:val="20"/>
          <w:szCs w:val="20"/>
          <w:color w:val="auto"/>
        </w:rPr>
        <w:tab/>
      </w:r>
      <w:r>
        <w:rPr>
          <w:rFonts w:ascii="Times New Roman" w:cs="Times New Roman" w:eastAsia="Times New Roman" w:hAnsi="Times New Roman"/>
          <w:sz w:val="21"/>
          <w:szCs w:val="21"/>
          <w:color w:val="auto"/>
        </w:rPr>
        <w:t>Foreign/non-US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673100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10022</w:t>
      </w:r>
    </w:p>
    <w:p>
      <w:pPr>
        <w:spacing w:after="0" w:line="1790" w:lineRule="exact"/>
        <w:rPr>
          <w:sz w:val="20"/>
          <w:szCs w:val="20"/>
          <w:color w:val="auto"/>
        </w:rPr>
      </w:pPr>
    </w:p>
    <w:p>
      <w:pPr>
        <w:sectPr>
          <w:pgSz w:w="11900" w:h="16838" w:orient="portrait"/>
          <w:cols w:equalWidth="0" w:num="3">
            <w:col w:w="3900" w:space="280"/>
            <w:col w:w="4880" w:space="720"/>
            <w:col w:w="1380"/>
          </w:cols>
          <w:pgMar w:left="320" w:top="112" w:right="419" w:bottom="0" w:gutter="0" w:footer="0" w:header="0"/>
          <w:type w:val="continuous"/>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$36,610,754</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$36,610,754</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Consists of 8,888,889 common shares of the Company ("Common Shares"), 8,888,889 Common Share purchase warrants ($2.17 per share exercise price) and 711,111 Common Share purchase warrants ($2.22 per share exercise price), assuming full warrant</w:t>
      </w:r>
    </w:p>
    <w:p>
      <w:pPr>
        <w:sectPr>
          <w:pgSz w:w="11900" w:h="16838" w:orient="portrait"/>
          <w:cols w:equalWidth="0" w:num="1">
            <w:col w:w="11160"/>
          </w:cols>
          <w:pgMar w:left="320" w:top="112"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exercise.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8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Sales Commissions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$1,261,280</w:t>
            </w:r>
          </w:p>
        </w:tc>
        <w:tc>
          <w:tcPr>
            <w:tcW w:w="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3"/>
              </w:rPr>
              <w:t>Estimate</w:t>
            </w:r>
          </w:p>
        </w:tc>
      </w:tr>
      <w:tr>
        <w:trPr>
          <w:trHeight w:val="378"/>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Finders' Fees</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USD</w:t>
            </w:r>
          </w:p>
        </w:tc>
        <w:tc>
          <w:tcPr>
            <w:tcW w:w="8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3"/>
              </w:rPr>
              <w:t>Estimate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22"/>
          <w:szCs w:val="22"/>
          <w:color w:val="auto"/>
        </w:rPr>
        <w:t>This Item 15 reflects the cash fee paid to H.C. Wainwright &amp; Co, LLC, which was also issued warrants to purchase 711,111 Common Shares (as described in Item 13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760" w:type="dxa"/>
            <w:vAlign w:val="bottom"/>
            <w:tcBorders>
              <w:top w:val="single" w:sz="8" w:color="2C2C2C"/>
              <w:bottom w:val="single" w:sz="8" w:color="808080"/>
            </w:tcBorders>
          </w:tcPr>
          <w:p>
            <w:pPr>
              <w:ind w:left="60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4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0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11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4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7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Bitfarms Ltd</w:t>
            </w:r>
          </w:p>
        </w:tc>
        <w:tc>
          <w:tcPr>
            <w:tcW w:w="40" w:type="dxa"/>
            <w:vAlign w:val="bottom"/>
          </w:tcPr>
          <w:p>
            <w:pPr>
              <w:spacing w:after="0"/>
              <w:rPr>
                <w:sz w:val="22"/>
                <w:szCs w:val="22"/>
                <w:color w:val="auto"/>
              </w:rPr>
            </w:pPr>
          </w:p>
        </w:tc>
        <w:tc>
          <w:tcPr>
            <w:tcW w:w="27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L. Geoffrey Morphy</w:t>
            </w:r>
          </w:p>
        </w:tc>
        <w:tc>
          <w:tcPr>
            <w:tcW w:w="20" w:type="dxa"/>
            <w:vAlign w:val="bottom"/>
          </w:tcPr>
          <w:p>
            <w:pPr>
              <w:spacing w:after="0"/>
              <w:rPr>
                <w:sz w:val="22"/>
                <w:szCs w:val="22"/>
                <w:color w:val="auto"/>
              </w:rPr>
            </w:pPr>
          </w:p>
        </w:tc>
        <w:tc>
          <w:tcPr>
            <w:tcW w:w="22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John Rim</w:t>
            </w:r>
          </w:p>
        </w:tc>
        <w:tc>
          <w:tcPr>
            <w:tcW w:w="20" w:type="dxa"/>
            <w:vAlign w:val="bottom"/>
          </w:tcPr>
          <w:p>
            <w:pPr>
              <w:spacing w:after="0"/>
              <w:rPr>
                <w:sz w:val="22"/>
                <w:szCs w:val="22"/>
                <w:color w:val="auto"/>
              </w:rPr>
            </w:pPr>
          </w:p>
        </w:tc>
        <w:tc>
          <w:tcPr>
            <w:tcW w:w="272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L. Geoffrey Morphy</w:t>
            </w:r>
          </w:p>
        </w:tc>
        <w:tc>
          <w:tcPr>
            <w:tcW w:w="40" w:type="dxa"/>
            <w:vAlign w:val="bottom"/>
            <w:vMerge w:val="continue"/>
          </w:tcPr>
          <w:p>
            <w:pPr>
              <w:spacing w:after="0"/>
              <w:rPr>
                <w:sz w:val="22"/>
                <w:szCs w:val="22"/>
                <w:color w:val="auto"/>
              </w:rPr>
            </w:pPr>
          </w:p>
        </w:tc>
        <w:tc>
          <w:tcPr>
            <w:tcW w:w="1600" w:type="dxa"/>
            <w:vAlign w:val="bottom"/>
            <w:tcBorders>
              <w:bottom w:val="single" w:sz="8" w:color="808080"/>
            </w:tcBorders>
          </w:tcPr>
          <w:p>
            <w:pPr>
              <w:jc w:val="right"/>
              <w:ind w:right="472"/>
              <w:spacing w:after="0"/>
              <w:rPr>
                <w:sz w:val="20"/>
                <w:szCs w:val="20"/>
                <w:color w:val="auto"/>
              </w:rPr>
            </w:pPr>
            <w:r>
              <w:rPr>
                <w:rFonts w:ascii="Times New Roman" w:cs="Times New Roman" w:eastAsia="Times New Roman" w:hAnsi="Times New Roman"/>
                <w:sz w:val="22"/>
                <w:szCs w:val="22"/>
                <w:color w:val="auto"/>
                <w:w w:val="97"/>
              </w:rPr>
              <w:t>2021-01-19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7"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12"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2021-01-20T12:41:33Z</dcterms:created>
  <dcterms:modified xsi:type="dcterms:W3CDTF">2021-01-20T12:41:33Z</dcterms:modified>
</cp:coreProperties>
</file>