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07208-6k_bitfarms.htm"/>
      <w:bookmarkStart w:id="1" w:name="ksea02072086k_bitfarms"/>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79" w:right="979"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ind w:left="979" w:right="979"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79" w:right="978"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907" w:right="290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79" w:right="97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001-40370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78" w:right="979"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BITFARMS LTD.</w:t>
      </w:r>
    </w:p>
    <w:p>
      <w:pPr>
        <w:pStyle w:val="TextBody"/>
        <w:bidi w:val="0"/>
        <w:spacing w:before="0" w:after="0"/>
        <w:ind w:left="978" w:right="9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79" w:right="979"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 Yonge Street, Suite 1601, Toronto, Ontario, Canada M5C 1T4</w:t>
      </w:r>
    </w:p>
    <w:p>
      <w:pPr>
        <w:pStyle w:val="TextBody"/>
        <w:bidi w:val="0"/>
        <w:spacing w:before="0" w:after="0"/>
        <w:ind w:left="979" w:right="979"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15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979" w:right="977" w:hanging="0"/>
        <w:jc w:val="center"/>
        <w:rPr>
          <w:caps w:val="false"/>
          <w:smallCaps w:val="false"/>
        </w:rPr>
      </w:pPr>
      <w:r>
        <w:rPr>
          <w:caps w:val="false"/>
          <w:smallCaps w:val="false"/>
        </w:rPr>
        <w:t> </w:t>
      </w:r>
    </w:p>
    <w:p>
      <w:pPr>
        <w:pStyle w:val="TextBody"/>
        <w:bidi w:val="0"/>
        <w:spacing w:before="0" w:after="0"/>
        <w:ind w:left="979" w:right="977"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DOCUMENTS INCLUDED AS PART OF THIS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On May 31, 2024, the Registrant filed with the Canadian Securities Regulatory Authorities on the System for Electronic Data Analysis and Retrieval + (SEDAR +) a material change report that includes a copy of a press release, a copy of which is attached hereto as Exhibit 99.1, and which is incorporated by reference to the Company’s Registration Statement on </w:t>
      </w:r>
      <w:hyperlink r:id="rId2">
        <w:r>
          <w:rPr>
            <w:rStyle w:val="InternetLink"/>
            <w:rFonts w:ascii="Times New Roman;Times;Serif" w:hAnsi="Times New Roman;Times;Serif"/>
            <w:b w:val="false"/>
            <w:i w:val="false"/>
            <w:caps w:val="false"/>
            <w:smallCaps w:val="false"/>
            <w:sz w:val="20"/>
          </w:rPr>
          <w:t>Form F-10</w:t>
        </w:r>
      </w:hyperlink>
      <w:r>
        <w:rPr>
          <w:rFonts w:ascii="Times New Roman;Times;Serif" w:hAnsi="Times New Roman;Times;Serif"/>
          <w:b w:val="false"/>
          <w:i w:val="false"/>
          <w:caps w:val="false"/>
          <w:smallCaps w:val="false"/>
          <w:sz w:val="20"/>
        </w:rPr>
        <w:t xml:space="preserve"> (File No. 333-272989) and the Registration Statement of Bitfarms Ltd. on </w:t>
      </w:r>
      <w:hyperlink r:id="rId3">
        <w:r>
          <w:rPr>
            <w:rStyle w:val="InternetLink"/>
            <w:rFonts w:ascii="Times New Roman;Times;Serif" w:hAnsi="Times New Roman;Times;Serif"/>
            <w:b w:val="false"/>
            <w:i w:val="false"/>
            <w:caps w:val="false"/>
            <w:smallCaps w:val="false"/>
            <w:sz w:val="20"/>
          </w:rPr>
          <w:t>Form S-8</w:t>
        </w:r>
      </w:hyperlink>
      <w:r>
        <w:rPr>
          <w:rFonts w:ascii="Times New Roman;Times;Serif" w:hAnsi="Times New Roman;Times;Serif"/>
          <w:b w:val="false"/>
          <w:i w:val="false"/>
          <w:caps w:val="false"/>
          <w:smallCaps w:val="false"/>
          <w:sz w:val="20"/>
        </w:rPr>
        <w:t xml:space="preserve"> (File No. 333-278868).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Exhibits listed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Exhibits</w:t>
      </w:r>
      <w:r>
        <w:rPr>
          <w:rFonts w:ascii="Times New Roman;Times;Serif" w:hAnsi="Times New Roman;Times;Serif"/>
          <w:b w:val="false"/>
          <w:i w:val="false"/>
          <w:caps w:val="false"/>
          <w:smallCaps w:val="false"/>
          <w:sz w:val="20"/>
        </w:rPr>
        <w:t xml:space="preserve"> </w:t>
      </w:r>
    </w:p>
    <w:p>
      <w:pPr>
        <w:pStyle w:val="TextBody"/>
        <w:bidi w:val="0"/>
        <w:spacing w:before="0" w:after="283"/>
        <w:jc w:val="left"/>
        <w:rPr/>
      </w:pPr>
      <w:r>
        <w:rPr/>
        <w:t> </w:t>
      </w:r>
    </w:p>
    <w:tbl>
      <w:tblPr>
        <w:tblW w:w="4720" w:type="dxa"/>
        <w:jc w:val="left"/>
        <w:tblInd w:w="0" w:type="dxa"/>
        <w:tblLayout w:type="fixed"/>
        <w:tblCellMar>
          <w:top w:w="0" w:type="dxa"/>
          <w:left w:w="0" w:type="dxa"/>
          <w:bottom w:w="30" w:type="dxa"/>
          <w:right w:w="0" w:type="dxa"/>
        </w:tblCellMar>
      </w:tblPr>
      <w:tblGrid>
        <w:gridCol w:w="980"/>
        <w:gridCol w:w="60"/>
        <w:gridCol w:w="3680"/>
      </w:tblGrid>
      <w:tr>
        <w:trPr/>
        <w:tc>
          <w:tcPr>
            <w:tcW w:w="980" w:type="dxa"/>
            <w:tcBorders>
              <w:bottom w:val="single" w:sz="12"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368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80" w:type="dxa"/>
            <w:tcBorders/>
            <w:shd w:fill="CCEEFF" w:val="clear"/>
            <w:tcMar>
              <w:bottom w:w="0" w:type="dxa"/>
            </w:tcMar>
            <w:vAlign w:val="center"/>
          </w:tcPr>
          <w:p>
            <w:pPr>
              <w:pStyle w:val="TableContents"/>
              <w:bidi w:val="0"/>
              <w:spacing w:before="0" w:after="283"/>
              <w:jc w:val="both"/>
              <w:rPr/>
            </w:pPr>
            <w:hyperlink w:anchor="ea020720801ex99-1_bitfarms.htm">
              <w:r>
                <w:rPr>
                  <w:rStyle w:val="InternetLink"/>
                  <w:rFonts w:ascii="Times New Roman;Times;Serif" w:hAnsi="Times New Roman;Times;Serif"/>
                  <w:b w:val="false"/>
                  <w:i w:val="false"/>
                  <w:caps w:val="false"/>
                  <w:smallCaps w:val="false"/>
                  <w:sz w:val="20"/>
                </w:rPr>
                <w:t>Material Change Report dated May 31, 2024</w:t>
              </w:r>
            </w:hyperlink>
          </w:p>
        </w:tc>
      </w:tr>
    </w:tbl>
    <w:p>
      <w:pPr>
        <w:pStyle w:val="TextBody"/>
        <w:bidi w:val="0"/>
        <w:spacing w:before="0" w:after="283"/>
        <w:jc w:val="left"/>
        <w:rPr/>
      </w:pPr>
      <w:r>
        <w:rPr/>
        <w:t> </w:t>
      </w:r>
    </w:p>
    <w:p>
      <w:pPr>
        <w:pStyle w:val="TextBody"/>
        <w:bidi w:val="0"/>
        <w:spacing w:before="0" w:after="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979" w:right="978" w:hanging="0"/>
        <w:jc w:val="center"/>
        <w:rPr>
          <w:caps w:val="false"/>
          <w:smallCaps w:val="false"/>
        </w:rPr>
      </w:pPr>
      <w:r>
        <w:rPr>
          <w:caps w:val="false"/>
          <w:smallCaps w:val="false"/>
        </w:rPr>
        <w:t> </w:t>
      </w:r>
    </w:p>
    <w:p>
      <w:pPr>
        <w:pStyle w:val="TextBody"/>
        <w:bidi w:val="0"/>
        <w:spacing w:before="0" w:after="0"/>
        <w:ind w:left="979" w:right="978"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160" w:right="0" w:hanging="0"/>
        <w:jc w:val="left"/>
        <w:rPr>
          <w:caps w:val="false"/>
          <w:smallCaps w:val="false"/>
        </w:rPr>
      </w:pPr>
      <w:r>
        <w:rPr>
          <w:caps w:val="false"/>
          <w:smallCaps w:val="false"/>
        </w:rPr>
        <w:t> </w:t>
      </w:r>
    </w:p>
    <w:tbl>
      <w:tblPr>
        <w:tblW w:w="3225" w:type="dxa"/>
        <w:jc w:val="left"/>
        <w:tblInd w:w="0" w:type="dxa"/>
        <w:tblLayout w:type="fixed"/>
        <w:tblCellMar>
          <w:top w:w="0" w:type="dxa"/>
          <w:left w:w="0" w:type="dxa"/>
          <w:bottom w:w="0" w:type="dxa"/>
          <w:right w:w="0" w:type="dxa"/>
        </w:tblCellMar>
      </w:tblPr>
      <w:tblGrid>
        <w:gridCol w:w="75"/>
        <w:gridCol w:w="320"/>
        <w:gridCol w:w="590"/>
        <w:gridCol w:w="22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15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BITFARMS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3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Nicolas Bonta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Nicolas Bonta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Interim CEO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31, 2024</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60" w:right="0" w:hanging="0"/>
        <w:jc w:val="center"/>
        <w:rPr>
          <w:sz w:val="20"/>
          <w:bdr w:val="single" w:sz="12" w:space="1" w:color="000000"/>
        </w:rPr>
      </w:pPr>
      <w:r>
        <w:rPr>
          <w:sz w:val="20"/>
          <w:bdr w:val="single" w:sz="12" w:space="1" w:color="000000"/>
        </w:rPr>
        <w:t>2</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2" w:name="ea020720801ex99-1_bitfarms.htm"/>
      <w:bookmarkStart w:id="3" w:name="ksea020720801ex991_bitfarms"/>
      <w:bookmarkEnd w:id="2"/>
      <w:bookmarkEnd w:id="3"/>
      <w:r>
        <w:rPr>
          <w:b/>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51-102F3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CHANGE REPORT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1693"/>
        <w:gridCol w:w="8416"/>
      </w:tblGrid>
      <w:tr>
        <w:trPr/>
        <w:tc>
          <w:tcPr>
            <w:tcW w:w="9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b/>
              </w:rPr>
            </w:pPr>
            <w:r>
              <w:rPr>
                <w:b/>
              </w:rPr>
              <w:t>Item 1</w:t>
            </w:r>
          </w:p>
        </w:tc>
        <w:tc>
          <w:tcPr>
            <w:tcW w:w="8416" w:type="dxa"/>
            <w:tcBorders/>
            <w:vAlign w:val="center"/>
          </w:tcPr>
          <w:p>
            <w:pPr>
              <w:pStyle w:val="TableContents"/>
              <w:bidi w:val="0"/>
              <w:spacing w:before="0" w:after="283"/>
              <w:jc w:val="left"/>
              <w:rPr>
                <w:b/>
              </w:rPr>
            </w:pPr>
            <w:r>
              <w:rPr>
                <w:b/>
              </w:rPr>
              <w:t>Name and Address of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 (“Bitfarms” or the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Yonge Street, Suite 1601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Ontario M5C 1T4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2086"/>
        <w:gridCol w:w="7992"/>
      </w:tblGrid>
      <w:tr>
        <w:trPr/>
        <w:tc>
          <w:tcPr>
            <w:tcW w:w="127"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pPr>
            <w:r>
              <w:rPr/>
              <w:t>Item 2</w:t>
            </w:r>
          </w:p>
        </w:tc>
        <w:tc>
          <w:tcPr>
            <w:tcW w:w="7992" w:type="dxa"/>
            <w:tcBorders/>
            <w:vAlign w:val="center"/>
          </w:tcPr>
          <w:p>
            <w:pPr>
              <w:pStyle w:val="TableContents"/>
              <w:bidi w:val="0"/>
              <w:spacing w:before="0" w:after="283"/>
              <w:jc w:val="left"/>
              <w:rPr/>
            </w:pPr>
            <w:r>
              <w:rPr/>
              <w:t>Date of Material 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31, 2024.</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9"/>
        <w:gridCol w:w="3097"/>
        <w:gridCol w:w="6919"/>
      </w:tblGrid>
      <w:tr>
        <w:trPr/>
        <w:tc>
          <w:tcPr>
            <w:tcW w:w="189" w:type="dxa"/>
            <w:tcBorders/>
            <w:vAlign w:val="center"/>
          </w:tcPr>
          <w:p>
            <w:pPr>
              <w:pStyle w:val="TableContents"/>
              <w:bidi w:val="0"/>
              <w:spacing w:before="0" w:after="283"/>
              <w:jc w:val="left"/>
              <w:rPr>
                <w:sz w:val="4"/>
                <w:szCs w:val="4"/>
              </w:rPr>
            </w:pPr>
            <w:r>
              <w:rPr>
                <w:sz w:val="4"/>
                <w:szCs w:val="4"/>
              </w:rPr>
            </w:r>
          </w:p>
        </w:tc>
        <w:tc>
          <w:tcPr>
            <w:tcW w:w="3097" w:type="dxa"/>
            <w:tcBorders/>
            <w:vAlign w:val="center"/>
          </w:tcPr>
          <w:p>
            <w:pPr>
              <w:pStyle w:val="TableContents"/>
              <w:bidi w:val="0"/>
              <w:spacing w:before="0" w:after="283"/>
              <w:jc w:val="left"/>
              <w:rPr/>
            </w:pPr>
            <w:r>
              <w:rPr/>
              <w:t>Item 3</w:t>
            </w:r>
          </w:p>
        </w:tc>
        <w:tc>
          <w:tcPr>
            <w:tcW w:w="6919" w:type="dxa"/>
            <w:tcBorders/>
            <w:vAlign w:val="center"/>
          </w:tcPr>
          <w:p>
            <w:pPr>
              <w:pStyle w:val="TableContents"/>
              <w:bidi w:val="0"/>
              <w:spacing w:before="0" w:after="283"/>
              <w:jc w:val="left"/>
              <w:rPr/>
            </w:pPr>
            <w:r>
              <w:rPr/>
              <w:t>News Release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attached as Schedule “A” was released on May 31, 2024, by a newswire company in Canada.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0"/>
        <w:gridCol w:w="1809"/>
        <w:gridCol w:w="8286"/>
      </w:tblGrid>
      <w:tr>
        <w:trPr/>
        <w:tc>
          <w:tcPr>
            <w:tcW w:w="110"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pPr>
            <w:r>
              <w:rPr/>
              <w:t>Item 4</w:t>
            </w:r>
          </w:p>
        </w:tc>
        <w:tc>
          <w:tcPr>
            <w:tcW w:w="8286" w:type="dxa"/>
            <w:tcBorders/>
            <w:vAlign w:val="center"/>
          </w:tcPr>
          <w:p>
            <w:pPr>
              <w:pStyle w:val="TableContents"/>
              <w:bidi w:val="0"/>
              <w:spacing w:before="0" w:after="283"/>
              <w:jc w:val="left"/>
              <w:rPr/>
            </w:pPr>
            <w:r>
              <w:rPr/>
              <w:t>Summary of Material 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1538"/>
        <w:gridCol w:w="8573"/>
      </w:tblGrid>
      <w:tr>
        <w:trPr/>
        <w:tc>
          <w:tcPr>
            <w:tcW w:w="94"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pPr>
            <w:r>
              <w:rPr/>
              <w:t>Item 5</w:t>
            </w:r>
          </w:p>
        </w:tc>
        <w:tc>
          <w:tcPr>
            <w:tcW w:w="8573" w:type="dxa"/>
            <w:tcBorders/>
            <w:vAlign w:val="center"/>
          </w:tcPr>
          <w:p>
            <w:pPr>
              <w:pStyle w:val="TableContents"/>
              <w:bidi w:val="0"/>
              <w:spacing w:before="0" w:after="283"/>
              <w:jc w:val="left"/>
              <w:rPr/>
            </w:pPr>
            <w:r>
              <w:rPr/>
              <w:t>Full Description of Material 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change is described in the press release attached as Schedule “A”.</w:t>
      </w:r>
    </w:p>
    <w:p>
      <w:pPr>
        <w:pStyle w:val="TextBody"/>
        <w:bidi w:val="0"/>
        <w:spacing w:before="0" w:after="0"/>
        <w:ind w:left="0" w:right="0" w:hanging="0"/>
        <w:jc w:val="left"/>
        <w:rPr>
          <w:caps w:val="false"/>
          <w:smallCaps w:val="false"/>
        </w:rPr>
      </w:pPr>
      <w:r>
        <w:rPr>
          <w:caps w:val="false"/>
          <w:smallCaps w:val="false"/>
        </w:rPr>
        <w:t> </w:t>
      </w:r>
    </w:p>
    <w:tbl>
      <w:tblPr>
        <w:tblW w:w="6783" w:type="dxa"/>
        <w:jc w:val="left"/>
        <w:tblInd w:w="0" w:type="dxa"/>
        <w:tblLayout w:type="fixed"/>
        <w:tblCellMar>
          <w:top w:w="0" w:type="dxa"/>
          <w:left w:w="0" w:type="dxa"/>
          <w:bottom w:w="0" w:type="dxa"/>
          <w:right w:w="0" w:type="dxa"/>
        </w:tblCellMar>
      </w:tblPr>
      <w:tblGrid>
        <w:gridCol w:w="38"/>
        <w:gridCol w:w="665"/>
        <w:gridCol w:w="6080"/>
      </w:tblGrid>
      <w:tr>
        <w:trPr/>
        <w:tc>
          <w:tcPr>
            <w:tcW w:w="3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b/>
              </w:rPr>
            </w:pPr>
            <w:r>
              <w:rPr>
                <w:b/>
              </w:rPr>
              <w:t>Item 6</w:t>
            </w:r>
          </w:p>
        </w:tc>
        <w:tc>
          <w:tcPr>
            <w:tcW w:w="6080" w:type="dxa"/>
            <w:tcBorders/>
            <w:vAlign w:val="center"/>
          </w:tcPr>
          <w:p>
            <w:pPr>
              <w:pStyle w:val="TableContents"/>
              <w:bidi w:val="0"/>
              <w:spacing w:before="0" w:after="283"/>
              <w:jc w:val="both"/>
              <w:rPr>
                <w:b/>
              </w:rPr>
            </w:pPr>
            <w:r>
              <w:rPr>
                <w:b/>
              </w:rPr>
              <w:t xml:space="preserve">Reliance of subsection 7.1(2) of National Instrument 51-102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62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pPr>
            <w:r>
              <w:rPr/>
              <w:t>Item 7</w:t>
            </w:r>
          </w:p>
        </w:tc>
        <w:tc>
          <w:tcPr>
            <w:tcW w:w="1970" w:type="dxa"/>
            <w:tcBorders/>
            <w:vAlign w:val="center"/>
          </w:tcPr>
          <w:p>
            <w:pPr>
              <w:pStyle w:val="TableContents"/>
              <w:bidi w:val="0"/>
              <w:spacing w:before="0" w:after="283"/>
              <w:jc w:val="left"/>
              <w:rPr/>
            </w:pPr>
            <w:r>
              <w:rPr/>
              <w:t>Omitted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2666"/>
        <w:gridCol w:w="7376"/>
      </w:tblGrid>
      <w:tr>
        <w:trPr/>
        <w:tc>
          <w:tcPr>
            <w:tcW w:w="163"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pPr>
            <w:r>
              <w:rPr/>
              <w:t>Item 8</w:t>
            </w:r>
          </w:p>
        </w:tc>
        <w:tc>
          <w:tcPr>
            <w:tcW w:w="7376" w:type="dxa"/>
            <w:tcBorders/>
            <w:vAlign w:val="center"/>
          </w:tcPr>
          <w:p>
            <w:pPr>
              <w:pStyle w:val="TableContents"/>
              <w:bidi w:val="0"/>
              <w:spacing w:before="0" w:after="283"/>
              <w:jc w:val="left"/>
              <w:rPr/>
            </w:pPr>
            <w:r>
              <w:rPr/>
              <w:t>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Nicolas Bonta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nbonta@bitfarms.com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4"/>
        <w:gridCol w:w="3008"/>
        <w:gridCol w:w="7013"/>
      </w:tblGrid>
      <w:tr>
        <w:trPr/>
        <w:tc>
          <w:tcPr>
            <w:tcW w:w="184" w:type="dxa"/>
            <w:tcBorders/>
            <w:vAlign w:val="center"/>
          </w:tcPr>
          <w:p>
            <w:pPr>
              <w:pStyle w:val="TableContents"/>
              <w:bidi w:val="0"/>
              <w:spacing w:before="0" w:after="283"/>
              <w:jc w:val="left"/>
              <w:rPr>
                <w:sz w:val="4"/>
                <w:szCs w:val="4"/>
              </w:rPr>
            </w:pPr>
            <w:r>
              <w:rPr>
                <w:sz w:val="4"/>
                <w:szCs w:val="4"/>
              </w:rPr>
            </w:r>
          </w:p>
        </w:tc>
        <w:tc>
          <w:tcPr>
            <w:tcW w:w="3008" w:type="dxa"/>
            <w:tcBorders/>
            <w:vAlign w:val="center"/>
          </w:tcPr>
          <w:p>
            <w:pPr>
              <w:pStyle w:val="TableContents"/>
              <w:bidi w:val="0"/>
              <w:spacing w:before="0" w:after="283"/>
              <w:jc w:val="left"/>
              <w:rPr/>
            </w:pPr>
            <w:r>
              <w:rPr/>
              <w:t>Item 9</w:t>
            </w:r>
          </w:p>
        </w:tc>
        <w:tc>
          <w:tcPr>
            <w:tcW w:w="7013" w:type="dxa"/>
            <w:tcBorders/>
            <w:vAlign w:val="center"/>
          </w:tcPr>
          <w:p>
            <w:pPr>
              <w:pStyle w:val="TableContents"/>
              <w:bidi w:val="0"/>
              <w:spacing w:before="0" w:after="283"/>
              <w:jc w:val="left"/>
              <w:rPr/>
            </w:pPr>
            <w:r>
              <w:rPr/>
              <w:t>Date of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5742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257425"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Bitfarms Announces Results of Annual General and Special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constitutes a “designated news release” for the purposes of the Company’s prospectus supplement dated March 8, 2024, to its short form base shelf prospectus dated November 10,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Toronto, Ontario and Brossard, Québec (May 31, 2024)</w:t>
      </w:r>
      <w:r>
        <w:rPr>
          <w:rFonts w:ascii="Times New Roman;Times;Serif" w:hAnsi="Times New Roman;Times;Serif"/>
          <w:b w:val="false"/>
          <w:i w:val="false"/>
          <w:caps w:val="false"/>
          <w:smallCaps w:val="false"/>
          <w:sz w:val="20"/>
        </w:rPr>
        <w:t xml:space="preserve"> - Bitfarms Ltd. (Nasdaq/TSX: BITF) (“Bitfarms” or the “Company”), a global Bitcoin vertically integrated company, today announces the results of its annual general and special meeting of shareholders (the “</w:t>
      </w:r>
      <w:r>
        <w:rPr>
          <w:rFonts w:ascii="Times New Roman;Times;Serif" w:hAnsi="Times New Roman;Times;Serif"/>
          <w:b/>
          <w:i w:val="false"/>
          <w:caps w:val="false"/>
          <w:smallCaps w:val="false"/>
          <w:sz w:val="20"/>
        </w:rPr>
        <w:t>Meeting</w:t>
      </w:r>
      <w:r>
        <w:rPr>
          <w:rFonts w:ascii="Times New Roman;Times;Serif" w:hAnsi="Times New Roman;Times;Serif"/>
          <w:b w:val="false"/>
          <w:i w:val="false"/>
          <w:caps w:val="false"/>
          <w:smallCaps w:val="false"/>
          <w:sz w:val="20"/>
        </w:rPr>
        <w:t>”), held virtually on May 31, 2024. A total of 149,457,098 common shares, representing 39.8% of the issued and outstanding common shares of the Company were represented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proxies received and the votes cast at the Meeting, four directors (the “</w:t>
      </w:r>
      <w:r>
        <w:rPr>
          <w:rFonts w:ascii="Times New Roman;Times;Serif" w:hAnsi="Times New Roman;Times;Serif"/>
          <w:b/>
          <w:i w:val="false"/>
          <w:caps w:val="false"/>
          <w:smallCaps w:val="false"/>
          <w:sz w:val="20"/>
        </w:rPr>
        <w:t>Directors</w:t>
      </w:r>
      <w:r>
        <w:rPr>
          <w:rFonts w:ascii="Times New Roman;Times;Serif" w:hAnsi="Times New Roman;Times;Serif"/>
          <w:b w:val="false"/>
          <w:i w:val="false"/>
          <w:caps w:val="false"/>
          <w:smallCaps w:val="false"/>
          <w:sz w:val="20"/>
        </w:rPr>
        <w:t>”) were elected for the ensuing year. The following is a tabulation of the votes submitted:</w:t>
      </w:r>
    </w:p>
    <w:p>
      <w:pPr>
        <w:pStyle w:val="TextBody"/>
        <w:bidi w:val="0"/>
        <w:spacing w:before="0" w:after="0"/>
        <w:ind w:left="0" w:right="0" w:hanging="0"/>
        <w:jc w:val="left"/>
        <w:rPr>
          <w:caps w:val="false"/>
          <w:smallCaps w:val="false"/>
        </w:rPr>
      </w:pPr>
      <w:r>
        <w:rPr>
          <w:caps w:val="false"/>
          <w:smallCaps w:val="false"/>
        </w:rPr>
        <w:t> </w:t>
      </w:r>
    </w:p>
    <w:tbl>
      <w:tblPr>
        <w:tblW w:w="4110" w:type="dxa"/>
        <w:jc w:val="left"/>
        <w:tblInd w:w="-10" w:type="dxa"/>
        <w:tblLayout w:type="fixed"/>
        <w:tblCellMar>
          <w:top w:w="28" w:type="dxa"/>
          <w:left w:w="108" w:type="dxa"/>
          <w:bottom w:w="28" w:type="dxa"/>
          <w:right w:w="108" w:type="dxa"/>
        </w:tblCellMar>
      </w:tblPr>
      <w:tblGrid>
        <w:gridCol w:w="1865"/>
        <w:gridCol w:w="950"/>
        <w:gridCol w:w="1295"/>
      </w:tblGrid>
      <w:tr>
        <w:trPr/>
        <w:tc>
          <w:tcPr>
            <w:tcW w:w="186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sz w:val="20"/>
              </w:rPr>
            </w:pPr>
            <w:r>
              <w:rPr>
                <w:b/>
                <w:sz w:val="20"/>
              </w:rPr>
              <w:t>Nominee</w:t>
            </w:r>
          </w:p>
        </w:tc>
        <w:tc>
          <w:tcPr>
            <w:tcW w:w="95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Votes For</w:t>
            </w:r>
          </w:p>
        </w:tc>
        <w:tc>
          <w:tcPr>
            <w:tcW w:w="12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Votes Against*</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Nicolas Bonta</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82,364,315</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7,117,680</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Andres Finkielsztain</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81,170,259</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8,311,737</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Emiliano Joel Grodzki</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33,957,229</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55,524,769</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Edith M. Hofmeister</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63,902,867</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25,579,129</w:t>
            </w:r>
          </w:p>
        </w:tc>
      </w:tr>
      <w:tr>
        <w:trPr/>
        <w:tc>
          <w:tcPr>
            <w:tcW w:w="186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sz w:val="20"/>
              </w:rPr>
            </w:pPr>
            <w:r>
              <w:rPr>
                <w:sz w:val="20"/>
              </w:rPr>
              <w:t>Brian Howlett</w:t>
            </w:r>
          </w:p>
        </w:tc>
        <w:tc>
          <w:tcPr>
            <w:tcW w:w="95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81,169,394</w:t>
            </w:r>
          </w:p>
        </w:tc>
        <w:tc>
          <w:tcPr>
            <w:tcW w:w="12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r>
              <w:rPr>
                <w:sz w:val="20"/>
              </w:rPr>
              <w:t>8,312,604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Proxies representing a total of 60,014,630 common shares were not voted in respect to the election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wishes to advise that Mr. Emiliano Grodzki has not been elected to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The Company thanks Mr. Grodzki for his valuable contributions as a co-founder of Bitfarms and during his tenure of service. The Board will be seeking an appropriate candidate to enhance the Board’s skill set and address the independence concerns expressed by certain proxy advisory firms which are believed to have led to Mr. Grodzki not being re-elected. This process has been commenced and the Company expects that it will be completed shortly.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also voted in favor of reappointing PricewaterhouseCoopers LLP, as auditors of the Company for the ensuing year and authorized the Directors to fix their remuneration, with votes “For” totaling 145,721,819 common shares and votes “Withheld” totaling 3,774,608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votes “For” totaling 53,277,873 common shares and 36,204,123 “Against”, shareholders voted in favor of an ordinary resolution approving the renewal of the Company’s long term equity incentive plan and the unallocated entitlements thereunder, as more particularly described in the Management Information Circular dated April 16,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Officers of the Company:</w:t>
      </w:r>
    </w:p>
    <w:p>
      <w:pPr>
        <w:pStyle w:val="TextBody"/>
        <w:bidi w:val="0"/>
        <w:spacing w:before="0" w:after="0"/>
        <w:ind w:left="0" w:right="0" w:hanging="0"/>
        <w:jc w:val="both"/>
        <w:rPr>
          <w:caps w:val="false"/>
          <w:smallCaps w:val="false"/>
        </w:rPr>
      </w:pPr>
      <w:r>
        <w:rPr>
          <w:caps w:val="false"/>
          <w:smallCaps w:val="false"/>
        </w:rPr>
        <w:t> </w:t>
      </w:r>
    </w:p>
    <w:tbl>
      <w:tblPr>
        <w:tblW w:w="6345" w:type="dxa"/>
        <w:jc w:val="left"/>
        <w:tblInd w:w="0" w:type="dxa"/>
        <w:tblLayout w:type="fixed"/>
        <w:tblCellMar>
          <w:top w:w="0" w:type="dxa"/>
          <w:left w:w="0" w:type="dxa"/>
          <w:bottom w:w="0" w:type="dxa"/>
          <w:right w:w="0" w:type="dxa"/>
        </w:tblCellMar>
      </w:tblPr>
      <w:tblGrid>
        <w:gridCol w:w="1790"/>
        <w:gridCol w:w="80"/>
        <w:gridCol w:w="4475"/>
      </w:tblGrid>
      <w:tr>
        <w:trPr/>
        <w:tc>
          <w:tcPr>
            <w:tcW w:w="1790" w:type="dxa"/>
            <w:tcBorders/>
            <w:vAlign w:val="center"/>
          </w:tcPr>
          <w:p>
            <w:pPr>
              <w:pStyle w:val="TableContents"/>
              <w:bidi w:val="0"/>
              <w:spacing w:before="0" w:after="283"/>
              <w:jc w:val="both"/>
              <w:rPr>
                <w:sz w:val="20"/>
              </w:rPr>
            </w:pPr>
            <w:r>
              <w:rPr>
                <w:sz w:val="20"/>
              </w:rPr>
              <w:t>Nicolas Bonta</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Chairman, Interim President &amp; CEO</w:t>
            </w:r>
          </w:p>
        </w:tc>
      </w:tr>
      <w:tr>
        <w:trPr/>
        <w:tc>
          <w:tcPr>
            <w:tcW w:w="1790" w:type="dxa"/>
            <w:tcBorders/>
            <w:vAlign w:val="center"/>
          </w:tcPr>
          <w:p>
            <w:pPr>
              <w:pStyle w:val="TableContents"/>
              <w:bidi w:val="0"/>
              <w:spacing w:before="0" w:after="283"/>
              <w:jc w:val="both"/>
              <w:rPr>
                <w:sz w:val="20"/>
              </w:rPr>
            </w:pPr>
            <w:r>
              <w:rPr>
                <w:sz w:val="20"/>
              </w:rPr>
              <w:t>Jeffrey Lucas</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Chief Financial Officer</w:t>
            </w:r>
          </w:p>
        </w:tc>
      </w:tr>
      <w:tr>
        <w:trPr/>
        <w:tc>
          <w:tcPr>
            <w:tcW w:w="1790" w:type="dxa"/>
            <w:tcBorders/>
            <w:vAlign w:val="center"/>
          </w:tcPr>
          <w:p>
            <w:pPr>
              <w:pStyle w:val="TableContents"/>
              <w:bidi w:val="0"/>
              <w:spacing w:before="0" w:after="283"/>
              <w:jc w:val="both"/>
              <w:rPr>
                <w:sz w:val="20"/>
              </w:rPr>
            </w:pPr>
            <w:r>
              <w:rPr>
                <w:sz w:val="20"/>
              </w:rPr>
              <w:t>Benjamin Gagnon</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Chief Mining Officer</w:t>
            </w:r>
          </w:p>
        </w:tc>
      </w:tr>
      <w:tr>
        <w:trPr/>
        <w:tc>
          <w:tcPr>
            <w:tcW w:w="1790" w:type="dxa"/>
            <w:tcBorders/>
            <w:vAlign w:val="center"/>
          </w:tcPr>
          <w:p>
            <w:pPr>
              <w:pStyle w:val="TableContents"/>
              <w:bidi w:val="0"/>
              <w:spacing w:before="0" w:after="283"/>
              <w:jc w:val="both"/>
              <w:rPr>
                <w:sz w:val="20"/>
              </w:rPr>
            </w:pPr>
            <w:r>
              <w:rPr>
                <w:sz w:val="20"/>
              </w:rPr>
              <w:t>Benoit Gobeil</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Executive Vice President Operations and Infrastructure</w:t>
            </w:r>
          </w:p>
        </w:tc>
      </w:tr>
      <w:tr>
        <w:trPr/>
        <w:tc>
          <w:tcPr>
            <w:tcW w:w="1790" w:type="dxa"/>
            <w:tcBorders/>
            <w:vAlign w:val="center"/>
          </w:tcPr>
          <w:p>
            <w:pPr>
              <w:pStyle w:val="TableContents"/>
              <w:bidi w:val="0"/>
              <w:spacing w:before="0" w:after="283"/>
              <w:jc w:val="both"/>
              <w:rPr>
                <w:sz w:val="20"/>
              </w:rPr>
            </w:pPr>
            <w:r>
              <w:rPr>
                <w:sz w:val="20"/>
              </w:rPr>
              <w:t>Marc-André Ammann</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Senior Vice President of Finances and Accounting</w:t>
            </w:r>
          </w:p>
        </w:tc>
      </w:tr>
      <w:tr>
        <w:trPr/>
        <w:tc>
          <w:tcPr>
            <w:tcW w:w="1790" w:type="dxa"/>
            <w:tcBorders/>
            <w:vAlign w:val="center"/>
          </w:tcPr>
          <w:p>
            <w:pPr>
              <w:pStyle w:val="TableContents"/>
              <w:bidi w:val="0"/>
              <w:spacing w:before="0" w:after="283"/>
              <w:jc w:val="both"/>
              <w:rPr>
                <w:sz w:val="20"/>
              </w:rPr>
            </w:pPr>
            <w:r>
              <w:rPr>
                <w:sz w:val="20"/>
              </w:rPr>
              <w:t>Philippe Fortier</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Senior Vice President of Corporate Development</w:t>
            </w:r>
          </w:p>
        </w:tc>
      </w:tr>
      <w:tr>
        <w:trPr/>
        <w:tc>
          <w:tcPr>
            <w:tcW w:w="1790" w:type="dxa"/>
            <w:tcBorders/>
            <w:vAlign w:val="center"/>
          </w:tcPr>
          <w:p>
            <w:pPr>
              <w:pStyle w:val="TableContents"/>
              <w:bidi w:val="0"/>
              <w:spacing w:before="0" w:after="283"/>
              <w:jc w:val="both"/>
              <w:rPr>
                <w:sz w:val="20"/>
              </w:rPr>
            </w:pPr>
            <w:r>
              <w:rPr>
                <w:sz w:val="20"/>
              </w:rPr>
              <w:t>Tracy Krumme</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Senior Vice President, Head of Investor Relations</w:t>
            </w:r>
          </w:p>
        </w:tc>
      </w:tr>
      <w:tr>
        <w:trPr/>
        <w:tc>
          <w:tcPr>
            <w:tcW w:w="1790" w:type="dxa"/>
            <w:tcBorders/>
            <w:vAlign w:val="center"/>
          </w:tcPr>
          <w:p>
            <w:pPr>
              <w:pStyle w:val="TableContents"/>
              <w:bidi w:val="0"/>
              <w:spacing w:before="0" w:after="283"/>
              <w:jc w:val="both"/>
              <w:rPr>
                <w:sz w:val="20"/>
              </w:rPr>
            </w:pPr>
            <w:r>
              <w:rPr>
                <w:sz w:val="20"/>
              </w:rPr>
              <w:t>Damian Luis Polla</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General Manager LATAM Operations</w:t>
            </w:r>
          </w:p>
        </w:tc>
      </w:tr>
      <w:tr>
        <w:trPr/>
        <w:tc>
          <w:tcPr>
            <w:tcW w:w="1790" w:type="dxa"/>
            <w:tcBorders/>
            <w:vAlign w:val="center"/>
          </w:tcPr>
          <w:p>
            <w:pPr>
              <w:pStyle w:val="TableContents"/>
              <w:bidi w:val="0"/>
              <w:spacing w:before="0" w:after="283"/>
              <w:jc w:val="both"/>
              <w:rPr>
                <w:sz w:val="20"/>
              </w:rPr>
            </w:pPr>
            <w:r>
              <w:rPr>
                <w:sz w:val="20"/>
              </w:rPr>
              <w:t>Paul Magrath</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Vice President Taxation &amp; Sustainability</w:t>
            </w:r>
          </w:p>
        </w:tc>
      </w:tr>
      <w:tr>
        <w:trPr/>
        <w:tc>
          <w:tcPr>
            <w:tcW w:w="1790" w:type="dxa"/>
            <w:tcBorders/>
            <w:vAlign w:val="center"/>
          </w:tcPr>
          <w:p>
            <w:pPr>
              <w:pStyle w:val="TableContents"/>
              <w:bidi w:val="0"/>
              <w:spacing w:before="0" w:after="283"/>
              <w:jc w:val="both"/>
              <w:rPr>
                <w:sz w:val="20"/>
              </w:rPr>
            </w:pPr>
            <w:r>
              <w:rPr>
                <w:sz w:val="20"/>
              </w:rPr>
              <w:t>Patricia Osorio</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Vice President &amp; Corporate Secretary</w:t>
            </w:r>
          </w:p>
        </w:tc>
      </w:tr>
      <w:tr>
        <w:trPr/>
        <w:tc>
          <w:tcPr>
            <w:tcW w:w="1790" w:type="dxa"/>
            <w:tcBorders/>
            <w:vAlign w:val="center"/>
          </w:tcPr>
          <w:p>
            <w:pPr>
              <w:pStyle w:val="TableContents"/>
              <w:bidi w:val="0"/>
              <w:spacing w:before="0" w:after="283"/>
              <w:jc w:val="both"/>
              <w:rPr>
                <w:sz w:val="20"/>
              </w:rPr>
            </w:pPr>
            <w:r>
              <w:rPr>
                <w:sz w:val="20"/>
              </w:rPr>
              <w:t>Andrea Keen</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Vice President of Human Resources</w:t>
            </w:r>
          </w:p>
        </w:tc>
      </w:tr>
      <w:tr>
        <w:trPr/>
        <w:tc>
          <w:tcPr>
            <w:tcW w:w="1790" w:type="dxa"/>
            <w:tcBorders/>
            <w:vAlign w:val="center"/>
          </w:tcPr>
          <w:p>
            <w:pPr>
              <w:pStyle w:val="TableContents"/>
              <w:bidi w:val="0"/>
              <w:spacing w:before="0" w:after="283"/>
              <w:jc w:val="both"/>
              <w:rPr>
                <w:sz w:val="20"/>
              </w:rPr>
            </w:pPr>
            <w:r>
              <w:rPr>
                <w:sz w:val="20"/>
              </w:rPr>
              <w:t>Stephanie Wargo</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Vice President of Marketing and Communications</w:t>
            </w:r>
          </w:p>
        </w:tc>
      </w:tr>
      <w:tr>
        <w:trPr/>
        <w:tc>
          <w:tcPr>
            <w:tcW w:w="1790" w:type="dxa"/>
            <w:tcBorders/>
            <w:vAlign w:val="center"/>
          </w:tcPr>
          <w:p>
            <w:pPr>
              <w:pStyle w:val="TableContents"/>
              <w:bidi w:val="0"/>
              <w:spacing w:before="0" w:after="283"/>
              <w:jc w:val="both"/>
              <w:rPr>
                <w:sz w:val="20"/>
              </w:rPr>
            </w:pPr>
            <w:r>
              <w:rPr>
                <w:sz w:val="20"/>
              </w:rPr>
              <w:t>Guillaume Reeves</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Vice President Information Technology</w:t>
            </w:r>
          </w:p>
        </w:tc>
      </w:tr>
      <w:tr>
        <w:trPr/>
        <w:tc>
          <w:tcPr>
            <w:tcW w:w="1790" w:type="dxa"/>
            <w:tcBorders/>
            <w:vAlign w:val="center"/>
          </w:tcPr>
          <w:p>
            <w:pPr>
              <w:pStyle w:val="TableContents"/>
              <w:bidi w:val="0"/>
              <w:spacing w:before="0" w:after="283"/>
              <w:jc w:val="both"/>
              <w:rPr>
                <w:sz w:val="20"/>
              </w:rPr>
            </w:pPr>
            <w:r>
              <w:rPr>
                <w:sz w:val="20"/>
              </w:rPr>
              <w:t>Jeff (Jun Feng) Gao</w:t>
            </w:r>
          </w:p>
        </w:tc>
        <w:tc>
          <w:tcPr>
            <w:tcW w:w="80" w:type="dxa"/>
            <w:tcBorders/>
            <w:vAlign w:val="center"/>
          </w:tcPr>
          <w:p>
            <w:pPr>
              <w:pStyle w:val="TableContents"/>
              <w:bidi w:val="0"/>
              <w:spacing w:before="0" w:after="283"/>
              <w:jc w:val="both"/>
              <w:rPr>
                <w:sz w:val="20"/>
              </w:rPr>
            </w:pPr>
            <w:r>
              <w:rPr>
                <w:sz w:val="20"/>
              </w:rPr>
              <w:t>-</w:t>
            </w:r>
          </w:p>
        </w:tc>
        <w:tc>
          <w:tcPr>
            <w:tcW w:w="4475" w:type="dxa"/>
            <w:tcBorders/>
            <w:vAlign w:val="center"/>
          </w:tcPr>
          <w:p>
            <w:pPr>
              <w:pStyle w:val="TableContents"/>
              <w:bidi w:val="0"/>
              <w:spacing w:before="0" w:after="283"/>
              <w:jc w:val="both"/>
              <w:rPr>
                <w:sz w:val="20"/>
              </w:rPr>
            </w:pPr>
            <w:r>
              <w:rPr>
                <w:sz w:val="20"/>
              </w:rPr>
              <w:t>VP of Risk Management and Optimization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Bitfarms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Bitfarms currently has 12 Bitcoin mining facilities and one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about Bitfarms’ events, developments, and online communities: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www.bitfarms.com</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https://www.facebook.com/bitfarms/</w:t>
        <w:br/>
        <w:t>https://twitter.com/Bitfarms_io</w:t>
        <w:br/>
        <w:t>https://www.instagram.com/bitfarms/</w:t>
        <w:br/>
        <w:t>https://www.linkedin.com/company/bitfarms/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Cautionary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EFEFE" w:val="clear"/>
        </w:rPr>
      </w:pPr>
      <w:r>
        <w:rPr>
          <w:rFonts w:ascii="Times New Roman;Times;Serif" w:hAnsi="Times New Roman;Times;Serif"/>
          <w:b/>
          <w:i/>
          <w:caps w:val="false"/>
          <w:smallCaps w:val="false"/>
          <w:sz w:val="20"/>
          <w:shd w:fill="FEFEFE" w:val="clear"/>
        </w:rPr>
        <w:t>Forward-Looking Statements</w:t>
      </w:r>
    </w:p>
    <w:p>
      <w:pPr>
        <w:pStyle w:val="TextBody"/>
        <w:bidi w:val="0"/>
        <w:spacing w:before="0" w:after="0"/>
        <w:ind w:left="0" w:right="0" w:hanging="0"/>
        <w:jc w:val="left"/>
        <w:rPr>
          <w:caps w:val="false"/>
          <w:smallCaps w:val="false"/>
          <w:shd w:fill="FEFEFE" w:val="clear"/>
        </w:rPr>
      </w:pPr>
      <w:r>
        <w:rPr>
          <w:caps w:val="false"/>
          <w:smallCaps w:val="false"/>
          <w:shd w:fill="FEFEFE" w:val="clea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additions to the Board and the benefits thereof, growth opportunities and prospects for the Company,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the Company’s facilities may not occur as currently planned, or at all; expansion may not materialize as currently anticipated, or at all; the power purchase agreements and economics thereof may not be as advantageous as expected;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potential adverse impact on the Company’s profitability; the ability to complete current and future financings; the impact of the Restatement on the price of the Company’s common shares, financial condition and results of operations; the risk that a material weakness in internal control over financial reporting could result in a misstatement of the Company’s financial position that may lead to a material misstatement of the annual or interim consolidated financial statements if not prevented or detected on a timely basis; historical prices of digital currencies and the ability to mine digital currencies that will be consistent with historical prices;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Times;Serif" w:hAnsi="Times New Roman;Times;Serif"/>
          <w:b w:val="false"/>
          <w:i/>
          <w:caps w:val="false"/>
          <w:smallCaps w:val="false"/>
          <w:sz w:val="20"/>
          <w:shd w:fill="FEFEFE" w:val="clear"/>
        </w:rPr>
        <w:t>www.sedarplus.ca</w:t>
      </w:r>
      <w:r>
        <w:rPr>
          <w:rFonts w:ascii="Times New Roman;Times;Serif" w:hAnsi="Times New Roman;Times;Serif"/>
          <w:b w:val="false"/>
          <w:i/>
          <w:caps w:val="false"/>
          <w:smallCaps w:val="false"/>
          <w:sz w:val="20"/>
        </w:rPr>
        <w:t xml:space="preserve"> (which are also available on the website of the U.S. Securities and Exchange Commission at </w:t>
      </w:r>
      <w:r>
        <w:rPr>
          <w:rFonts w:ascii="Times New Roman;Times;Serif" w:hAnsi="Times New Roman;Times;Serif"/>
          <w:b w:val="false"/>
          <w:i/>
          <w:caps w:val="false"/>
          <w:smallCaps w:val="false"/>
          <w:sz w:val="20"/>
          <w:shd w:fill="FEFEFE" w:val="clear"/>
        </w:rPr>
        <w:t>www.sec.gov</w:t>
      </w:r>
      <w:r>
        <w:rPr>
          <w:rFonts w:ascii="Times New Roman;Times;Serif" w:hAnsi="Times New Roman;Times;Serif"/>
          <w:b w:val="false"/>
          <w:i/>
          <w:caps w:val="false"/>
          <w:smallCaps w:val="false"/>
          <w:sz w:val="20"/>
        </w:rPr>
        <w:t xml:space="preserve">), including the MD&amp;A for the year-ended December 31, 2023, filed on March 7, 2024 </w:t>
      </w:r>
      <w:r>
        <w:rPr>
          <w:rFonts w:ascii="Times New Roman;Times;Serif" w:hAnsi="Times New Roman;Times;Serif"/>
          <w:b w:val="false"/>
          <w:i/>
          <w:caps w:val="false"/>
          <w:smallCaps w:val="false"/>
          <w:sz w:val="20"/>
          <w:shd w:fill="FEFEFE" w:val="clear"/>
        </w:rPr>
        <w:t>and the MD&amp;A for three-month period ended March 31, 2024 filed on May 15, 2024.</w:t>
      </w:r>
      <w:r>
        <w:rPr>
          <w:rFonts w:ascii="Times New Roman;Times;Serif" w:hAnsi="Times New Roman;Times;Serif"/>
          <w:b w:val="false"/>
          <w:i/>
          <w:caps w:val="false"/>
          <w:smallCaps w:val="false"/>
          <w:sz w:val="20"/>
        </w:rPr>
        <w:t xml:space="preserve"> Although the Company has attempted to identify important factors that could cause actual results to differ materially from those expressed in forward-looking statements, there may be other factors that cause results not to be as anticipated, estimated or intended, including factors that are currently unknown to or deemed immaterial by the Company.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Investor Relations Contact:</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Tracy Krumme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SVP,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+1 786-671-5638</w:t>
      </w:r>
    </w:p>
    <w:p>
      <w:pPr>
        <w:pStyle w:val="TextBody"/>
        <w:bidi w:val="0"/>
        <w:spacing w:before="0" w:after="0"/>
        <w:ind w:left="0" w:right="0" w:hanging="0"/>
        <w:jc w:val="left"/>
        <w:rPr>
          <w:rFonts w:ascii="Times New Roman;Times;Serif" w:hAnsi="Times New Roman;Times;Serif"/>
          <w:b w:val="false"/>
          <w:i w:val="false"/>
          <w:caps w:val="false"/>
          <w:smallCaps w:val="false"/>
          <w:strike w:val="false"/>
          <w:dstrike w:val="false"/>
          <w:sz w:val="20"/>
          <w:u w:val="none"/>
          <w:effect w:val="none"/>
          <w:shd w:fill="FFFFFF" w:val="clear"/>
        </w:rPr>
      </w:pPr>
      <w:r>
        <w:rPr>
          <w:rFonts w:ascii="Times New Roman;Times;Serif" w:hAnsi="Times New Roman;Times;Serif"/>
          <w:b w:val="false"/>
          <w:i w:val="false"/>
          <w:caps w:val="false"/>
          <w:smallCaps w:val="false"/>
          <w:strike w:val="false"/>
          <w:dstrike w:val="false"/>
          <w:sz w:val="20"/>
          <w:u w:val="none"/>
          <w:effect w:val="none"/>
          <w:shd w:fill="FFFFFF" w:val="clear"/>
        </w:rPr>
        <w:t>tkrumme@bitfarms.com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Actual Agency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Khushboo Chaudhary</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+1 646-373-9946</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mediarelations@bitfarms.com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Québec Media: Tact</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Louis-Martin Leclerc</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+1 418-693-2425</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lmleclerc@tactconseil.ca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U.S. Media</w:t>
        <w:br/>
        <w:t>Dan Katcher or Joseph Sala</w:t>
        <w:br/>
        <w:t>Joele Frank, Wilkinson Brimmer Katcher</w:t>
        <w:br/>
        <w:t>212-355-4449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4</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2477/000121390023052498/ea180981-f10_bitfarmsltd.htm" TargetMode="External"/><Relationship Id="rId3" Type="http://schemas.openxmlformats.org/officeDocument/2006/relationships/hyperlink" Target="https://www.sec.gov/Archives/edgar/data/1812477/000121390024035021/ea0204332-s8_bitfarms.htm" TargetMode="External"/><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1818</Words>
  <Characters>10604</Characters>
  <CharactersWithSpaces>12380</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