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Silverstein Rachel Rose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860" w:hanging="4"/>
        <w:spacing w:after="0" w:line="370" w:lineRule="auto"/>
        <w:tabs>
          <w:tab w:leader="none" w:pos="41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00FF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BROADWAY SUITE 1075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Keel Infrastructure Corp.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KEEL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Gen. Counsel &amp; Corp. Sec.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jc w:val="center"/>
              <w:ind w:right="41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3"/>
          </w:tcPr>
          <w:p>
            <w:pPr>
              <w:ind w:left="3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267,638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267,638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267,638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("RSU") represents a contingent right to receive one share of common stock or an equivalent value in cash at the issuer's election.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RSUs vest yearly in three equal installments starting April 2, 2027.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Rachel Silverstein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-2649220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decimal"/>
      <w:start w:val="12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0765" TargetMode="External"/><Relationship Id="rId14" Type="http://schemas.openxmlformats.org/officeDocument/2006/relationships/hyperlink" Target="http://www.sec.gov/cgi-bin/browse-edgar?action=getcompany&amp;CIK=00018124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2026-04-06T15:51:59Z</dcterms:created>
  <dcterms:modified xsi:type="dcterms:W3CDTF">2026-04-06T15:51:59Z</dcterms:modified>
</cp:coreProperties>
</file>