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20,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333- 272989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Canada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6199</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(Province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Identification Number, if applicable)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110 Yonge Street, Suite 1601, Toronto, Ontario, M5C 1T4</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0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Cogency Global Inc.</w:t>
      </w:r>
    </w:p>
    <w:p>
      <w:pPr>
        <w:ind w:left="4500"/>
        <w:spacing w:after="0" w:line="205" w:lineRule="auto"/>
        <w:rPr>
          <w:sz w:val="20"/>
          <w:szCs w:val="20"/>
          <w:color w:val="auto"/>
        </w:rPr>
      </w:pPr>
      <w:r>
        <w:rPr>
          <w:rFonts w:ascii="Arial" w:cs="Arial" w:eastAsia="Arial" w:hAnsi="Arial"/>
          <w:sz w:val="18"/>
          <w:szCs w:val="18"/>
          <w:b w:val="1"/>
          <w:bCs w:val="1"/>
          <w:color w:val="auto"/>
        </w:rPr>
        <w:t>122 E.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 in the United States)</w:t>
      </w:r>
    </w:p>
    <w:p>
      <w:pPr>
        <w:spacing w:after="0" w:line="207"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4760" w:type="dxa"/>
            <w:vAlign w:val="bottom"/>
          </w:tcPr>
          <w:p>
            <w:pPr>
              <w:ind w:left="660"/>
              <w:spacing w:after="0"/>
              <w:rPr>
                <w:sz w:val="20"/>
                <w:szCs w:val="20"/>
                <w:color w:val="auto"/>
              </w:rPr>
            </w:pPr>
            <w:r>
              <w:rPr>
                <w:rFonts w:ascii="Arial" w:cs="Arial" w:eastAsia="Arial" w:hAnsi="Arial"/>
                <w:sz w:val="18"/>
                <w:szCs w:val="18"/>
                <w:b w:val="1"/>
                <w:bCs w:val="1"/>
                <w:color w:val="auto"/>
              </w:rPr>
              <w:t>Copies to:</w:t>
            </w:r>
          </w:p>
        </w:tc>
      </w:tr>
      <w:tr>
        <w:trPr>
          <w:trHeight w:val="414"/>
        </w:trPr>
        <w:tc>
          <w:tcPr>
            <w:tcW w:w="2900" w:type="dxa"/>
            <w:vAlign w:val="bottom"/>
          </w:tcPr>
          <w:p>
            <w:pPr>
              <w:jc w:val="center"/>
              <w:ind w:right="530"/>
              <w:spacing w:after="0"/>
              <w:rPr>
                <w:sz w:val="20"/>
                <w:szCs w:val="20"/>
                <w:color w:val="auto"/>
              </w:rPr>
            </w:pPr>
            <w:r>
              <w:rPr>
                <w:rFonts w:ascii="Arial" w:cs="Arial" w:eastAsia="Arial" w:hAnsi="Arial"/>
                <w:sz w:val="18"/>
                <w:szCs w:val="18"/>
                <w:b w:val="1"/>
                <w:bCs w:val="1"/>
                <w:color w:val="auto"/>
                <w:w w:val="96"/>
              </w:rPr>
              <w:t>Mark D. Wood</w:t>
            </w:r>
          </w:p>
        </w:tc>
        <w:tc>
          <w:tcPr>
            <w:tcW w:w="476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Dennis Peterson</w:t>
            </w:r>
          </w:p>
        </w:tc>
      </w:tr>
      <w:tr>
        <w:trPr>
          <w:trHeight w:val="220"/>
        </w:trPr>
        <w:tc>
          <w:tcPr>
            <w:tcW w:w="290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Alyse A. Sagalchik</w:t>
            </w:r>
          </w:p>
        </w:tc>
        <w:tc>
          <w:tcPr>
            <w:tcW w:w="4760" w:type="dxa"/>
            <w:vAlign w:val="bottom"/>
          </w:tcPr>
          <w:p>
            <w:pPr>
              <w:jc w:val="center"/>
              <w:ind w:left="2850"/>
              <w:spacing w:after="0"/>
              <w:rPr>
                <w:sz w:val="20"/>
                <w:szCs w:val="20"/>
                <w:color w:val="auto"/>
              </w:rPr>
            </w:pPr>
            <w:r>
              <w:rPr>
                <w:rFonts w:ascii="Arial" w:cs="Arial" w:eastAsia="Arial" w:hAnsi="Arial"/>
                <w:sz w:val="18"/>
                <w:szCs w:val="18"/>
                <w:color w:val="auto"/>
                <w:w w:val="92"/>
              </w:rPr>
              <w:t>Peterson McVicar LLP</w:t>
            </w:r>
          </w:p>
        </w:tc>
      </w:tr>
      <w:tr>
        <w:trPr>
          <w:trHeight w:val="216"/>
        </w:trPr>
        <w:tc>
          <w:tcPr>
            <w:tcW w:w="2900" w:type="dxa"/>
            <w:vAlign w:val="bottom"/>
          </w:tcPr>
          <w:p>
            <w:pPr>
              <w:jc w:val="center"/>
              <w:ind w:right="550"/>
              <w:spacing w:after="0"/>
              <w:rPr>
                <w:sz w:val="20"/>
                <w:szCs w:val="20"/>
                <w:color w:val="auto"/>
              </w:rPr>
            </w:pPr>
            <w:r>
              <w:rPr>
                <w:rFonts w:ascii="Arial" w:cs="Arial" w:eastAsia="Arial" w:hAnsi="Arial"/>
                <w:sz w:val="18"/>
                <w:szCs w:val="18"/>
                <w:color w:val="auto"/>
                <w:w w:val="92"/>
              </w:rPr>
              <w:t>Katten Muchin Rosenman LLP</w:t>
            </w:r>
          </w:p>
        </w:tc>
        <w:tc>
          <w:tcPr>
            <w:tcW w:w="4760" w:type="dxa"/>
            <w:vAlign w:val="bottom"/>
          </w:tcPr>
          <w:p>
            <w:pPr>
              <w:jc w:val="center"/>
              <w:ind w:left="2870"/>
              <w:spacing w:after="0"/>
              <w:rPr>
                <w:sz w:val="20"/>
                <w:szCs w:val="20"/>
                <w:color w:val="auto"/>
              </w:rPr>
            </w:pPr>
            <w:r>
              <w:rPr>
                <w:rFonts w:ascii="Arial" w:cs="Arial" w:eastAsia="Arial" w:hAnsi="Arial"/>
                <w:sz w:val="18"/>
                <w:szCs w:val="18"/>
                <w:color w:val="auto"/>
                <w:w w:val="91"/>
              </w:rPr>
              <w:t>18 King St. E., Suite 902</w:t>
            </w:r>
          </w:p>
        </w:tc>
      </w:tr>
      <w:tr>
        <w:trPr>
          <w:trHeight w:val="216"/>
        </w:trPr>
        <w:tc>
          <w:tcPr>
            <w:tcW w:w="2900" w:type="dxa"/>
            <w:vAlign w:val="bottom"/>
          </w:tcPr>
          <w:p>
            <w:pPr>
              <w:jc w:val="center"/>
              <w:ind w:right="530"/>
              <w:spacing w:after="0"/>
              <w:rPr>
                <w:sz w:val="20"/>
                <w:szCs w:val="20"/>
                <w:color w:val="auto"/>
              </w:rPr>
            </w:pPr>
            <w:r>
              <w:rPr>
                <w:rFonts w:ascii="Arial" w:cs="Arial" w:eastAsia="Arial" w:hAnsi="Arial"/>
                <w:sz w:val="18"/>
                <w:szCs w:val="18"/>
                <w:color w:val="auto"/>
                <w:w w:val="90"/>
              </w:rPr>
              <w:t>525 W. Monroe Street</w:t>
            </w:r>
          </w:p>
        </w:tc>
        <w:tc>
          <w:tcPr>
            <w:tcW w:w="4760" w:type="dxa"/>
            <w:vAlign w:val="bottom"/>
          </w:tcPr>
          <w:p>
            <w:pPr>
              <w:jc w:val="center"/>
              <w:ind w:left="2870"/>
              <w:spacing w:after="0"/>
              <w:rPr>
                <w:sz w:val="20"/>
                <w:szCs w:val="20"/>
                <w:color w:val="auto"/>
              </w:rPr>
            </w:pPr>
            <w:r>
              <w:rPr>
                <w:rFonts w:ascii="Arial" w:cs="Arial" w:eastAsia="Arial" w:hAnsi="Arial"/>
                <w:sz w:val="18"/>
                <w:szCs w:val="18"/>
                <w:color w:val="auto"/>
                <w:w w:val="93"/>
              </w:rPr>
              <w:t>Toronto, ON M5C 1C4</w:t>
            </w:r>
          </w:p>
        </w:tc>
      </w:tr>
      <w:tr>
        <w:trPr>
          <w:trHeight w:val="216"/>
        </w:trPr>
        <w:tc>
          <w:tcPr>
            <w:tcW w:w="2900" w:type="dxa"/>
            <w:vAlign w:val="bottom"/>
          </w:tcPr>
          <w:p>
            <w:pPr>
              <w:jc w:val="center"/>
              <w:ind w:right="530"/>
              <w:spacing w:after="0"/>
              <w:rPr>
                <w:sz w:val="20"/>
                <w:szCs w:val="20"/>
                <w:color w:val="auto"/>
              </w:rPr>
            </w:pPr>
            <w:r>
              <w:rPr>
                <w:rFonts w:ascii="Arial" w:cs="Arial" w:eastAsia="Arial" w:hAnsi="Arial"/>
                <w:sz w:val="18"/>
                <w:szCs w:val="18"/>
                <w:color w:val="auto"/>
                <w:w w:val="93"/>
              </w:rPr>
              <w:t>Chicago, IL 60661</w:t>
            </w:r>
          </w:p>
        </w:tc>
        <w:tc>
          <w:tcPr>
            <w:tcW w:w="4760" w:type="dxa"/>
            <w:vAlign w:val="bottom"/>
          </w:tcPr>
          <w:p>
            <w:pPr>
              <w:jc w:val="center"/>
              <w:ind w:left="2850"/>
              <w:spacing w:after="0"/>
              <w:rPr>
                <w:sz w:val="20"/>
                <w:szCs w:val="20"/>
                <w:color w:val="auto"/>
              </w:rPr>
            </w:pPr>
            <w:r>
              <w:rPr>
                <w:rFonts w:ascii="Arial" w:cs="Arial" w:eastAsia="Arial" w:hAnsi="Arial"/>
                <w:sz w:val="18"/>
                <w:szCs w:val="18"/>
                <w:color w:val="auto"/>
                <w:w w:val="92"/>
              </w:rPr>
              <w:t>(647) 259-1790</w:t>
            </w:r>
          </w:p>
        </w:tc>
      </w:tr>
      <w:tr>
        <w:trPr>
          <w:trHeight w:val="230"/>
        </w:trPr>
        <w:tc>
          <w:tcPr>
            <w:tcW w:w="2900" w:type="dxa"/>
            <w:vAlign w:val="bottom"/>
          </w:tcPr>
          <w:p>
            <w:pPr>
              <w:jc w:val="center"/>
              <w:ind w:right="530"/>
              <w:spacing w:after="0"/>
              <w:rPr>
                <w:sz w:val="20"/>
                <w:szCs w:val="20"/>
                <w:color w:val="auto"/>
              </w:rPr>
            </w:pPr>
            <w:r>
              <w:rPr>
                <w:rFonts w:ascii="Arial" w:cs="Arial" w:eastAsia="Arial" w:hAnsi="Arial"/>
                <w:sz w:val="18"/>
                <w:szCs w:val="18"/>
                <w:color w:val="auto"/>
                <w:w w:val="90"/>
              </w:rPr>
              <w:t>(312) 902-5200</w:t>
            </w:r>
          </w:p>
        </w:tc>
        <w:tc>
          <w:tcPr>
            <w:tcW w:w="47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soon as practicable after this Registration Statement becomes effective</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Province of Ontario, Canada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jurisdiction regulating this offering)</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shall become effective (check appropriate box below):</w:t>
      </w:r>
    </w:p>
    <w:p>
      <w:pPr>
        <w:spacing w:after="0" w:line="180" w:lineRule="exact"/>
        <w:rPr>
          <w:sz w:val="24"/>
          <w:szCs w:val="24"/>
          <w:color w:val="auto"/>
        </w:rPr>
      </w:pPr>
    </w:p>
    <w:p>
      <w:pPr>
        <w:ind w:left="660" w:hanging="652"/>
        <w:spacing w:after="0" w:line="245" w:lineRule="exact"/>
        <w:tabs>
          <w:tab w:leader="none" w:pos="336"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upon filing with the Commission, pursuant to Rule 467(a) (if in connection with an offering being made contemporaneously in the United States and Canada).</w:t>
      </w:r>
    </w:p>
    <w:p>
      <w:pPr>
        <w:spacing w:after="0" w:line="158"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at some future date (check the appropriate box below)</w:t>
      </w:r>
    </w:p>
    <w:p>
      <w:pPr>
        <w:spacing w:after="0" w:line="225" w:lineRule="exact"/>
        <w:rPr>
          <w:sz w:val="24"/>
          <w:szCs w:val="24"/>
          <w:color w:val="auto"/>
        </w:rPr>
      </w:pPr>
    </w:p>
    <w:tbl>
      <w:tblPr>
        <w:tblLayout w:type="fixed"/>
        <w:tblInd w:w="340" w:type="dxa"/>
        <w:tblCellMar>
          <w:top w:w="0" w:type="dxa"/>
          <w:left w:w="0" w:type="dxa"/>
          <w:bottom w:w="0" w:type="dxa"/>
          <w:right w:w="0" w:type="dxa"/>
        </w:tblCellMar>
      </w:tblPr>
      <w:tr>
        <w:trPr>
          <w:trHeight w:val="303"/>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1.</w:t>
            </w:r>
          </w:p>
        </w:tc>
        <w:tc>
          <w:tcPr>
            <w:tcW w:w="3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ind w:left="80"/>
              <w:spacing w:after="0"/>
              <w:rPr>
                <w:sz w:val="20"/>
                <w:szCs w:val="20"/>
                <w:color w:val="auto"/>
              </w:rPr>
            </w:pPr>
            <w:r>
              <w:rPr>
                <w:rFonts w:ascii="Arial" w:cs="Arial" w:eastAsia="Arial" w:hAnsi="Arial"/>
                <w:sz w:val="18"/>
                <w:szCs w:val="18"/>
                <w:color w:val="auto"/>
                <w:w w:val="93"/>
              </w:rPr>
              <w:t>pursuant to Rule 467(b) on (</w:t>
            </w:r>
          </w:p>
        </w:tc>
        <w:tc>
          <w:tcPr>
            <w:tcW w:w="8140" w:type="dxa"/>
            <w:vAlign w:val="bottom"/>
          </w:tcPr>
          <w:p>
            <w:pPr>
              <w:ind w:left="60"/>
              <w:spacing w:after="0"/>
              <w:rPr>
                <w:sz w:val="20"/>
                <w:szCs w:val="20"/>
                <w:color w:val="auto"/>
              </w:rPr>
            </w:pPr>
            <w:r>
              <w:rPr>
                <w:rFonts w:ascii="Arial" w:cs="Arial" w:eastAsia="Arial" w:hAnsi="Arial"/>
                <w:sz w:val="18"/>
                <w:szCs w:val="18"/>
                <w:color w:val="auto"/>
              </w:rPr>
              <w:t>) at (  ) (designate a time not sooner than 7 calendar days after filing).</w:t>
            </w:r>
          </w:p>
        </w:tc>
      </w:tr>
      <w:tr>
        <w:trPr>
          <w:trHeight w:val="390"/>
        </w:trPr>
        <w:tc>
          <w:tcPr>
            <w:tcW w:w="220" w:type="dxa"/>
            <w:vAlign w:val="bottom"/>
          </w:tcPr>
          <w:p>
            <w:pPr>
              <w:jc w:val="right"/>
              <w:ind w:right="16"/>
              <w:spacing w:after="0"/>
              <w:rPr>
                <w:sz w:val="20"/>
                <w:szCs w:val="20"/>
                <w:color w:val="auto"/>
              </w:rPr>
            </w:pPr>
            <w:r>
              <w:rPr>
                <w:rFonts w:ascii="Arial" w:cs="Arial" w:eastAsia="Arial" w:hAnsi="Arial"/>
                <w:sz w:val="17"/>
                <w:szCs w:val="17"/>
                <w:color w:val="auto"/>
                <w:w w:val="70"/>
              </w:rPr>
              <w:t>2.</w:t>
            </w:r>
          </w:p>
        </w:tc>
        <w:tc>
          <w:tcPr>
            <w:tcW w:w="3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ind w:left="80"/>
              <w:spacing w:after="0"/>
              <w:rPr>
                <w:sz w:val="20"/>
                <w:szCs w:val="20"/>
                <w:color w:val="auto"/>
              </w:rPr>
            </w:pPr>
            <w:r>
              <w:rPr>
                <w:rFonts w:ascii="Arial" w:cs="Arial" w:eastAsia="Arial" w:hAnsi="Arial"/>
                <w:sz w:val="18"/>
                <w:szCs w:val="18"/>
                <w:color w:val="auto"/>
                <w:w w:val="93"/>
              </w:rPr>
              <w:t>pursuant to Rule 467(b) on (</w:t>
            </w:r>
          </w:p>
        </w:tc>
        <w:tc>
          <w:tcPr>
            <w:tcW w:w="8140" w:type="dxa"/>
            <w:vAlign w:val="bottom"/>
          </w:tcPr>
          <w:p>
            <w:pPr>
              <w:ind w:left="120"/>
              <w:spacing w:after="0"/>
              <w:rPr>
                <w:sz w:val="20"/>
                <w:szCs w:val="20"/>
                <w:color w:val="auto"/>
              </w:rPr>
            </w:pPr>
            <w:r>
              <w:rPr>
                <w:rFonts w:ascii="Arial" w:cs="Arial" w:eastAsia="Arial" w:hAnsi="Arial"/>
                <w:sz w:val="18"/>
                <w:szCs w:val="18"/>
                <w:color w:val="auto"/>
                <w:w w:val="92"/>
              </w:rPr>
              <w:t>) at (  ) (designate a time 7 calendar days or sooner after filing) because the securities regulatory authority in</w:t>
            </w:r>
          </w:p>
        </w:tc>
      </w:tr>
      <w:tr>
        <w:trPr>
          <w:trHeight w:val="230"/>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40" w:type="dxa"/>
            <w:vAlign w:val="bottom"/>
            <w:gridSpan w:val="2"/>
          </w:tcPr>
          <w:p>
            <w:pPr>
              <w:ind w:left="80"/>
              <w:spacing w:after="0"/>
              <w:rPr>
                <w:sz w:val="20"/>
                <w:szCs w:val="20"/>
                <w:color w:val="auto"/>
              </w:rPr>
            </w:pPr>
            <w:r>
              <w:rPr>
                <w:rFonts w:ascii="Arial" w:cs="Arial" w:eastAsia="Arial" w:hAnsi="Arial"/>
                <w:sz w:val="18"/>
                <w:szCs w:val="18"/>
                <w:color w:val="auto"/>
              </w:rPr>
              <w:t>the review jurisdiction has issued a receipt or notification of clearance on (  ).</w:t>
            </w:r>
          </w:p>
        </w:tc>
      </w:tr>
    </w:tbl>
    <w:p>
      <w:pPr>
        <w:spacing w:after="0" w:line="157" w:lineRule="exact"/>
        <w:rPr>
          <w:sz w:val="24"/>
          <w:szCs w:val="24"/>
          <w:color w:val="auto"/>
        </w:rPr>
      </w:pPr>
    </w:p>
    <w:p>
      <w:pPr>
        <w:ind w:left="980" w:hanging="648"/>
        <w:spacing w:after="0" w:line="245" w:lineRule="exact"/>
        <w:tabs>
          <w:tab w:leader="none" w:pos="656"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58"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after the filing of the next amendment to this Form (if preliminary material is being filed).</w:t>
      </w:r>
    </w:p>
    <w:p>
      <w:pPr>
        <w:spacing w:after="0" w:line="270" w:lineRule="exact"/>
        <w:rPr>
          <w:sz w:val="24"/>
          <w:szCs w:val="24"/>
          <w:color w:val="auto"/>
        </w:rPr>
      </w:pPr>
    </w:p>
    <w:p>
      <w:pPr>
        <w:jc w:val="both"/>
        <w:ind w:right="20"/>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registration statement shall become effective as provided in Rule 467 under the U.S. Securities Act of 1933, as amended (the “U.S. Securities Act”) or on such date as the Commission, acting pursuant to Section 8(a) of the U.S.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731"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No. 3 to the Registration Statement on Form F-10 (File No. 333-272989) (the “Registration Statement”) is being filed solely for the purpose of delaying the effectiveness of the Registration Statement. This Amendment No. 3 does not modify any provision of the prospectus that forms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FF0000"/>
        </w:rPr>
        <w:t>This short form prospectus is a base shelf prospectus. This short form base shelf prospectus has been filed under legislation in each of the provinces and territories of Canada, that permits certain information about these securities to be determined after this short form base shelf prospectus has become final and that permits the omission from this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Information has been incorporated by reference in this short form base shelf prospectus from documents filed with the securities commissions or similar authorities in Canada. Copies of the documents incorporated herein by reference may be obtained on request without charge from the Chief Financial Officer of Bitfarms Ltd. at 110 Yonge Street, Suite 1601, Toronto, ON M5C 1T4 (Telephone 647 259-1790), and are also available electronically at www.sedarplus.ca.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 FORM BASE SHELF PROSPECTUS</w:t>
      </w:r>
    </w:p>
    <w:p>
      <w:pPr>
        <w:spacing w:after="0" w:line="229" w:lineRule="exact"/>
        <w:rPr>
          <w:sz w:val="20"/>
          <w:szCs w:val="20"/>
          <w:color w:val="auto"/>
        </w:rPr>
      </w:pPr>
    </w:p>
    <w:p>
      <w:pPr>
        <w:spacing w:after="0"/>
        <w:tabs>
          <w:tab w:leader="none" w:pos="9780" w:val="left"/>
        </w:tabs>
        <w:rPr>
          <w:sz w:val="20"/>
          <w:szCs w:val="20"/>
          <w:color w:val="auto"/>
        </w:rPr>
      </w:pPr>
      <w:r>
        <w:rPr>
          <w:rFonts w:ascii="Arial" w:cs="Arial" w:eastAsia="Arial" w:hAnsi="Arial"/>
          <w:sz w:val="18"/>
          <w:szCs w:val="18"/>
          <w:u w:val="single" w:color="auto"/>
          <w:color w:val="auto"/>
        </w:rPr>
        <w:t>New Issue and/or Secondary Offering</w:t>
      </w:r>
      <w:r>
        <w:rPr>
          <w:sz w:val="20"/>
          <w:szCs w:val="20"/>
          <w:color w:val="auto"/>
        </w:rPr>
        <w:tab/>
      </w:r>
      <w:r>
        <w:rPr>
          <w:rFonts w:ascii="Arial" w:cs="Arial" w:eastAsia="Arial" w:hAnsi="Arial"/>
          <w:sz w:val="16"/>
          <w:szCs w:val="16"/>
          <w:color w:val="auto"/>
        </w:rPr>
        <w:t>November 10,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154305</wp:posOffset>
            </wp:positionV>
            <wp:extent cx="252031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US$375,000,000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Purchase Contracts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short form base shelf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relates to the offering for sale from time to time, during the 25-month period, that this prospectus, including any amendments hereto, remains effective, of the securities of Bitfarms Ltd.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Bitfarms</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xml:space="preserve">”) listed above in one or more series or issuances, with a total offering price of such securities, in the aggregate, of up to </w:t>
      </w:r>
      <w:r>
        <w:rPr>
          <w:rFonts w:ascii="Arial" w:cs="Arial" w:eastAsia="Arial" w:hAnsi="Arial"/>
          <w:sz w:val="16"/>
          <w:szCs w:val="16"/>
          <w:b w:val="1"/>
          <w:bCs w:val="1"/>
          <w:color w:val="auto"/>
        </w:rPr>
        <w:t>US$375,000,000</w:t>
      </w:r>
      <w:r>
        <w:rPr>
          <w:rFonts w:ascii="Arial" w:cs="Arial" w:eastAsia="Arial" w:hAnsi="Arial"/>
          <w:sz w:val="16"/>
          <w:szCs w:val="16"/>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common shares of the Company (“</w:t>
      </w:r>
      <w:r>
        <w:rPr>
          <w:rFonts w:ascii="Arial" w:cs="Arial" w:eastAsia="Arial" w:hAnsi="Arial"/>
          <w:sz w:val="17"/>
          <w:szCs w:val="17"/>
          <w:b w:val="1"/>
          <w:bCs w:val="1"/>
          <w:color w:val="auto"/>
        </w:rPr>
        <w:t>Common Shares</w:t>
      </w:r>
      <w:r>
        <w:rPr>
          <w:rFonts w:ascii="Arial" w:cs="Arial" w:eastAsia="Arial" w:hAnsi="Arial"/>
          <w:sz w:val="17"/>
          <w:szCs w:val="17"/>
          <w:color w:val="auto"/>
        </w:rPr>
        <w:t>”) are listed for trading on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under the trading symbol “BITF” and on the Toronto Stock Exchange (the “</w:t>
      </w:r>
      <w:r>
        <w:rPr>
          <w:rFonts w:ascii="Arial" w:cs="Arial" w:eastAsia="Arial" w:hAnsi="Arial"/>
          <w:sz w:val="17"/>
          <w:szCs w:val="17"/>
          <w:b w:val="1"/>
          <w:bCs w:val="1"/>
          <w:color w:val="auto"/>
        </w:rPr>
        <w:t>TSX</w:t>
      </w:r>
      <w:r>
        <w:rPr>
          <w:rFonts w:ascii="Arial" w:cs="Arial" w:eastAsia="Arial" w:hAnsi="Arial"/>
          <w:sz w:val="17"/>
          <w:szCs w:val="17"/>
          <w:color w:val="auto"/>
        </w:rPr>
        <w:t>”) under the trading symbol “BITF”. On November 9, 2023, being the last complete trading day prior to the date hereof, the closing price of the Common Shares on the TSX and Nasdaq was C$1.66 and US$1.20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91" w:lineRule="auto"/>
        <w:rPr>
          <w:sz w:val="20"/>
          <w:szCs w:val="20"/>
          <w:color w:val="auto"/>
        </w:rPr>
      </w:pPr>
      <w:r>
        <w:rPr>
          <w:rFonts w:ascii="Arial" w:cs="Arial" w:eastAsia="Arial" w:hAnsi="Arial"/>
          <w:sz w:val="16"/>
          <w:szCs w:val="16"/>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Arial" w:cs="Arial" w:eastAsia="Arial" w:hAnsi="Arial"/>
          <w:sz w:val="16"/>
          <w:szCs w:val="16"/>
          <w:b w:val="1"/>
          <w:bCs w:val="1"/>
          <w:color w:val="auto"/>
        </w:rPr>
        <w:t>There is currently no market through which the</w:t>
      </w:r>
    </w:p>
    <w:p>
      <w:pPr>
        <w:jc w:val="both"/>
        <w:spacing w:after="0" w:line="253" w:lineRule="auto"/>
        <w:rPr>
          <w:sz w:val="20"/>
          <w:szCs w:val="20"/>
          <w:color w:val="auto"/>
        </w:rPr>
      </w:pPr>
      <w:r>
        <w:rPr>
          <w:rFonts w:ascii="Arial" w:cs="Arial" w:eastAsia="Arial" w:hAnsi="Arial"/>
          <w:sz w:val="18"/>
          <w:szCs w:val="18"/>
          <w:b w:val="1"/>
          <w:bCs w:val="1"/>
          <w:color w:val="auto"/>
        </w:rPr>
        <w:t>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Arial" w:cs="Arial" w:eastAsia="Arial" w:hAnsi="Arial"/>
          <w:sz w:val="18"/>
          <w:szCs w:val="18"/>
          <w:b w:val="1"/>
          <w:bCs w:val="1"/>
          <w:i w:val="1"/>
          <w:iCs w:val="1"/>
          <w:color w:val="auto"/>
        </w:rPr>
        <w:t>RISK</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FACTORS</w:t>
      </w:r>
      <w:r>
        <w:rPr>
          <w:rFonts w:ascii="Arial" w:cs="Arial" w:eastAsia="Arial" w:hAnsi="Arial"/>
          <w:sz w:val="18"/>
          <w:szCs w:val="18"/>
          <w:b w:val="1"/>
          <w:bCs w:val="1"/>
          <w:color w:val="auto"/>
        </w:rPr>
        <w: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Arial" w:cs="Arial" w:eastAsia="Arial" w:hAnsi="Arial"/>
          <w:sz w:val="17"/>
          <w:szCs w:val="17"/>
          <w:b w:val="1"/>
          <w:bCs w:val="1"/>
          <w:color w:val="auto"/>
        </w:rPr>
        <w:t>NI 44-102</w:t>
      </w:r>
      <w:r>
        <w:rPr>
          <w:rFonts w:ascii="Arial" w:cs="Arial" w:eastAsia="Arial" w:hAnsi="Arial"/>
          <w:sz w:val="17"/>
          <w:szCs w:val="17"/>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Arial" w:cs="Arial" w:eastAsia="Arial" w:hAnsi="Arial"/>
          <w:sz w:val="18"/>
          <w:szCs w:val="18"/>
          <w:b w:val="1"/>
          <w:bCs w:val="1"/>
          <w:i w:val="1"/>
          <w:iCs w:val="1"/>
          <w:color w:val="auto"/>
        </w:rPr>
        <w:t>SECONDARY OFFERING BY SELLING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SECURITYHOLDERS”</w:t>
      </w:r>
      <w:r>
        <w:rPr>
          <w:rFonts w:ascii="Arial" w:cs="Arial" w:eastAsia="Arial" w:hAnsi="Arial"/>
          <w:sz w:val="18"/>
          <w:szCs w:val="18"/>
          <w:b w:val="1"/>
          <w:bCs w:val="1"/>
          <w:color w:val="auto"/>
        </w:rPr>
        <w:t>.</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4" w:lineRule="exact"/>
        <w:rPr>
          <w:sz w:val="20"/>
          <w:szCs w:val="20"/>
          <w:color w:val="auto"/>
        </w:rPr>
      </w:pPr>
    </w:p>
    <w:p>
      <w:pPr>
        <w:jc w:val="both"/>
        <w:ind w:firstLine="8"/>
        <w:spacing w:after="0" w:line="267" w:lineRule="auto"/>
        <w:tabs>
          <w:tab w:leader="none" w:pos="317"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Arial" w:cs="Arial" w:eastAsia="Arial" w:hAnsi="Arial"/>
          <w:sz w:val="17"/>
          <w:szCs w:val="17"/>
          <w:b w:val="1"/>
          <w:bCs w:val="1"/>
          <w:color w:val="auto"/>
        </w:rPr>
        <w:t>Selling Securityholders</w:t>
      </w:r>
      <w:r>
        <w:rPr>
          <w:rFonts w:ascii="Arial" w:cs="Arial" w:eastAsia="Arial" w:hAnsi="Arial"/>
          <w:sz w:val="17"/>
          <w:szCs w:val="17"/>
          <w:color w:val="auto"/>
        </w:rPr>
        <w:t>” and each a “</w:t>
      </w:r>
      <w:r>
        <w:rPr>
          <w:rFonts w:ascii="Arial" w:cs="Arial" w:eastAsia="Arial" w:hAnsi="Arial"/>
          <w:sz w:val="17"/>
          <w:szCs w:val="17"/>
          <w:b w:val="1"/>
          <w:bCs w:val="1"/>
          <w:color w:val="auto"/>
        </w:rPr>
        <w:t>Selling Securityholder</w:t>
      </w:r>
      <w:r>
        <w:rPr>
          <w:rFonts w:ascii="Arial" w:cs="Arial" w:eastAsia="Arial" w:hAnsi="Arial"/>
          <w:sz w:val="17"/>
          <w:szCs w:val="17"/>
          <w:color w:val="auto"/>
        </w:rPr>
        <w:t>”). See “</w:t>
      </w:r>
      <w:r>
        <w:rPr>
          <w:rFonts w:ascii="Arial" w:cs="Arial" w:eastAsia="Arial" w:hAnsi="Arial"/>
          <w:sz w:val="17"/>
          <w:szCs w:val="17"/>
          <w:i w:val="1"/>
          <w:iCs w:val="1"/>
          <w:color w:val="auto"/>
        </w:rPr>
        <w:t>SECONDARY OFFERING BY SELLING</w:t>
      </w:r>
      <w:r>
        <w:rPr>
          <w:rFonts w:ascii="Arial" w:cs="Arial" w:eastAsia="Arial" w:hAnsi="Arial"/>
          <w:sz w:val="17"/>
          <w:szCs w:val="17"/>
          <w:color w:val="auto"/>
        </w:rPr>
        <w:t xml:space="preserve"> </w:t>
      </w:r>
      <w:r>
        <w:rPr>
          <w:rFonts w:ascii="Arial" w:cs="Arial" w:eastAsia="Arial" w:hAnsi="Arial"/>
          <w:sz w:val="17"/>
          <w:szCs w:val="17"/>
          <w:i w:val="1"/>
          <w:iCs w:val="1"/>
          <w:color w:val="auto"/>
        </w:rPr>
        <w:t>SECURITYHOLDERS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72" w:lineRule="auto"/>
        <w:rPr>
          <w:sz w:val="20"/>
          <w:szCs w:val="20"/>
          <w:color w:val="auto"/>
        </w:rPr>
      </w:pPr>
      <w:r>
        <w:rPr>
          <w:rFonts w:ascii="Arial" w:cs="Arial" w:eastAsia="Arial" w:hAnsi="Arial"/>
          <w:sz w:val="17"/>
          <w:szCs w:val="17"/>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located at 110 Yonge Street, Suite 1601, Toronto, ON M5C 1T4.</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6"/>
          </w:tcPr>
          <w:p>
            <w:pPr>
              <w:ind w:left="50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w:t>
            </w:r>
          </w:p>
        </w:tc>
        <w:tc>
          <w:tcPr>
            <w:tcW w:w="6380" w:type="dxa"/>
            <w:vAlign w:val="bottom"/>
            <w:tcBorders>
              <w:bottom w:val="single" w:sz="8" w:color="CCEEFF"/>
            </w:tcBorders>
            <w:gridSpan w:val="1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DOCUMENTS INCORPORATED BY REFERENCE</w:t>
            </w:r>
          </w:p>
        </w:tc>
        <w:tc>
          <w:tcPr>
            <w:tcW w:w="470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CURRENCY PRESENTATION AND EXCHANGE RATE INFORMATION</w:t>
            </w:r>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color w:val="0000EE"/>
                <w:w w:val="94"/>
              </w:rPr>
              <w:t>DOCUMENTS FILED AS PART OF THE REGISTRATION STATEMENT</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8</w:t>
            </w:r>
          </w:p>
        </w:tc>
      </w:tr>
      <w:tr>
        <w:trPr>
          <w:trHeight w:val="176"/>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AVAILABLE INFORMATION</w:t>
            </w:r>
          </w:p>
        </w:tc>
        <w:tc>
          <w:tcPr>
            <w:tcW w:w="2620" w:type="dxa"/>
            <w:vAlign w:val="bottom"/>
          </w:tcPr>
          <w:p>
            <w:pPr>
              <w:jc w:val="center"/>
              <w:ind w:left="1530"/>
              <w:spacing w:after="0" w:line="176" w:lineRule="exact"/>
              <w:rPr>
                <w:sz w:val="20"/>
                <w:szCs w:val="20"/>
                <w:color w:val="auto"/>
              </w:rPr>
            </w:pPr>
            <w:r>
              <w:rPr>
                <w:rFonts w:ascii="Arial" w:cs="Arial" w:eastAsia="Arial" w:hAnsi="Arial"/>
                <w:sz w:val="18"/>
                <w:szCs w:val="18"/>
                <w:color w:val="auto"/>
                <w:w w:val="79"/>
              </w:rPr>
              <w:t>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THE COMPANY</w:t>
            </w:r>
          </w:p>
        </w:tc>
        <w:tc>
          <w:tcPr>
            <w:tcW w:w="2620" w:type="dxa"/>
            <w:vAlign w:val="bottom"/>
            <w:shd w:val="clear" w:color="auto" w:fill="CCEEFF"/>
          </w:tcPr>
          <w:p>
            <w:pPr>
              <w:jc w:val="center"/>
              <w:ind w:left="1530"/>
              <w:spacing w:after="0" w:line="176" w:lineRule="exact"/>
              <w:rPr>
                <w:sz w:val="20"/>
                <w:szCs w:val="20"/>
                <w:color w:val="auto"/>
              </w:rPr>
            </w:pPr>
            <w:r>
              <w:rPr>
                <w:rFonts w:ascii="Arial" w:cs="Arial" w:eastAsia="Arial" w:hAnsi="Arial"/>
                <w:sz w:val="18"/>
                <w:szCs w:val="18"/>
                <w:color w:val="auto"/>
                <w:w w:val="79"/>
              </w:rPr>
              <w:t>9</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PROMOTERS</w:t>
            </w:r>
          </w:p>
        </w:tc>
        <w:tc>
          <w:tcPr>
            <w:tcW w:w="7340" w:type="dxa"/>
            <w:vAlign w:val="bottom"/>
            <w:tcBorders>
              <w:top w:val="single" w:sz="8" w:color="CCEEFF"/>
            </w:tcBorders>
            <w:gridSpan w:val="2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SECONDARY OFFERING BY 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18</w:t>
            </w:r>
          </w:p>
        </w:tc>
      </w:tr>
      <w:tr>
        <w:trPr>
          <w:trHeight w:val="176"/>
        </w:trPr>
        <w:tc>
          <w:tcPr>
            <w:tcW w:w="4860" w:type="dxa"/>
            <w:vAlign w:val="bottom"/>
            <w:tcBorders>
              <w:top w:val="single" w:sz="8" w:color="0000EE"/>
            </w:tcBorders>
            <w:gridSpan w:val="24"/>
          </w:tcPr>
          <w:p>
            <w:pPr>
              <w:spacing w:after="0" w:line="176" w:lineRule="exact"/>
              <w:rPr>
                <w:sz w:val="20"/>
                <w:szCs w:val="20"/>
                <w:color w:val="auto"/>
              </w:rPr>
            </w:pPr>
            <w:r>
              <w:rPr>
                <w:rFonts w:ascii="Arial" w:cs="Arial" w:eastAsia="Arial" w:hAnsi="Arial"/>
                <w:sz w:val="18"/>
                <w:szCs w:val="18"/>
                <w:color w:val="0000EE"/>
              </w:rPr>
              <w:t>RISK FACTORS</w:t>
            </w:r>
          </w:p>
        </w:tc>
        <w:tc>
          <w:tcPr>
            <w:tcW w:w="376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41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3"/>
              </w:rPr>
              <w:t>PRIOR SALES</w:t>
            </w:r>
          </w:p>
        </w:tc>
        <w:tc>
          <w:tcPr>
            <w:tcW w:w="7480" w:type="dxa"/>
            <w:vAlign w:val="bottom"/>
            <w:tcBorders>
              <w:bottom w:val="single" w:sz="8" w:color="CCEEFF"/>
            </w:tcBorders>
            <w:gridSpan w:val="2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45</w:t>
            </w:r>
          </w:p>
        </w:tc>
      </w:tr>
      <w:tr>
        <w:trPr>
          <w:trHeight w:val="175"/>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TRADING PRICE AND VOLUME</w:t>
            </w: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EARNINGS COVERAGE</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45</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4"/>
              </w:rPr>
              <w:t>DESCRIPTION OF DEBT SECURITIES</w:t>
            </w:r>
          </w:p>
        </w:tc>
        <w:tc>
          <w:tcPr>
            <w:tcW w:w="5580" w:type="dxa"/>
            <w:vAlign w:val="bottom"/>
            <w:tcBorders>
              <w:bottom w:val="single" w:sz="8" w:color="CCEEFF"/>
            </w:tcBorders>
            <w:gridSpan w:val="12"/>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46</w:t>
            </w:r>
          </w:p>
        </w:tc>
      </w:tr>
      <w:tr>
        <w:trPr>
          <w:trHeight w:val="176"/>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53</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DESCRIPTION OF SUBSCRIPTION RECEIPTS</w:t>
            </w: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DESCRIPTION OF SHARE PURCHASE CONTRACTS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57</w:t>
            </w:r>
          </w:p>
        </w:tc>
      </w:tr>
      <w:tr>
        <w:trPr>
          <w:trHeight w:val="176"/>
        </w:trPr>
        <w:tc>
          <w:tcPr>
            <w:tcW w:w="418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8"/>
                <w:szCs w:val="18"/>
                <w:color w:val="0000EE"/>
              </w:rPr>
              <w:t>PLAN OF DISTRIBUTION</w:t>
            </w:r>
          </w:p>
        </w:tc>
        <w:tc>
          <w:tcPr>
            <w:tcW w:w="4440" w:type="dxa"/>
            <w:vAlign w:val="bottom"/>
            <w:tcBorders>
              <w:top w:val="single" w:sz="8" w:color="CCEEFF"/>
            </w:tcBorders>
            <w:gridSpan w:val="6"/>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58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CERTAIN INCOME TAX CONSIDERATIONS</w:t>
            </w:r>
          </w:p>
        </w:tc>
        <w:tc>
          <w:tcPr>
            <w:tcW w:w="262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60</w:t>
            </w:r>
          </w:p>
        </w:tc>
      </w:tr>
      <w:tr>
        <w:trPr>
          <w:trHeight w:val="176"/>
        </w:trPr>
        <w:tc>
          <w:tcPr>
            <w:tcW w:w="350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LEGAL MATTERS</w:t>
            </w:r>
          </w:p>
        </w:tc>
        <w:tc>
          <w:tcPr>
            <w:tcW w:w="51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Arial" w:cs="Arial" w:eastAsia="Arial" w:hAnsi="Arial"/>
                <w:sz w:val="18"/>
                <w:szCs w:val="18"/>
                <w:color w:val="auto"/>
                <w:w w:val="89"/>
              </w:rPr>
              <w:t>60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6"/>
              </w:rPr>
              <w:t>AUDITORS, TRANSFER AGENT AND REGISTRAR</w:t>
            </w:r>
          </w:p>
        </w:tc>
        <w:tc>
          <w:tcPr>
            <w:tcW w:w="456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60</w:t>
            </w:r>
          </w:p>
        </w:tc>
      </w:tr>
      <w:tr>
        <w:trPr>
          <w:trHeight w:val="175"/>
        </w:trPr>
        <w:tc>
          <w:tcPr>
            <w:tcW w:w="8620" w:type="dxa"/>
            <w:vAlign w:val="bottom"/>
            <w:gridSpan w:val="28"/>
          </w:tcPr>
          <w:p>
            <w:pPr>
              <w:spacing w:after="0" w:line="176" w:lineRule="exact"/>
              <w:rPr>
                <w:sz w:val="20"/>
                <w:szCs w:val="20"/>
                <w:color w:val="auto"/>
              </w:rPr>
            </w:pPr>
            <w:r>
              <w:rPr>
                <w:rFonts w:ascii="Arial" w:cs="Arial" w:eastAsia="Arial" w:hAnsi="Arial"/>
                <w:sz w:val="18"/>
                <w:szCs w:val="18"/>
                <w:color w:val="0000EE"/>
              </w:rPr>
              <w:t>AGENTS FOR SERVICE OF PROCESS</w:t>
            </w: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5"/>
              </w:rPr>
              <w:t>EXEMPTIONS UNDER SECURITIES LAWS</w:t>
            </w:r>
          </w:p>
        </w:tc>
        <w:tc>
          <w:tcPr>
            <w:tcW w:w="520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89"/>
              </w:rPr>
              <w:t>61</w:t>
            </w:r>
          </w:p>
        </w:tc>
      </w:tr>
      <w:tr>
        <w:trPr>
          <w:trHeight w:val="176"/>
        </w:trPr>
        <w:tc>
          <w:tcPr>
            <w:tcW w:w="4780" w:type="dxa"/>
            <w:vAlign w:val="bottom"/>
            <w:tcBorders>
              <w:bottom w:val="single" w:sz="8" w:color="0000EE"/>
            </w:tcBorders>
            <w:gridSpan w:val="23"/>
          </w:tcPr>
          <w:p>
            <w:pPr>
              <w:spacing w:after="0" w:line="176" w:lineRule="exact"/>
              <w:rPr>
                <w:sz w:val="20"/>
                <w:szCs w:val="20"/>
                <w:color w:val="auto"/>
              </w:rPr>
            </w:pPr>
            <w:r>
              <w:rPr>
                <w:rFonts w:ascii="Arial" w:cs="Arial" w:eastAsia="Arial" w:hAnsi="Arial"/>
                <w:sz w:val="18"/>
                <w:szCs w:val="18"/>
                <w:color w:val="0000EE"/>
                <w:w w:val="95"/>
              </w:rPr>
              <w:t>STATUTORY RIGHTS OF WITHDRAWAL AND RESCISSION</w:t>
            </w:r>
          </w:p>
        </w:tc>
        <w:tc>
          <w:tcPr>
            <w:tcW w:w="3840" w:type="dxa"/>
            <w:vAlign w:val="bottom"/>
            <w:gridSpan w:val="5"/>
          </w:tcPr>
          <w:p>
            <w:pPr>
              <w:spacing w:after="0"/>
              <w:rPr>
                <w:sz w:val="15"/>
                <w:szCs w:val="15"/>
                <w:color w:val="auto"/>
              </w:rPr>
            </w:pPr>
          </w:p>
        </w:tc>
        <w:tc>
          <w:tcPr>
            <w:tcW w:w="262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89"/>
              </w:rPr>
              <w:t>61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84"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price of cryptocurrencies, such as Bitcoin and the other types of digital assets which Bitfarms and its subsidiaries may earn, hold and trade;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intended use of net proceeds from the sale of its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securities the Company intends to issue;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pricing for services and solutions in the businesses of the Company and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liquidity and market price of the Common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expectations regarding the sufficiency of its capital resources and requirements for additional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debt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decrease of the market price of the Common Shares if the Company’s shareholders sell substantial amounts of Common Shares;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future sales or issuances of equity securities diluting voting power and reducing future earnings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absence of a market through which the Company’s securities, other than Common Shares, may be sold;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governmental laws and regulations, including tax regulations; and</w:t>
      </w:r>
    </w:p>
    <w:p>
      <w:pPr>
        <w:spacing w:after="0" w:line="22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outbreak or other future global pandemics.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spacing w:after="0" w:line="171"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and economic conditions affecting the Company’s operations in their current state, including, general levels of economic activity, regulations, taxes and interest rates;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profitably produce the computational power sold to Mining Pools to solve block regards, which may be paid in Bitcoin, U.S. dollars, or other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successfully acquire and maintain required regulatory licenses and qualifications;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historical prices of cryptocurrencies;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emerging cryptocurrency and blockchain markets and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maintain good business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manage and integrate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identify, hire and retain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ability to raise sufficient debt or equity financing to support the Company’s continued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does not suffer a material impact or disruption from a cybersecurity incident, cyber-attack or theft of digital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maintenance and development of cryptocurrency mining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growth in usage and in the blockchain for various applications;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development of a stable public infrastructure, with the necessary speed, data capacity and security required to operate blockchain networks;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absence of adverse regulation or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of growth and expansion.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Insurance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and Price Volatility of Cryptocurrencies.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Price Fluctuations.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Capital Needs, Uncertainty of Additional Financing and Dilution.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Possibility of Bitcoin Mining Algorithms Transitioning to Proof of Stake Validation.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Retention and Growth.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History of De-centralized Financial System.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Cryptocurrency Network Difficulty and Impact of Increased Global Computing Power.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Commodity Prices or Reductions in the Availability of Such Commodities.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Profits/Losses and Production Revenues/Expenses.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Fraud and Failure of Cryptocurrency Exchanges, Custodians and Other Trading 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Insolvency, Bankruptcy, or Cessation of Operations of Mining Pool Operator.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Mining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Indemnification of Mining Pool.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Foreign Mining Pool Operator.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Mining Pool Agreements Governed by Foreign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Reliance on Manufacturing in Foreign Countries and the Importation of Equipment to the Jurisdictions in Which the Company Operates.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443" w:gutter="0" w:footer="0" w:header="0"/>
        </w:sectPr>
      </w:pPr>
    </w:p>
    <w:bookmarkStart w:id="9" w:name="page10"/>
    <w:bookmarkEnd w:id="9"/>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and/or Widespread Use of Cryptocurrency is Uncertain.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Hazards Associated with High-voltage Electricity Transmission and Industrial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ESG Practices and the Impacts of Climate 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Foreign Corrupt Practices Act and Similar Legislation.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Third-party Supplier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of Bitfarms Being Classified as a Passive Foreign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Pandemic and Infectious Disease Risk (including COVID-19).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Emerging Market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Volatility and other Challenges in Argentina and/or Paraguay.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Vulnerability of Argentina and Paraguay Economies to External Shocks.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Impacts of Corruption and Anti-Corruption Laws in Operating Locations.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Unpredictability of Tax Rates, Capital Controls and Foreign Exchange Restrictions in Argentina.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Discretion Over Use of Proceeds.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Absence of a Public Market for Certain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Unsecured Debt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Changes in Interest Rates on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Fluctuations in Foreign Currency Markets on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Trading Price of Common Shares and Volatility.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Hedges.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 information on these and other factors is discussed under the heading “</w:t>
      </w:r>
      <w:r>
        <w:rPr>
          <w:rFonts w:ascii="Arial" w:cs="Arial" w:eastAsia="Arial" w:hAnsi="Arial"/>
          <w:sz w:val="18"/>
          <w:szCs w:val="18"/>
          <w:b w:val="1"/>
          <w:bCs w:val="1"/>
          <w:color w:val="auto"/>
        </w:rPr>
        <w:t>RISK FACTORS</w:t>
      </w:r>
      <w:r>
        <w:rPr>
          <w:rFonts w:ascii="Arial" w:cs="Arial" w:eastAsia="Arial" w:hAnsi="Arial"/>
          <w:sz w:val="18"/>
          <w:szCs w:val="18"/>
          <w:color w:val="auto"/>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Arial" w:cs="Arial" w:eastAsia="Arial" w:hAnsi="Arial"/>
          <w:sz w:val="18"/>
          <w:szCs w:val="18"/>
          <w:b w:val="1"/>
          <w:bCs w:val="1"/>
          <w:color w:val="auto"/>
        </w:rPr>
        <w:t>SEDAR</w:t>
      </w:r>
      <w:r>
        <w:rPr>
          <w:rFonts w:ascii="Arial" w:cs="Arial" w:eastAsia="Arial" w:hAnsi="Arial"/>
          <w:sz w:val="18"/>
          <w:szCs w:val="18"/>
          <w:color w:val="auto"/>
        </w:rPr>
        <w:t>”) at www.sedarplus.ca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70"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annual information form for the year ended December 31, 2022, dated as at March 20, 2023 and filed on March 21, 2023 (the “</w:t>
      </w:r>
      <w:r>
        <w:rPr>
          <w:rFonts w:ascii="Arial" w:cs="Arial" w:eastAsia="Arial" w:hAnsi="Arial"/>
          <w:sz w:val="18"/>
          <w:szCs w:val="18"/>
          <w:b w:val="1"/>
          <w:bCs w:val="1"/>
          <w:color w:val="auto"/>
        </w:rPr>
        <w:t>2022 AIF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audited consolidated financial statements as at and for the years ended December 31, 2022 and 2021 the notes thereto and the Report of Independent Registered Public Accounting Firm thereon, filed on March 21, 2023 (the “</w:t>
      </w:r>
      <w:r>
        <w:rPr>
          <w:rFonts w:ascii="Arial" w:cs="Arial" w:eastAsia="Arial" w:hAnsi="Arial"/>
          <w:sz w:val="16"/>
          <w:szCs w:val="16"/>
          <w:b w:val="1"/>
          <w:bCs w:val="1"/>
          <w:color w:val="auto"/>
        </w:rPr>
        <w:t>2022 Annual Financial Statements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year ended December 31, 2022, dated as at March 20, 2023 and filed on March 21, 2023 (the “</w:t>
      </w:r>
      <w:r>
        <w:rPr>
          <w:rFonts w:ascii="Arial" w:cs="Arial" w:eastAsia="Arial" w:hAnsi="Arial"/>
          <w:sz w:val="18"/>
          <w:szCs w:val="18"/>
          <w:b w:val="1"/>
          <w:bCs w:val="1"/>
          <w:color w:val="auto"/>
        </w:rPr>
        <w:t>2022 MD&amp;A</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unaudited interim condensed interim consolidated financial statements as at September 30, 2023 and for the three and nine months ended September 30, 2023 and 2022 and filed on November 7, 2023;</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three and nine months ended September 30, 2023 and 2022 and filed on November 7, 2023 (the “</w:t>
      </w:r>
      <w:r>
        <w:rPr>
          <w:rFonts w:ascii="Arial" w:cs="Arial" w:eastAsia="Arial" w:hAnsi="Arial"/>
          <w:sz w:val="18"/>
          <w:szCs w:val="18"/>
          <w:b w:val="1"/>
          <w:bCs w:val="1"/>
          <w:color w:val="auto"/>
        </w:rPr>
        <w:t>Interim MD&amp;A</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980" w:right="20" w:hanging="324"/>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circular dated April 4, 2023 with respect to an annual general and special meeting of shareholders (“</w:t>
      </w:r>
      <w:r>
        <w:rPr>
          <w:rFonts w:ascii="Arial" w:cs="Arial" w:eastAsia="Arial" w:hAnsi="Arial"/>
          <w:sz w:val="18"/>
          <w:szCs w:val="18"/>
          <w:b w:val="1"/>
          <w:bCs w:val="1"/>
          <w:color w:val="auto"/>
        </w:rPr>
        <w:t>Shareholders</w:t>
      </w:r>
      <w:r>
        <w:rPr>
          <w:rFonts w:ascii="Arial" w:cs="Arial" w:eastAsia="Arial" w:hAnsi="Arial"/>
          <w:sz w:val="18"/>
          <w:szCs w:val="18"/>
          <w:color w:val="auto"/>
        </w:rPr>
        <w:t>”) held on May 24, 2023, filed on April 24, 2023;</w:t>
      </w:r>
    </w:p>
    <w:p>
      <w:pPr>
        <w:spacing w:after="0" w:line="16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material change report dated January 3, 2023 relating to relating to an update to the Company’s Bitcoin earned in the 2022 financial year;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change report dated January 13, 2023 relating to the Company’s initiative to modify its equipment loan facility;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material change report dated February 1, 2023 relating to an update to the Company’s Bitcoin earned for the month of January 2023;</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change report dated February 9, 2023 relating to the modification of the loan agreement with BlockFi Lending LLC;</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material change report dated March 1, 2023 relating to relating to an update to the Company’s Bitcoin earned for the month of February 2023;</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material change report dated March 21, 2023 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www.theminermag.com, namely the “Estimated Gross Margin of Proprietary Bitcoin Hashrate Activities.” With data starting in 2023, www.theminermag.com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change report dated April 3, 2023 relating to relating to an update to the Company’s Bitcoin earned for the month of March 2023;</w:t>
      </w:r>
    </w:p>
    <w:p>
      <w:pPr>
        <w:spacing w:after="0" w:line="248"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April 11, 2023 relating to the entering into of an agreement to acquire 22 MW of power capacity in Baie-Comeau, Quebec;</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April 24, 2023 relating to the receipt of a permit to expand its power capacity up to 100 MW at its Rio Cuarto, Argentina facility;</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material change report dated April 28, 2023 relating to the Company’s achievement of obtaining an aggregate hashrate of 5.0 EH/s;</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change report dated May 1, 2023 relating to the Company regaining compliance with Nasdaq continued listing requirements;</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May 1, 2023 relating to an update to the Company’s Bitcoin earned for the month of April 2023</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May 8, 2023 relating to the Company’s achievement of mining 21,000 Bitcoin over its six years of operations;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May 15, 2023 relating to the reporting of the Company’s financial statements for the first quarter of the 2023 financial year;</w:t>
      </w:r>
    </w:p>
    <w:p>
      <w:pPr>
        <w:spacing w:after="0" w:line="197"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June 1, 2023 relating to an update to the Company’s Bitcoin earned for the month of May 2023;</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June 7, 2023 relating to the purchase of 4,660 high performance miners;</w:t>
      </w:r>
    </w:p>
    <w:p>
      <w:pPr>
        <w:spacing w:after="0" w:line="252"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June 12, 2023 relating to the increase in the Company’s operational hashrate;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July 4, 2023 relating to an update to the Company’s Bitcoin earned for the month of June 2023;</w:t>
      </w:r>
    </w:p>
    <w:p>
      <w:pPr>
        <w:spacing w:after="0" w:line="252"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July 6, 2023 relating to the commencement of operations at its Baie-Comeau facility and the increase of its hashrate target to 6.3 EH/s by the end of the third financial quarter of 2023;</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July 19, 2023 relating to entering into of power purchase agreements in Paraguay for up to 150 MW of hydropower;</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material change report dated August 1, 2023 relating to an update to the Company’s Bitcoin earned for the month of July 2023;</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change report dated August 7, 2023 relating to the deployment plan of a 50 MW of hydropower substation located in Paraguay;</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material change report dated August 8, 2023 relating to the announcement of the Company’s second quarter 2023 financial results;</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change report dated September 1, 2023 relating to an update to the Company’s Bitcoin earned for the month of August 2023;</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change report dated October 2, 2023 relating to an update to the Company’s Bitcoin earned for the month of September 2023;</w:t>
      </w:r>
    </w:p>
    <w:p>
      <w:pPr>
        <w:spacing w:after="0" w:line="248"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material change report dated October 23, 2023 relating to the increase of operating capacity at the Company’s facility located in Baie-Comeau to 240 MW;</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change report dated November 1, 2023 relating to an update to the Company’s Bitcoin earned for the month of October 2023; and</w:t>
      </w:r>
    </w:p>
    <w:p>
      <w:pPr>
        <w:spacing w:after="0" w:line="248" w:lineRule="exact"/>
        <w:rPr>
          <w:rFonts w:ascii="Arial" w:cs="Arial" w:eastAsia="Arial" w:hAnsi="Arial"/>
          <w:sz w:val="16"/>
          <w:szCs w:val="16"/>
          <w:color w:val="auto"/>
        </w:rPr>
      </w:pPr>
    </w:p>
    <w:p>
      <w:pPr>
        <w:ind w:left="324" w:hanging="324"/>
        <w:spacing w:after="0"/>
        <w:tabs>
          <w:tab w:leader="none" w:pos="3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material change report dated November 7, 2023 relating to the announcement of the Company’s third quarter 2023 financial results.</w:t>
      </w:r>
    </w:p>
    <w:p>
      <w:pPr>
        <w:spacing w:after="0" w:line="200" w:lineRule="exact"/>
        <w:rPr>
          <w:sz w:val="20"/>
          <w:szCs w:val="20"/>
          <w:color w:val="auto"/>
        </w:rPr>
      </w:pPr>
    </w:p>
    <w:p>
      <w:pPr>
        <w:spacing w:after="0" w:line="25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high, low, average and closing rates for the U.S. dollar in terms of Canadian dollars for each of the financial periods indicated below, as quoted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of Canada,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ended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9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6"/>
              </w:rPr>
              <w:t>(expressed in Canadian dollars)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1.3674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1.3726</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Low</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1.3128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1.2753</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1.2451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1.2040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1.3414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1.3056</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1.3013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Closing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1.3520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1.3707</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1.3544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1.2678</w:t>
            </w:r>
          </w:p>
        </w:tc>
      </w:tr>
    </w:tbl>
    <w:p>
      <w:pPr>
        <w:spacing w:after="0" w:line="18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On November 9, 2023, the daily exchange rate for the U.S. dollar in terms of Canadian dollars, as quoted by the Bank of Canada, was $1.00 = C$1.3781.</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documents have been, or will be, filed with the SEC as part of the Registration Statement, of which this prospectus forms a part: (1) the documents listed under “</w:t>
      </w:r>
      <w:r>
        <w:rPr>
          <w:rFonts w:ascii="Arial" w:cs="Arial" w:eastAsia="Arial" w:hAnsi="Arial"/>
          <w:sz w:val="17"/>
          <w:szCs w:val="17"/>
          <w:i w:val="1"/>
          <w:iCs w:val="1"/>
          <w:color w:val="auto"/>
        </w:rPr>
        <w:t>DOCUMENTS INCORPORATED BY REFERENCE</w:t>
      </w:r>
      <w:r>
        <w:rPr>
          <w:rFonts w:ascii="Arial" w:cs="Arial" w:eastAsia="Arial" w:hAnsi="Arial"/>
          <w:sz w:val="17"/>
          <w:szCs w:val="17"/>
          <w:color w:val="auto"/>
        </w:rPr>
        <w:t>”; (2) the consent of PricewaterhouseCoopers LLP; (3) powers of attorney from certain of the Company’s directors and officers; and (4) the forms of senior and subordinated indenture relating to the debt securities.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24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as well as the documents incorporated by reference into this prospectus and the applicable prospectus supplement, before making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decision.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October 11, 2018, and continued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on August 27, 2021. The Company has its registered and head office located at 110 Yonge Street, Suite 1601, Toronto, ON M5C 1T4. The Company’s Common Shares are listed for trading on the Nasdaq and on the TSX under the trading symbol “BITF”.</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 principal material subsidiaries of the Company as of the date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100" w:type="dxa"/>
            <w:vAlign w:val="bottom"/>
          </w:tcPr>
          <w:p>
            <w:pPr>
              <w:spacing w:after="0"/>
              <w:rPr>
                <w:sz w:val="20"/>
                <w:szCs w:val="20"/>
                <w:color w:val="auto"/>
              </w:rPr>
            </w:pPr>
          </w:p>
        </w:tc>
        <w:tc>
          <w:tcPr>
            <w:tcW w:w="4200" w:type="dxa"/>
            <w:vAlign w:val="bottom"/>
          </w:tcPr>
          <w:p>
            <w:pPr>
              <w:ind w:left="1660"/>
              <w:spacing w:after="0"/>
              <w:rPr>
                <w:sz w:val="20"/>
                <w:szCs w:val="20"/>
                <w:color w:val="auto"/>
              </w:rPr>
            </w:pPr>
            <w:r>
              <w:rPr>
                <w:rFonts w:ascii="Arial" w:cs="Arial" w:eastAsia="Arial" w:hAnsi="Arial"/>
                <w:sz w:val="18"/>
                <w:szCs w:val="18"/>
                <w:b w:val="1"/>
                <w:bCs w:val="1"/>
                <w:color w:val="auto"/>
              </w:rPr>
              <w:t>Assets Held</w:t>
            </w: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Backbone Hosting Solutions Inc.</w:t>
            </w:r>
          </w:p>
        </w:tc>
        <w:tc>
          <w:tcPr>
            <w:tcW w:w="166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Computer equipment, cryptocurrency</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Backbone Hosting Solutions SAU</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Argentina</w:t>
            </w:r>
          </w:p>
        </w:tc>
        <w:tc>
          <w:tcPr>
            <w:tcW w:w="4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Computer equipment</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Backbone Hosting Solutions Paraguay SA</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Paraguay</w:t>
            </w: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Computer equipment</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Backbone Mining Solutions LLC</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Computer equipment</w:t>
            </w:r>
          </w:p>
        </w:tc>
      </w:tr>
      <w:tr>
        <w:trPr>
          <w:trHeight w:val="198"/>
        </w:trPr>
        <w:tc>
          <w:tcPr>
            <w:tcW w:w="5120" w:type="dxa"/>
            <w:vAlign w:val="bottom"/>
            <w:gridSpan w:val="2"/>
          </w:tcPr>
          <w:p>
            <w:pPr>
              <w:spacing w:after="0" w:line="198" w:lineRule="exact"/>
              <w:rPr>
                <w:sz w:val="20"/>
                <w:szCs w:val="20"/>
                <w:color w:val="auto"/>
              </w:rPr>
            </w:pPr>
            <w:r>
              <w:rPr>
                <w:rFonts w:ascii="Arial" w:cs="Arial" w:eastAsia="Arial" w:hAnsi="Arial"/>
                <w:sz w:val="18"/>
                <w:szCs w:val="18"/>
                <w:color w:val="auto"/>
                <w:w w:val="94"/>
              </w:rPr>
              <w:t>9159-9290 Québec Inc. (operating under the name “Volta Électrique</w:t>
            </w:r>
          </w:p>
        </w:tc>
        <w:tc>
          <w:tcPr>
            <w:tcW w:w="1660" w:type="dxa"/>
            <w:vAlign w:val="bottom"/>
          </w:tcPr>
          <w:p>
            <w:pPr>
              <w:jc w:val="center"/>
              <w:spacing w:after="0" w:line="198" w:lineRule="exact"/>
              <w:rPr>
                <w:sz w:val="20"/>
                <w:szCs w:val="20"/>
                <w:color w:val="auto"/>
              </w:rPr>
            </w:pPr>
            <w:r>
              <w:rPr>
                <w:rFonts w:ascii="Arial" w:cs="Arial" w:eastAsia="Arial" w:hAnsi="Arial"/>
                <w:sz w:val="18"/>
                <w:szCs w:val="18"/>
                <w:color w:val="auto"/>
                <w:w w:val="88"/>
              </w:rPr>
              <w:t>Quebec</w:t>
            </w:r>
          </w:p>
        </w:tc>
        <w:tc>
          <w:tcPr>
            <w:tcW w:w="430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Provides professional electrical services to Backbone</w:t>
            </w:r>
          </w:p>
        </w:tc>
      </w:tr>
      <w:tr>
        <w:trPr>
          <w:trHeight w:val="234"/>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Inc.”)(“</w:t>
            </w:r>
            <w:r>
              <w:rPr>
                <w:rFonts w:ascii="Arial" w:cs="Arial" w:eastAsia="Arial" w:hAnsi="Arial"/>
                <w:sz w:val="18"/>
                <w:szCs w:val="18"/>
                <w:b w:val="1"/>
                <w:bCs w:val="1"/>
                <w:color w:val="auto"/>
              </w:rPr>
              <w:t>Volta</w:t>
            </w: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Hosting Solutions Inc. and outside customers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Orion Constellation Technologies Inc.</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Quebec</w:t>
            </w:r>
          </w:p>
        </w:tc>
        <w:tc>
          <w:tcPr>
            <w:tcW w:w="4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Computer equipment</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D&amp;N Ingenieria SA</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Paraguay</w:t>
            </w:r>
          </w:p>
        </w:tc>
        <w:tc>
          <w:tcPr>
            <w:tcW w:w="4300" w:type="dxa"/>
            <w:vAlign w:val="bottom"/>
            <w:gridSpan w:val="2"/>
          </w:tcPr>
          <w:p>
            <w:pPr>
              <w:ind w:left="100"/>
              <w:spacing w:after="0"/>
              <w:rPr>
                <w:sz w:val="20"/>
                <w:szCs w:val="20"/>
                <w:color w:val="auto"/>
              </w:rPr>
            </w:pPr>
            <w:r>
              <w:rPr>
                <w:rFonts w:ascii="Arial" w:cs="Arial" w:eastAsia="Arial" w:hAnsi="Arial"/>
                <w:sz w:val="18"/>
                <w:szCs w:val="18"/>
                <w:color w:val="auto"/>
              </w:rPr>
              <w:t>Computer equipment</w:t>
            </w:r>
          </w:p>
        </w:tc>
      </w:tr>
      <w:tr>
        <w:trPr>
          <w:trHeight w:val="41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Summary Description of the Business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primary business is the mining of cryptocurrency. Through its subsidiaries, the Company owns and operates server farms, composed of computers (referred to as “</w:t>
      </w:r>
      <w:r>
        <w:rPr>
          <w:rFonts w:ascii="Arial" w:cs="Arial" w:eastAsia="Arial" w:hAnsi="Arial"/>
          <w:sz w:val="17"/>
          <w:szCs w:val="17"/>
          <w:b w:val="1"/>
          <w:bCs w:val="1"/>
          <w:color w:val="auto"/>
        </w:rPr>
        <w:t>Miners</w:t>
      </w:r>
      <w:r>
        <w:rPr>
          <w:rFonts w:ascii="Arial" w:cs="Arial" w:eastAsia="Arial" w:hAnsi="Arial"/>
          <w:sz w:val="17"/>
          <w:szCs w:val="17"/>
          <w:color w:val="auto"/>
        </w:rPr>
        <w:t>”) designed for the purpose of validating transactions on the Bitcoin Blockchain (referred to as “</w:t>
      </w:r>
      <w:r>
        <w:rPr>
          <w:rFonts w:ascii="Arial" w:cs="Arial" w:eastAsia="Arial" w:hAnsi="Arial"/>
          <w:sz w:val="17"/>
          <w:szCs w:val="17"/>
          <w:b w:val="1"/>
          <w:bCs w:val="1"/>
          <w:color w:val="auto"/>
        </w:rPr>
        <w:t>Mining</w:t>
      </w:r>
      <w:r>
        <w:rPr>
          <w:rFonts w:ascii="Arial" w:cs="Arial" w:eastAsia="Arial" w:hAnsi="Arial"/>
          <w:sz w:val="17"/>
          <w:szCs w:val="17"/>
          <w:color w:val="auto"/>
        </w:rPr>
        <w:t>”). Bitfarms generally operates Miners 24 hours a day producing computational power (measured by hashrate) which it sells to Mining Pools (as defined herein), for a formula-driven rate commonly known in the industry as Full Pay Per Share (“</w:t>
      </w:r>
      <w:r>
        <w:rPr>
          <w:rFonts w:ascii="Arial" w:cs="Arial" w:eastAsia="Arial" w:hAnsi="Arial"/>
          <w:sz w:val="17"/>
          <w:szCs w:val="17"/>
          <w:b w:val="1"/>
          <w:bCs w:val="1"/>
          <w:color w:val="auto"/>
        </w:rPr>
        <w:t>FPPS</w:t>
      </w:r>
      <w:r>
        <w:rPr>
          <w:rFonts w:ascii="Arial" w:cs="Arial" w:eastAsia="Arial" w:hAnsi="Arial"/>
          <w:sz w:val="17"/>
          <w:szCs w:val="17"/>
          <w:color w:val="auto"/>
        </w:rPr>
        <w:t>”). For more information regarding the Company’s Mining Pool arrangements, see “</w:t>
      </w:r>
      <w:r>
        <w:rPr>
          <w:rFonts w:ascii="Arial" w:cs="Arial" w:eastAsia="Arial" w:hAnsi="Arial"/>
          <w:sz w:val="17"/>
          <w:szCs w:val="17"/>
          <w:i w:val="1"/>
          <w:iCs w:val="1"/>
          <w:color w:val="auto"/>
        </w:rPr>
        <w:t>THE COMPANY – Summary Description of the Business –</w:t>
      </w:r>
      <w:r>
        <w:rPr>
          <w:rFonts w:ascii="Arial" w:cs="Arial" w:eastAsia="Arial" w:hAnsi="Arial"/>
          <w:sz w:val="17"/>
          <w:szCs w:val="17"/>
          <w:color w:val="auto"/>
        </w:rPr>
        <w:t xml:space="preserve"> Mining Pool Participation</w:t>
      </w:r>
      <w:r>
        <w:rPr>
          <w:rFonts w:ascii="Arial" w:cs="Arial" w:eastAsia="Arial" w:hAnsi="Arial"/>
          <w:sz w:val="17"/>
          <w:szCs w:val="17"/>
          <w:i w:val="1"/>
          <w:iCs w:val="1"/>
          <w:color w:val="auto"/>
        </w:rPr>
        <w:t>”</w:t>
      </w:r>
      <w:r>
        <w:rPr>
          <w:rFonts w:ascii="Arial" w:cs="Arial" w:eastAsia="Arial" w:hAnsi="Arial"/>
          <w:sz w:val="17"/>
          <w:szCs w:val="17"/>
          <w:color w:val="auto"/>
        </w:rPr>
        <w:t>. For more information regarding the business of the Company, see the 2022 AIF under the heading “</w:t>
      </w:r>
      <w:r>
        <w:rPr>
          <w:rFonts w:ascii="Arial" w:cs="Arial" w:eastAsia="Arial" w:hAnsi="Arial"/>
          <w:sz w:val="17"/>
          <w:szCs w:val="17"/>
          <w:i w:val="1"/>
          <w:iCs w:val="1"/>
          <w:color w:val="auto"/>
        </w:rPr>
        <w:t>DESCRIPTION OF BUSINESS</w:t>
      </w:r>
      <w:r>
        <w:rPr>
          <w:rFonts w:ascii="Arial" w:cs="Arial" w:eastAsia="Arial" w:hAnsi="Arial"/>
          <w:sz w:val="17"/>
          <w:szCs w:val="17"/>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35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4350385"/>
                    </a:xfrm>
                    <a:prstGeom prst="rect">
                      <a:avLst/>
                    </a:prstGeom>
                    <a:noFill/>
                  </pic:spPr>
                </pic:pic>
              </a:graphicData>
            </a:graphic>
          </wp:anchor>
        </w:drawing>
        <w:t>In the description of the business of the Company in this short form base shelf prospectus:</w:t>
      </w:r>
    </w:p>
    <w:p>
      <w:pPr>
        <w:spacing w:after="0" w:line="22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w:t>
      </w:r>
      <w:r>
        <w:rPr>
          <w:rFonts w:ascii="Arial" w:cs="Arial" w:eastAsia="Arial" w:hAnsi="Arial"/>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shall refer to the new bitcoins that are awarded by the Blockchain network to eligible cryptocurrency Miners for each block</w:t>
      </w:r>
      <w:r>
        <w:rPr>
          <w:rFonts w:ascii="Arial" w:cs="Arial" w:eastAsia="Arial" w:hAnsi="Arial"/>
          <w:sz w:val="18"/>
          <w:szCs w:val="18"/>
          <w:b w:val="1"/>
          <w:bCs w:val="1"/>
          <w:color w:val="auto"/>
        </w:rPr>
        <w:t xml:space="preserve"> </w:t>
      </w:r>
      <w:r>
        <w:rPr>
          <w:rFonts w:ascii="Arial" w:cs="Arial" w:eastAsia="Arial" w:hAnsi="Arial"/>
          <w:sz w:val="18"/>
          <w:szCs w:val="18"/>
          <w:color w:val="auto"/>
        </w:rPr>
        <w:t>they successfully mine. The current block reward is 6.25 Bitcoin per block;</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 xml:space="preserve">“Blockchain” </w:t>
      </w:r>
      <w:r>
        <w:rPr>
          <w:rFonts w:ascii="Arial" w:cs="Arial" w:eastAsia="Arial" w:hAnsi="Arial"/>
          <w:sz w:val="18"/>
          <w:szCs w:val="18"/>
          <w:color w:val="auto"/>
        </w:rPr>
        <w:t>shall refer to a cloud-based public ledger that exists on computers that participate on the network globally. The Blockchain grows</w:t>
      </w:r>
      <w:r>
        <w:rPr>
          <w:rFonts w:ascii="Arial" w:cs="Arial" w:eastAsia="Arial" w:hAnsi="Arial"/>
          <w:sz w:val="18"/>
          <w:szCs w:val="18"/>
          <w:b w:val="1"/>
          <w:bCs w:val="1"/>
          <w:color w:val="auto"/>
        </w:rPr>
        <w:t xml:space="preserve"> </w:t>
      </w:r>
      <w:r>
        <w:rPr>
          <w:rFonts w:ascii="Arial" w:cs="Arial" w:eastAsia="Arial" w:hAnsi="Arial"/>
          <w:sz w:val="18"/>
          <w:szCs w:val="18"/>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87"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b w:val="1"/>
          <w:bCs w:val="1"/>
          <w:color w:val="auto"/>
        </w:rPr>
        <w:t xml:space="preserve">“Hash” </w:t>
      </w:r>
      <w:r>
        <w:rPr>
          <w:rFonts w:ascii="Arial" w:cs="Arial" w:eastAsia="Arial" w:hAnsi="Arial"/>
          <w:sz w:val="18"/>
          <w:szCs w:val="18"/>
          <w:color w:val="auto"/>
        </w:rPr>
        <w:t>shall refer to a function that converts or maps an input of letters and numbers into an encrypted output of a fixed length, which outputs</w:t>
      </w:r>
      <w:r>
        <w:rPr>
          <w:rFonts w:ascii="Arial" w:cs="Arial" w:eastAsia="Arial" w:hAnsi="Arial"/>
          <w:sz w:val="18"/>
          <w:szCs w:val="18"/>
          <w:b w:val="1"/>
          <w:bCs w:val="1"/>
          <w:color w:val="auto"/>
        </w:rPr>
        <w:t xml:space="preserve"> </w:t>
      </w:r>
      <w:r>
        <w:rPr>
          <w:rFonts w:ascii="Arial" w:cs="Arial" w:eastAsia="Arial" w:hAnsi="Arial"/>
          <w:sz w:val="18"/>
          <w:szCs w:val="18"/>
          <w:color w:val="auto"/>
        </w:rPr>
        <w:t>are often referred to as Hashes. A Hash is created using an algorithm. The algorithm used in the validation of Bitcoin transactions is the SHA-256 algorithm.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“Hashrate” </w:t>
      </w:r>
      <w:r>
        <w:rPr>
          <w:rFonts w:ascii="Arial" w:cs="Arial" w:eastAsia="Arial" w:hAnsi="Arial"/>
          <w:sz w:val="16"/>
          <w:szCs w:val="16"/>
          <w:color w:val="auto"/>
        </w:rPr>
        <w:t>shall refer to the number of Hash operations performed per second and is a measure of computing power in Mining cryptocurrency;</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 Pool</w:t>
      </w:r>
      <w:r>
        <w:rPr>
          <w:rFonts w:ascii="Arial" w:cs="Arial" w:eastAsia="Arial" w:hAnsi="Arial"/>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9" w:right="41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93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7093585"/>
                    </a:xfrm>
                    <a:prstGeom prst="rect">
                      <a:avLst/>
                    </a:prstGeom>
                    <a:noFill/>
                  </pic:spPr>
                </pic:pic>
              </a:graphicData>
            </a:graphic>
          </wp:anchor>
        </w:drawing>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2022 AIF under the heading “</w:t>
      </w:r>
      <w:r>
        <w:rPr>
          <w:rFonts w:ascii="Arial" w:cs="Arial" w:eastAsia="Arial" w:hAnsi="Arial"/>
          <w:sz w:val="18"/>
          <w:szCs w:val="18"/>
          <w:i w:val="1"/>
          <w:iCs w:val="1"/>
          <w:color w:val="auto"/>
        </w:rPr>
        <w:t>DESCRIPTION OF BUSINESS -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Market Overview – Digital Asset Management Program</w:t>
      </w:r>
      <w:r>
        <w:rPr>
          <w:rFonts w:ascii="Arial" w:cs="Arial" w:eastAsia="Arial" w:hAnsi="Arial"/>
          <w:sz w:val="18"/>
          <w:szCs w:val="18"/>
          <w:color w:val="auto"/>
        </w:rPr>
        <w: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October 31, 2023,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24 MW; one server farm facility is located in Villarrica, Paraguay, with electrical infrastructure capacity of 10 MW and expansion opportunities up to 160 MW in Paraguay; and one server farm facility is located in Argentina, with current operational electrical infrastructure capacity of 55 MW, of which 54 MW are currently operating. The Company has contracts securing an aggregate of 179 MW, 160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Volta provides electrician services to both commercial and residential customers in Québec, while assisting Bitfarms in building and maintaining its server farms in Quebec.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estimated working capital of the Company at September 30, 2023 is approximately $54.0 million. In 2021, 2022 and the first nine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6.3 EH/s in October 2023. As at November 9, 2023, the Company holds approximately 774 Bitcoins.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Company’s cash operating expenditures are estimated to approximate $148.8 million for the next 12 months, or about $12.4 million per month based on approximately $8.4 million per month for energy costs of the Company’s infrastructure that is estimated to reach 158 MW in Quebec, 18 MW in Washington State, 30 MW in Paraguay and 55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October 2023, the Company earned 398 Bitcoin with a value of approximately $11.8 million based on an average price of $29,600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Arial" w:cs="Arial" w:eastAsia="Arial" w:hAnsi="Arial"/>
          <w:sz w:val="17"/>
          <w:szCs w:val="17"/>
          <w:i w:val="1"/>
          <w:iCs w:val="1"/>
          <w:color w:val="auto"/>
        </w:rPr>
        <w:t>“USE OF PROCEEDS”</w:t>
      </w:r>
      <w:r>
        <w:rPr>
          <w:rFonts w:ascii="Arial" w:cs="Arial" w:eastAsia="Arial" w:hAnsi="Arial"/>
          <w:sz w:val="17"/>
          <w:szCs w:val="17"/>
          <w:color w:val="auto"/>
        </w:rPr>
        <w:t xml:space="preserve">,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 – Business Objectives and Milestones”</w:t>
      </w:r>
      <w:r>
        <w:rPr>
          <w:rFonts w:ascii="Arial" w:cs="Arial" w:eastAsia="Arial" w:hAnsi="Arial"/>
          <w:sz w:val="17"/>
          <w:szCs w:val="17"/>
          <w:color w:val="auto"/>
        </w:rPr>
        <w:t>.</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the date of this prospectus, the Company has raised net proceeds of approximately $54.1 million and $68.5 million in the 2022 financial year and in the first nine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9" w:right="41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053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8053705"/>
                    </a:xfrm>
                    <a:prstGeom prst="rect">
                      <a:avLst/>
                    </a:prstGeom>
                    <a:noFill/>
                  </pic:spPr>
                </pic:pic>
              </a:graphicData>
            </a:graphic>
          </wp:anchor>
        </w:drawing>
        <w:t>More detailed information regarding the business of the Company as well as its mining operations can be found in the 2022 AIF under the heading “</w:t>
      </w:r>
      <w:r>
        <w:rPr>
          <w:rFonts w:ascii="Arial" w:cs="Arial" w:eastAsia="Arial" w:hAnsi="Arial"/>
          <w:sz w:val="18"/>
          <w:szCs w:val="18"/>
          <w:i w:val="1"/>
          <w:iCs w:val="1"/>
          <w:color w:val="auto"/>
        </w:rPr>
        <w:t>DESCRIPTION OF THE BUSINESS – Description of the Busines</w:t>
      </w:r>
      <w:r>
        <w:rPr>
          <w:rFonts w:ascii="Arial" w:cs="Arial" w:eastAsia="Arial" w:hAnsi="Arial"/>
          <w:sz w:val="18"/>
          <w:szCs w:val="18"/>
          <w:color w:val="auto"/>
        </w:rPr>
        <w:t>s”, the 2022 MD&amp;A and the Interim MD&amp;A, all of which are incorporated by reference herein.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Mining Profitability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difficulty levels as at the end of September 2023, the Company’s average direct cost per Bitcoin was approximately US$16,300; however, the Company would likely be in a position to continue mining Bitcoin profitably if the price per Bitcoin decreased to this level. In the event that the price per Bitcoin decreased below approximately US$16,300,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US$16,300 and network difficulty does not change, the Company may temporarily pause mining until the price surpasses the Company’s average direct cost per Bitcoin.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in the event the network difficulty rises or the Bitcoin price decreases such that the direct cost exceeds the Hashrate per teraHash, the Company may consider reducing the clock rate of its miners, resulting in greater electrical efficiency and a lower direct cost per Bitcoin.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Cryptocurrency Network Difficulty and Impact of Increased Global Computing Power”.</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2023, network difficulty increased to over 57 trillion Hashes. As of the date hereof, network difficulty remains over 62 trillion Hashes. The increase in network difficulty has had the effect of reducing the Company’s quantity of Bitcoin the Company earns on an ongoing basis, as the Company’s Hashrate did not increase in proportion to the increase in network difficulty. Bitcoin mining difficulty increased by approximately 5 trillion Hashes, or about 9%, from the end of September to the end of October. Assuming no change in the Company’s Hashrate, the Company would receive approximately 8% less Bitcoin due to the increase in Bitcoin mining difficulty. The reduction in the quantity of Bitcoin earned resulted in an increase of the Company’s average direct cost per Bitcoin (as the costs incurred are allocated over fewer earned Bitcoins). However, the Company’s revenues increased in October 2023 compared to September 2023 as the price of Bitcoin and the Company’s average hashrate increased to minimize the impact of the Company earning fewer Bitcoins as a result of the increased mining difficulty.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Mining Pool Participation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generally operates Miners 24 hours a day producing computational power (measured by hashrate) which it sells to Mining Pools (as defined herein), and is compensated on a FPPS basis. Bitfarms currently participates in only one Mining Pool, being Foundry USA Pool (“</w:t>
      </w:r>
      <w:r>
        <w:rPr>
          <w:rFonts w:ascii="Arial" w:cs="Arial" w:eastAsia="Arial" w:hAnsi="Arial"/>
          <w:sz w:val="18"/>
          <w:szCs w:val="18"/>
          <w:b w:val="1"/>
          <w:bCs w:val="1"/>
          <w:color w:val="auto"/>
        </w:rPr>
        <w:t>Foundry Pool</w:t>
      </w:r>
      <w:r>
        <w:rPr>
          <w:rFonts w:ascii="Arial" w:cs="Arial" w:eastAsia="Arial" w:hAnsi="Arial"/>
          <w:sz w:val="18"/>
          <w:szCs w:val="18"/>
          <w:color w:val="auto"/>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w:t>
      </w:r>
      <w:r>
        <w:rPr>
          <w:rFonts w:ascii="Arial" w:cs="Arial" w:eastAsia="Arial" w:hAnsi="Arial"/>
          <w:sz w:val="18"/>
          <w:szCs w:val="18"/>
          <w:i w:val="1"/>
          <w:iCs w:val="1"/>
          <w:color w:val="auto"/>
        </w:rPr>
        <w:t>their</w:t>
      </w:r>
      <w:r>
        <w:rPr>
          <w:rFonts w:ascii="Arial" w:cs="Arial" w:eastAsia="Arial" w:hAnsi="Arial"/>
          <w:sz w:val="18"/>
          <w:szCs w:val="18"/>
          <w:color w:val="auto"/>
        </w:rPr>
        <w:t xml:space="preserve"> Miners Hashrate to Foundry Pool with URL address(es) that are unique to </w:t>
      </w:r>
      <w:r>
        <w:rPr>
          <w:rFonts w:ascii="Arial" w:cs="Arial" w:eastAsia="Arial" w:hAnsi="Arial"/>
          <w:sz w:val="18"/>
          <w:szCs w:val="18"/>
          <w:i w:val="1"/>
          <w:iCs w:val="1"/>
          <w:color w:val="auto"/>
        </w:rPr>
        <w:t>those</w:t>
      </w:r>
      <w:r>
        <w:rPr>
          <w:rFonts w:ascii="Arial" w:cs="Arial" w:eastAsia="Arial" w:hAnsi="Arial"/>
          <w:sz w:val="18"/>
          <w:szCs w:val="18"/>
          <w:color w:val="auto"/>
        </w:rPr>
        <w:t xml:space="preserve"> members.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9" w:right="41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84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that Foundry Pool pays to Bitfarms (not including transaction fees)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where Subaccount FPPS Payout Amount is the amount of payment (in Bitcoin) that the Company actual receives; Daily PPS Base per Subaccount is the amount of Bitcoin earned by the Company </w:t>
      </w:r>
      <w:r>
        <w:rPr>
          <w:rFonts w:ascii="Arial" w:cs="Arial" w:eastAsia="Arial" w:hAnsi="Arial"/>
          <w:sz w:val="17"/>
          <w:szCs w:val="17"/>
          <w:i w:val="1"/>
          <w:iCs w:val="1"/>
          <w:color w:val="auto"/>
        </w:rPr>
        <w:t>based on the block subsidy</w:t>
      </w:r>
      <w:r>
        <w:rPr>
          <w:rFonts w:ascii="Arial" w:cs="Arial" w:eastAsia="Arial" w:hAnsi="Arial"/>
          <w:sz w:val="17"/>
          <w:szCs w:val="17"/>
          <w:color w:val="auto"/>
        </w:rPr>
        <w:t xml:space="preserve"> that is paid to Bitcoin Miners for solving a block (the “</w:t>
      </w:r>
      <w:r>
        <w:rPr>
          <w:rFonts w:ascii="Arial" w:cs="Arial" w:eastAsia="Arial" w:hAnsi="Arial"/>
          <w:sz w:val="17"/>
          <w:szCs w:val="17"/>
          <w:b w:val="1"/>
          <w:bCs w:val="1"/>
          <w:color w:val="auto"/>
        </w:rPr>
        <w:t>Reward Component</w:t>
      </w:r>
      <w:r>
        <w:rPr>
          <w:rFonts w:ascii="Arial" w:cs="Arial" w:eastAsia="Arial" w:hAnsi="Arial"/>
          <w:sz w:val="17"/>
          <w:szCs w:val="17"/>
          <w:color w:val="auto"/>
        </w:rPr>
        <w:t>”);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fees paid by the Company for its participation in the pool.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Daily PPS Base per Subaccount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where worker is the number of Miners (or groups of Miners), </w:t>
      </w:r>
      <w:r>
        <w:rPr>
          <w:rFonts w:ascii="Arial" w:cs="Arial" w:eastAsia="Arial" w:hAnsi="Arial"/>
          <w:sz w:val="18"/>
          <w:szCs w:val="18"/>
          <w:i w:val="1"/>
          <w:iCs w:val="1"/>
          <w:color w:val="auto"/>
        </w:rPr>
        <w:t>shares</w:t>
      </w:r>
      <w:r>
        <w:rPr>
          <w:rFonts w:ascii="Arial" w:cs="Arial" w:eastAsia="Arial" w:hAnsi="Arial"/>
          <w:sz w:val="18"/>
          <w:szCs w:val="18"/>
          <w:color w:val="auto"/>
        </w:rPr>
        <w:t xml:space="preserve"> equals a number equal to the aggregate Hashrate of a worker divided by sets equal to the size of the </w:t>
      </w:r>
      <w:r>
        <w:rPr>
          <w:rFonts w:ascii="Arial" w:cs="Arial" w:eastAsia="Arial" w:hAnsi="Arial"/>
          <w:sz w:val="18"/>
          <w:szCs w:val="18"/>
          <w:i w:val="1"/>
          <w:iCs w:val="1"/>
          <w:color w:val="auto"/>
        </w:rPr>
        <w:t>share difficulty</w:t>
      </w:r>
      <w:r>
        <w:rPr>
          <w:rFonts w:ascii="Arial" w:cs="Arial" w:eastAsia="Arial" w:hAnsi="Arial"/>
          <w:sz w:val="18"/>
          <w:szCs w:val="18"/>
          <w:color w:val="auto"/>
        </w:rPr>
        <w:t xml:space="preserve"> (such that the sum of all such shares is equal to the aggregate Hashpower of a particular worker; block subsidy is the amount of Bitcoin rewarded for solving a block (currently 6.25 Bitcoin, until the next Halving event, scheduled to occur in April or May 2024 (the “</w:t>
      </w:r>
      <w:r>
        <w:rPr>
          <w:rFonts w:ascii="Arial" w:cs="Arial" w:eastAsia="Arial" w:hAnsi="Arial"/>
          <w:sz w:val="18"/>
          <w:szCs w:val="18"/>
          <w:b w:val="1"/>
          <w:bCs w:val="1"/>
          <w:color w:val="auto"/>
        </w:rPr>
        <w:t>2024</w:t>
      </w:r>
      <w:r>
        <w:rPr>
          <w:rFonts w:ascii="Arial" w:cs="Arial" w:eastAsia="Arial" w:hAnsi="Arial"/>
          <w:sz w:val="18"/>
          <w:szCs w:val="18"/>
          <w:color w:val="auto"/>
        </w:rPr>
        <w:t xml:space="preserve"> </w:t>
      </w:r>
      <w:r>
        <w:rPr>
          <w:rFonts w:ascii="Arial" w:cs="Arial" w:eastAsia="Arial" w:hAnsi="Arial"/>
          <w:sz w:val="18"/>
          <w:szCs w:val="18"/>
          <w:b w:val="1"/>
          <w:bCs w:val="1"/>
          <w:color w:val="auto"/>
        </w:rPr>
        <w:t>Halving</w:t>
      </w:r>
      <w:r>
        <w:rPr>
          <w:rFonts w:ascii="Arial" w:cs="Arial" w:eastAsia="Arial" w:hAnsi="Arial"/>
          <w:sz w:val="18"/>
          <w:szCs w:val="18"/>
          <w:color w:val="auto"/>
        </w:rPr>
        <w:t>”)), and network difficulty is the Bitcoin network difficulty.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FPPS Rate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where the sum of the contract period block subsidies is the aggregate amount of block subsidies awarded to all Miners on the Bitcoin blockchain over a particular period of time (e.g. 24 hours) and the sum of the contract period transaction fees are the actual transaction fees paid by all Bitcoin network users for the transaction they log to the blockchain on the blocks over the same period of time (i.e. 24 hours).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Issuer has not identified any material differences with Foundry Pool’s reward payments.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Emerging Market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9"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70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5970270"/>
                    </a:xfrm>
                    <a:prstGeom prst="rect">
                      <a:avLst/>
                    </a:prstGeom>
                    <a:noFill/>
                  </pic:spPr>
                </pic:pic>
              </a:graphicData>
            </a:graphic>
          </wp:anchor>
        </w:drawing>
        <w:t>See “</w:t>
      </w:r>
      <w:r>
        <w:rPr>
          <w:rFonts w:ascii="Arial" w:cs="Arial" w:eastAsia="Arial" w:hAnsi="Arial"/>
          <w:sz w:val="18"/>
          <w:szCs w:val="18"/>
          <w:i w:val="1"/>
          <w:iCs w:val="1"/>
          <w:color w:val="auto"/>
        </w:rPr>
        <w:t>RISK FACTORS - Risks Related to Emerging Markets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Argentina</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Approximately 98% of the first 55 MW warehouse in the Rio Cuarto Facility (as that term is defined in the 2022 AIF) was fully commissioned during the first nine months of 2023. The Company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a reduction of the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Paraguay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2023, the Company placed orders using vendor credits for eight 2.4 MW hydro containers and approximately 1,900 Miners capable of producing approximately 675 PH/s once installed.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Villarrica, construction commenced in the third quarter of 2023 beginning with an 80 MW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Iguazu,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Non-IFRS Measures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For a reconciliation of the Company’s non-IFRS financial measures, including direct cost per Bitcoin and cash cost of production per Bitcoin, see the Interim MD&amp;A. ’</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124"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02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8602345"/>
                    </a:xfrm>
                    <a:prstGeom prst="rect">
                      <a:avLst/>
                    </a:prstGeom>
                    <a:noFill/>
                  </pic:spPr>
                </pic:pic>
              </a:graphicData>
            </a:graphic>
          </wp:anchor>
        </w:drawing>
        <w:t>Regulatory Compliance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Québec, Canada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operates a total of eight server farms with an aggregate power capacity of 158 MW located in the Province of Québec, Canada. See the Interim MD&amp;A under the heading </w:t>
      </w:r>
      <w:r>
        <w:rPr>
          <w:rFonts w:ascii="Arial" w:cs="Arial" w:eastAsia="Arial" w:hAnsi="Arial"/>
          <w:sz w:val="18"/>
          <w:szCs w:val="18"/>
          <w:i w:val="1"/>
          <w:iCs w:val="1"/>
          <w:color w:val="auto"/>
        </w:rPr>
        <w:t>EXPANSION PROJECTS – Baie-Comeau (Canada) Expansion and</w:t>
      </w:r>
      <w:r>
        <w:rPr>
          <w:rFonts w:ascii="Arial" w:cs="Arial" w:eastAsia="Arial" w:hAnsi="Arial"/>
          <w:sz w:val="18"/>
          <w:szCs w:val="18"/>
          <w:color w:val="auto"/>
        </w:rPr>
        <w:t xml:space="preserve"> the 2022 AIF under the heading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BUSINESS – Recently Completed Development and Future Growth Plans – Sherbrooke Expansion</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Washington, United Status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one 18 MW server farm located in the State of Washington in the United States. See the Interim MD&amp;A under the heading “</w:t>
      </w:r>
      <w:r>
        <w:rPr>
          <w:rFonts w:ascii="Arial" w:cs="Arial" w:eastAsia="Arial" w:hAnsi="Arial"/>
          <w:sz w:val="18"/>
          <w:szCs w:val="18"/>
          <w:i w:val="1"/>
          <w:iCs w:val="1"/>
          <w:color w:val="auto"/>
        </w:rPr>
        <w:t>EXPANSION PROJECTS – Washington Expansion</w:t>
      </w:r>
      <w:r>
        <w:rPr>
          <w:rFonts w:ascii="Arial" w:cs="Arial" w:eastAsia="Arial" w:hAnsi="Arial"/>
          <w:sz w:val="18"/>
          <w:szCs w:val="18"/>
          <w:color w:val="auto"/>
        </w:rPr>
        <w:t>” and the 2022 AIF under the heading “</w:t>
      </w:r>
      <w:r>
        <w:rPr>
          <w:rFonts w:ascii="Arial" w:cs="Arial" w:eastAsia="Arial" w:hAnsi="Arial"/>
          <w:sz w:val="18"/>
          <w:szCs w:val="18"/>
          <w:i w:val="1"/>
          <w:iCs w:val="1"/>
          <w:color w:val="auto"/>
        </w:rPr>
        <w:t>DESCRIPTION OF BUSINESS – Recently Completed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and Future Growth Plans – The State of Washington in the United States Expansion</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Argentina</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operates one 54 MW server farm located in Córdoba, Argentina (with an electrical infrastructure capacity of 55 MW). See the Interim MD&amp;A under the heading “</w:t>
      </w:r>
      <w:r>
        <w:rPr>
          <w:rFonts w:ascii="Arial" w:cs="Arial" w:eastAsia="Arial" w:hAnsi="Arial"/>
          <w:sz w:val="18"/>
          <w:szCs w:val="18"/>
          <w:i w:val="1"/>
          <w:iCs w:val="1"/>
          <w:color w:val="auto"/>
        </w:rPr>
        <w:t>EXPANSION PROJECTS – Argentina Expansion</w:t>
      </w:r>
      <w:r>
        <w:rPr>
          <w:rFonts w:ascii="Arial" w:cs="Arial" w:eastAsia="Arial" w:hAnsi="Arial"/>
          <w:sz w:val="18"/>
          <w:szCs w:val="18"/>
          <w:color w:val="auto"/>
        </w:rPr>
        <w:t>” and see the 2022 AIF under the heading “</w:t>
      </w:r>
      <w:r>
        <w:rPr>
          <w:rFonts w:ascii="Arial" w:cs="Arial" w:eastAsia="Arial" w:hAnsi="Arial"/>
          <w:sz w:val="18"/>
          <w:szCs w:val="18"/>
          <w:i w:val="1"/>
          <w:iCs w:val="1"/>
          <w:color w:val="auto"/>
        </w:rPr>
        <w:t>DESCRIPTION OF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Recently Completed Development and Future Growth Plans – Argentina Expansion</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Paraguay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one 10 MW server farm located in Villarrica, Paraguay. See the Interim MD&amp;A under the heading “</w:t>
      </w:r>
      <w:r>
        <w:rPr>
          <w:rFonts w:ascii="Arial" w:cs="Arial" w:eastAsia="Arial" w:hAnsi="Arial"/>
          <w:sz w:val="18"/>
          <w:szCs w:val="18"/>
          <w:i w:val="1"/>
          <w:iCs w:val="1"/>
          <w:color w:val="auto"/>
        </w:rPr>
        <w:t>EXPANSION PROJECTS –</w:t>
      </w:r>
      <w:r>
        <w:rPr>
          <w:rFonts w:ascii="Arial" w:cs="Arial" w:eastAsia="Arial" w:hAnsi="Arial"/>
          <w:sz w:val="18"/>
          <w:szCs w:val="18"/>
          <w:color w:val="auto"/>
        </w:rPr>
        <w:t xml:space="preserve"> </w:t>
      </w:r>
      <w:r>
        <w:rPr>
          <w:rFonts w:ascii="Arial" w:cs="Arial" w:eastAsia="Arial" w:hAnsi="Arial"/>
          <w:sz w:val="18"/>
          <w:szCs w:val="18"/>
          <w:i w:val="1"/>
          <w:iCs w:val="1"/>
          <w:color w:val="auto"/>
        </w:rPr>
        <w:t>Paraguay Expansion</w:t>
      </w:r>
      <w:r>
        <w:rPr>
          <w:rFonts w:ascii="Arial" w:cs="Arial" w:eastAsia="Arial" w:hAnsi="Arial"/>
          <w:sz w:val="18"/>
          <w:szCs w:val="18"/>
          <w:color w:val="auto"/>
        </w:rPr>
        <w:t>” and see the 2022 AIF under the heading “</w:t>
      </w:r>
      <w:r>
        <w:rPr>
          <w:rFonts w:ascii="Arial" w:cs="Arial" w:eastAsia="Arial" w:hAnsi="Arial"/>
          <w:sz w:val="18"/>
          <w:szCs w:val="18"/>
          <w:i w:val="1"/>
          <w:iCs w:val="1"/>
          <w:color w:val="auto"/>
        </w:rPr>
        <w:t>DESCRIPTION OF BUSINESS – Recently Completed Development and Future Growth Plans – Paraguay Expansion</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Custody of Cryptocurrency Assets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cryptocurrency assets, currently Bitcoin, are earned to multi-signature wallets that the Company controls or directs to external third-party ’custodians. On a regular basis, the Company transfers Bitcoin from its multi-signature wallets to external third-party custodians, Coinbase Custody Trust Company, LLC (“</w:t>
      </w:r>
      <w:r>
        <w:rPr>
          <w:rFonts w:ascii="Arial" w:cs="Arial" w:eastAsia="Arial" w:hAnsi="Arial"/>
          <w:sz w:val="16"/>
          <w:szCs w:val="16"/>
          <w:b w:val="1"/>
          <w:bCs w:val="1"/>
          <w:color w:val="auto"/>
        </w:rPr>
        <w:t>Coinbase Custody</w:t>
      </w:r>
      <w:r>
        <w:rPr>
          <w:rFonts w:ascii="Arial" w:cs="Arial" w:eastAsia="Arial" w:hAnsi="Arial"/>
          <w:sz w:val="16"/>
          <w:szCs w:val="16"/>
          <w:color w:val="auto"/>
        </w:rPr>
        <w:t>”) and Anchorage Digital Bank National Association (“</w:t>
      </w:r>
      <w:r>
        <w:rPr>
          <w:rFonts w:ascii="Arial" w:cs="Arial" w:eastAsia="Arial" w:hAnsi="Arial"/>
          <w:sz w:val="16"/>
          <w:szCs w:val="16"/>
          <w:b w:val="1"/>
          <w:bCs w:val="1"/>
          <w:color w:val="auto"/>
        </w:rPr>
        <w:t>Anchorage Digital</w:t>
      </w:r>
      <w:r>
        <w:rPr>
          <w:rFonts w:ascii="Arial" w:cs="Arial" w:eastAsia="Arial" w:hAnsi="Arial"/>
          <w:sz w:val="16"/>
          <w:szCs w:val="16"/>
          <w:color w:val="auto"/>
        </w:rPr>
        <w:t>”). As of the date hereof, the Company holds approximately 356 Bitcoins with Coinbase Custody and 400 Bitcoins with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56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6956425"/>
                    </a:xfrm>
                    <a:prstGeom prst="rect">
                      <a:avLst/>
                    </a:prstGeom>
                    <a:noFill/>
                  </pic:spPr>
                </pic:pic>
              </a:graphicData>
            </a:graphic>
          </wp:anchor>
        </w:drawing>
        <w:t>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November 9, 2023, the Company has 774 Bitcoin, valued at $29.0 million on its balance sheet. As of the date of this Prospectus, 97% of the Company’s Bitcoin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Bitcoin are held by third parties to collateralize the Company’s hedging contracts, which will be classified as derivative liabilities in the statements of financial position.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Bitcoin that are lost or stolen. The Company does not hold any of its Bitcoin in hot storage.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Regardless of efforts made by the Company to securely store and safeguard assets, there can be no assurance that cryptocurrency assets will not be defalcated through hacking or other forms of theft.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At-the-Market Offering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previously entered into an at-the-market offering agreement dated August 16, 2021 (the “</w:t>
      </w:r>
      <w:r>
        <w:rPr>
          <w:rFonts w:ascii="Arial" w:cs="Arial" w:eastAsia="Arial" w:hAnsi="Arial"/>
          <w:sz w:val="17"/>
          <w:szCs w:val="17"/>
          <w:b w:val="1"/>
          <w:bCs w:val="1"/>
          <w:color w:val="auto"/>
        </w:rPr>
        <w:t>ATM Agreement</w:t>
      </w:r>
      <w:r>
        <w:rPr>
          <w:rFonts w:ascii="Arial" w:cs="Arial" w:eastAsia="Arial" w:hAnsi="Arial"/>
          <w:sz w:val="17"/>
          <w:szCs w:val="17"/>
          <w:color w:val="auto"/>
        </w:rPr>
        <w:t>”) with H.C. Wainwright &amp; Co., LLC (“</w:t>
      </w:r>
      <w:r>
        <w:rPr>
          <w:rFonts w:ascii="Arial" w:cs="Arial" w:eastAsia="Arial" w:hAnsi="Arial"/>
          <w:sz w:val="17"/>
          <w:szCs w:val="17"/>
          <w:b w:val="1"/>
          <w:bCs w:val="1"/>
          <w:color w:val="auto"/>
        </w:rPr>
        <w:t>HCW</w:t>
      </w:r>
      <w:r>
        <w:rPr>
          <w:rFonts w:ascii="Arial" w:cs="Arial" w:eastAsia="Arial" w:hAnsi="Arial"/>
          <w:sz w:val="17"/>
          <w:szCs w:val="17"/>
          <w:color w:val="auto"/>
        </w:rPr>
        <w:t>”) as agent, pursuant to which the Company established an at-the-market equity program (the “</w:t>
      </w:r>
      <w:r>
        <w:rPr>
          <w:rFonts w:ascii="Arial" w:cs="Arial" w:eastAsia="Arial" w:hAnsi="Arial"/>
          <w:sz w:val="17"/>
          <w:szCs w:val="17"/>
          <w:b w:val="1"/>
          <w:bCs w:val="1"/>
          <w:color w:val="auto"/>
        </w:rPr>
        <w:t>ATM Program</w:t>
      </w:r>
      <w:r>
        <w:rPr>
          <w:rFonts w:ascii="Arial" w:cs="Arial" w:eastAsia="Arial" w:hAnsi="Arial"/>
          <w:sz w:val="17"/>
          <w:szCs w:val="17"/>
          <w:color w:val="auto"/>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Asset Management Program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earned at then-prevailing market rates, the Company decided to retain Bitcoin through its custodial arrangements.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earned to reduce indebtedness and increase financial flexibility.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9" w:right="41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721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5721985"/>
                    </a:xfrm>
                    <a:prstGeom prst="rect">
                      <a:avLst/>
                    </a:prstGeom>
                    <a:noFill/>
                  </pic:spPr>
                </pic:pic>
              </a:graphicData>
            </a:graphic>
          </wp:anchor>
        </w:drawing>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Every Bitcoin earned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Custody and Anchorage Digital, every Bitcoin is held in a cold wallet. One initiator and two approvers (CEO, CFO, VP finance) are needed to complete a transaction and video calls are needed for a transfer to a third-party.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the 2022 AIF under the heading “</w:t>
      </w:r>
      <w:r>
        <w:rPr>
          <w:rFonts w:ascii="Arial" w:cs="Arial" w:eastAsia="Arial" w:hAnsi="Arial"/>
          <w:sz w:val="18"/>
          <w:szCs w:val="18"/>
          <w:i w:val="1"/>
          <w:iCs w:val="1"/>
          <w:color w:val="auto"/>
        </w:rPr>
        <w:t>DESCRIPTION OF BUSINESS - Business and Strategy - Digital Asset Management Program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Baie-Comeau Expansion</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Arial" w:cs="Arial" w:eastAsia="Arial" w:hAnsi="Arial"/>
          <w:sz w:val="18"/>
          <w:szCs w:val="18"/>
          <w:b w:val="1"/>
          <w:bCs w:val="1"/>
          <w:color w:val="auto"/>
        </w:rPr>
        <w:t>Baie-Comeau</w:t>
      </w:r>
      <w:r>
        <w:rPr>
          <w:rFonts w:ascii="Arial" w:cs="Arial" w:eastAsia="Arial" w:hAnsi="Arial"/>
          <w:sz w:val="18"/>
          <w:szCs w:val="18"/>
          <w:color w:val="auto"/>
        </w:rPr>
        <w:t xml:space="preserve"> </w:t>
      </w:r>
      <w:r>
        <w:rPr>
          <w:rFonts w:ascii="Arial" w:cs="Arial" w:eastAsia="Arial" w:hAnsi="Arial"/>
          <w:sz w:val="18"/>
          <w:szCs w:val="18"/>
          <w:b w:val="1"/>
          <w:bCs w:val="1"/>
          <w:color w:val="auto"/>
        </w:rPr>
        <w:t>Expansion</w:t>
      </w:r>
      <w:r>
        <w:rPr>
          <w:rFonts w:ascii="Arial" w:cs="Arial" w:eastAsia="Arial" w:hAnsi="Arial"/>
          <w:sz w:val="18"/>
          <w:szCs w:val="18"/>
          <w:color w:val="auto"/>
        </w:rPr>
        <w:t>”). In connection with the Baie-Comeau Expansion, on July 5, 2023, the Company issued an aggregate of 820,837 Common Shares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12790963 Canada Inc. See “RISK FACTORS </w:t>
      </w:r>
      <w:r>
        <w:rPr>
          <w:rFonts w:ascii="Arial" w:cs="Arial" w:eastAsia="Arial" w:hAnsi="Arial"/>
          <w:sz w:val="18"/>
          <w:szCs w:val="18"/>
          <w:i w:val="1"/>
          <w:iCs w:val="1"/>
          <w:color w:val="auto"/>
        </w:rPr>
        <w:t>–</w:t>
      </w:r>
      <w:r>
        <w:rPr>
          <w:rFonts w:ascii="Arial" w:cs="Arial" w:eastAsia="Arial" w:hAnsi="Arial"/>
          <w:sz w:val="18"/>
          <w:szCs w:val="18"/>
          <w:color w:val="auto"/>
        </w:rPr>
        <w:t xml:space="preserve"> General Risk Factors </w:t>
      </w:r>
      <w:r>
        <w:rPr>
          <w:rFonts w:ascii="Arial" w:cs="Arial" w:eastAsia="Arial" w:hAnsi="Arial"/>
          <w:sz w:val="18"/>
          <w:szCs w:val="18"/>
          <w:i w:val="1"/>
          <w:iCs w:val="1"/>
          <w:color w:val="auto"/>
        </w:rPr>
        <w:t>– Economic Dependence on Regulated Terms of Service and Electricity Rates</w:t>
      </w:r>
      <w:r>
        <w:rPr>
          <w:rFonts w:ascii="Arial" w:cs="Arial" w:eastAsia="Arial" w:hAnsi="Arial"/>
          <w:sz w:val="18"/>
          <w:szCs w:val="18"/>
          <w:color w:val="auto"/>
        </w:rPr>
        <w:t xml:space="preserve"> </w:t>
      </w:r>
      <w:r>
        <w:rPr>
          <w:rFonts w:ascii="Arial" w:cs="Arial" w:eastAsia="Arial" w:hAnsi="Arial"/>
          <w:sz w:val="18"/>
          <w:szCs w:val="18"/>
          <w:i w:val="1"/>
          <w:iCs w:val="1"/>
          <w:color w:val="auto"/>
        </w:rPr>
        <w:t>Risks.”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May 24, 2023, the shareholders of the Company approved a consolidation (the “</w:t>
      </w:r>
      <w:r>
        <w:rPr>
          <w:rFonts w:ascii="Arial" w:cs="Arial" w:eastAsia="Arial" w:hAnsi="Arial"/>
          <w:sz w:val="18"/>
          <w:szCs w:val="18"/>
          <w:b w:val="1"/>
          <w:bCs w:val="1"/>
          <w:color w:val="auto"/>
        </w:rPr>
        <w:t>Consolidation</w:t>
      </w:r>
      <w:r>
        <w:rPr>
          <w:rFonts w:ascii="Arial" w:cs="Arial" w:eastAsia="Arial" w:hAnsi="Arial"/>
          <w:sz w:val="18"/>
          <w:szCs w:val="18"/>
          <w:color w:val="auto"/>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Composition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9" w:right="4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440"/>
              <w:spacing w:after="0"/>
              <w:rPr>
                <w:sz w:val="20"/>
                <w:szCs w:val="20"/>
                <w:color w:val="auto"/>
              </w:rPr>
            </w:pPr>
            <w:r>
              <w:rPr>
                <w:rFonts w:ascii="Arial" w:cs="Arial" w:eastAsia="Arial" w:hAnsi="Arial"/>
                <w:sz w:val="18"/>
                <w:szCs w:val="18"/>
                <w:b w:val="1"/>
                <w:bCs w:val="1"/>
                <w:color w:val="auto"/>
              </w:rPr>
              <w:t>PROMOTERS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w:t>
            </w:r>
            <w:r>
              <w:rPr>
                <w:rFonts w:ascii="Arial" w:cs="Arial" w:eastAsia="Arial" w:hAnsi="Arial"/>
                <w:sz w:val="18"/>
                <w:szCs w:val="18"/>
                <w:b w:val="1"/>
                <w:bCs w:val="1"/>
                <w:color w:val="auto"/>
              </w:rPr>
              <w:t>Promoters</w:t>
            </w:r>
            <w:r>
              <w:rPr>
                <w:rFonts w:ascii="Arial" w:cs="Arial" w:eastAsia="Arial" w:hAnsi="Arial"/>
                <w:sz w:val="18"/>
                <w:szCs w:val="18"/>
                <w:color w:val="auto"/>
              </w:rPr>
              <w:t>”) of the Company: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Quantity of</w:t>
            </w:r>
          </w:p>
        </w:tc>
        <w:tc>
          <w:tcPr>
            <w:tcW w:w="1260" w:type="dxa"/>
            <w:vAlign w:val="bottom"/>
            <w:gridSpan w:val="2"/>
            <w:vMerge w:val="restart"/>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180"/>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8"/>
              </w:rPr>
              <w:t>Securities</w:t>
            </w: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386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Class of Securities Owned</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line="270" w:lineRule="exact"/>
              <w:rPr>
                <w:sz w:val="20"/>
                <w:szCs w:val="20"/>
                <w:color w:val="auto"/>
              </w:rPr>
            </w:pPr>
            <w:r>
              <w:rPr>
                <w:rFonts w:ascii="Arial" w:cs="Arial" w:eastAsia="Arial" w:hAnsi="Arial"/>
                <w:sz w:val="18"/>
                <w:szCs w:val="18"/>
                <w:b w:val="1"/>
                <w:bCs w:val="1"/>
                <w:color w:val="auto"/>
              </w:rPr>
              <w:t>Class</w:t>
            </w:r>
            <w:r>
              <w:rPr>
                <w:rFonts w:ascii="Arial" w:cs="Arial" w:eastAsia="Arial" w:hAnsi="Arial"/>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4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Common Shares</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6,698,443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Arial" w:cs="Arial" w:eastAsia="Arial" w:hAnsi="Arial"/>
                <w:sz w:val="17"/>
                <w:szCs w:val="17"/>
                <w:color w:val="auto"/>
              </w:rPr>
              <w:t>Nicolas Bonta</w:t>
            </w:r>
            <w:r>
              <w:rPr>
                <w:rFonts w:ascii="Arial" w:cs="Arial" w:eastAsia="Arial" w:hAnsi="Arial"/>
                <w:sz w:val="28"/>
                <w:szCs w:val="28"/>
                <w:color w:val="auto"/>
                <w:vertAlign w:val="superscript"/>
              </w:rPr>
              <w:t>(2)</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Common Shares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8,542,118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15,240,561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9305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875" cy="93052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52" w:lineRule="exact"/>
        <w:rPr>
          <w:sz w:val="20"/>
          <w:szCs w:val="20"/>
          <w:color w:val="auto"/>
        </w:rPr>
      </w:pPr>
    </w:p>
    <w:p>
      <w:pPr>
        <w:ind w:left="340" w:hanging="331"/>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Grodzki holds 2,214,900 options to purchase Bitfarms Canada Shares at an average price of C$2.05 per Bitfarms Canada Share and 100,000RSUs (as defined below).</w:t>
      </w:r>
    </w:p>
    <w:p>
      <w:pPr>
        <w:spacing w:after="0" w:line="1"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Bonta holds 2,214,900 options to purchase Bitfarms Canada Shares at an average price of C$2.05 per Bitfarms Canada Share and 100,000 RSUs.</w:t>
      </w:r>
    </w:p>
    <w:p>
      <w:pPr>
        <w:ind w:left="340" w:hanging="331"/>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total of 277,684,000 Bitfarms Canada Shares are issued and outstanding as of the date hereof.</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SECONDARY OFFERING BY SELLING SECURITYHOLDERS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spacing w:after="0" w:line="187" w:lineRule="exact"/>
        <w:rPr>
          <w:sz w:val="20"/>
          <w:szCs w:val="20"/>
          <w:color w:val="auto"/>
        </w:rPr>
      </w:pPr>
    </w:p>
    <w:p>
      <w:pPr>
        <w:ind w:left="980" w:hanging="32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or names of the Selling Securityholders;</w:t>
      </w:r>
    </w:p>
    <w:p>
      <w:pPr>
        <w:spacing w:after="0" w:line="225" w:lineRule="exact"/>
        <w:rPr>
          <w:rFonts w:ascii="Arial" w:cs="Arial" w:eastAsia="Arial" w:hAnsi="Arial"/>
          <w:sz w:val="18"/>
          <w:szCs w:val="18"/>
          <w:color w:val="auto"/>
        </w:rPr>
      </w:pPr>
    </w:p>
    <w:p>
      <w:pPr>
        <w:ind w:left="980" w:hanging="32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or amount of Securities owned, controlled or directed by each Selling Securityholder;</w:t>
      </w:r>
    </w:p>
    <w:p>
      <w:pPr>
        <w:spacing w:after="0" w:line="225" w:lineRule="exact"/>
        <w:rPr>
          <w:rFonts w:ascii="Arial" w:cs="Arial" w:eastAsia="Arial" w:hAnsi="Arial"/>
          <w:sz w:val="18"/>
          <w:szCs w:val="18"/>
          <w:color w:val="auto"/>
        </w:rPr>
      </w:pPr>
    </w:p>
    <w:p>
      <w:pPr>
        <w:ind w:left="980" w:hanging="32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or amount of Securities being distributed for the account of each Selling Securityholder;</w:t>
      </w:r>
    </w:p>
    <w:p>
      <w:pPr>
        <w:spacing w:after="0" w:line="225" w:lineRule="exact"/>
        <w:rPr>
          <w:rFonts w:ascii="Arial" w:cs="Arial" w:eastAsia="Arial" w:hAnsi="Arial"/>
          <w:sz w:val="18"/>
          <w:szCs w:val="18"/>
          <w:color w:val="auto"/>
        </w:rPr>
      </w:pPr>
    </w:p>
    <w:p>
      <w:pPr>
        <w:ind w:left="980" w:hanging="32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the Securities are owned by the Selling Securityholders both of record and beneficially, of record only, or beneficially only;</w:t>
      </w:r>
    </w:p>
    <w:p>
      <w:pPr>
        <w:spacing w:after="0" w:line="236" w:lineRule="exact"/>
        <w:rPr>
          <w:rFonts w:ascii="Arial" w:cs="Arial" w:eastAsia="Arial" w:hAnsi="Arial"/>
          <w:sz w:val="17"/>
          <w:szCs w:val="17"/>
          <w:color w:val="auto"/>
        </w:rPr>
      </w:pPr>
    </w:p>
    <w:p>
      <w:pPr>
        <w:ind w:left="980" w:hanging="32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70"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70" w:lineRule="exact"/>
        <w:rPr>
          <w:rFonts w:ascii="Arial" w:cs="Arial" w:eastAsia="Arial" w:hAnsi="Arial"/>
          <w:sz w:val="18"/>
          <w:szCs w:val="18"/>
          <w:color w:val="auto"/>
        </w:rPr>
      </w:pPr>
    </w:p>
    <w:p>
      <w:pPr>
        <w:ind w:left="980" w:right="20" w:hanging="32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70" w:lineRule="exact"/>
        <w:rPr>
          <w:rFonts w:ascii="Arial" w:cs="Arial" w:eastAsia="Arial" w:hAnsi="Arial"/>
          <w:sz w:val="18"/>
          <w:szCs w:val="18"/>
          <w:color w:val="auto"/>
        </w:rPr>
      </w:pPr>
    </w:p>
    <w:p>
      <w:pPr>
        <w:ind w:left="980" w:hanging="32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497"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 of growth and expansion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risks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Bitcoin, which is held in custody by Coinbase Custody and Anchorage Digital, is not insured. Although Coinbase Custody maintains an insurance policy of $320 million for its cold storage and Anchorage Digital maintains an insurance policy of $50 million for its cold and hot storage, the full limits of those policies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Bitcoin Halving Events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at which time Bitcoin block rewards will decrease from 6.25 Bitcoin per block to 3.125 Bitcoin per block.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compensation from Mining Pools.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Valuation and Price Volatility of Cryptocurrencies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Price Fluctuations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spacing w:after="0" w:line="16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the Company’s financial results or those of companies that are perceived to be similar to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by the Company or its competitors, such as acquisitions, bankruptcies or restructurings;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proceedings involving the Company, the cryptocurrency industry, or both;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prospects of and changes affecting participants in the cryptocurrency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by the Company’s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the Company or the cryptocurrency industry in general;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pricing or availability of hydroelectricity, natural gas and other sources of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regulatory, market and political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uncertainties and factors described in these risk factors.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88" w:lineRule="auto"/>
        <w:rPr>
          <w:sz w:val="20"/>
          <w:szCs w:val="20"/>
          <w:color w:val="auto"/>
        </w:rPr>
      </w:pPr>
      <w:r>
        <w:rPr>
          <w:rFonts w:ascii="Arial" w:cs="Arial" w:eastAsia="Arial" w:hAnsi="Arial"/>
          <w:sz w:val="16"/>
          <w:szCs w:val="16"/>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Capital Needs, Uncertainty of Additional Financing and Dilution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2022, the Company had cash of $30.9 million compared to $125.6 million as of December 31, 2021. The Company expects to continue to depend upon selling Bitcoin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agreements governing the Company’s debt obligations may contain financial covenants and covenants that restrict the Company’s and its subsidiaries’ ability to:</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 or issue equity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the Company’s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equity distributions;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the Company’s equity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Company’s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Financial Conditions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Possibility of Bitcoin Mining Algorithms Transitioning to Proof of Stake Validation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earns or otherwise acquires or holds for its own account.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governing the Company’s long-term debt contain restrictive covenants that could limit its discretion with respect to certain business matters.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b w:val="1"/>
          <w:bCs w:val="1"/>
          <w:i w:val="1"/>
          <w:iCs w:val="1"/>
          <w:color w:val="auto"/>
        </w:rPr>
        <w:t>Employee Retention and Growth</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Cybersecurity Threats and Hacking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computer network operated by the Company or the Mining Pool(s) in which it participates, such as Foundry Pool, may be vulnerable to intrusions by hackers who could interfere with and introduce defects to the Mining operations. Private keys which enable holders to transfer funds may also be lost or stolen, resulting in irreversible losses of cryptocurrencies.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Limited History of De-centralized Financial System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earns or otherwise acquires or holds for its own account.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Related to Technological Obsolescence and Difficulty in Obtaining Hardware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b w:val="1"/>
          <w:bCs w:val="1"/>
          <w:i w:val="1"/>
          <w:iCs w:val="1"/>
          <w:color w:val="auto"/>
        </w:rPr>
        <w:t>Cryptocurrency Network Difficulty and Impact of Increased Global Computing Power</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Economic Dependence on Regulated Terms of Service and Electricity Rates Risks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Quebec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79" w:lineRule="exact"/>
        <w:rPr>
          <w:sz w:val="20"/>
          <w:szCs w:val="20"/>
          <w:color w:val="auto"/>
        </w:rPr>
      </w:pPr>
    </w:p>
    <w:p>
      <w:pPr>
        <w:jc w:val="both"/>
        <w:ind w:left="980" w:hanging="647"/>
        <w:spacing w:after="0" w:line="301" w:lineRule="auto"/>
        <w:tabs>
          <w:tab w:leader="none" w:pos="96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left="980" w:hanging="647"/>
        <w:spacing w:after="0" w:line="267" w:lineRule="auto"/>
        <w:tabs>
          <w:tab w:leader="none" w:pos="96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7"/>
          <w:szCs w:val="17"/>
          <w:color w:val="auto"/>
        </w:rPr>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p>
      <w:pPr>
        <w:spacing w:after="0" w:line="191" w:lineRule="exact"/>
        <w:rPr>
          <w:sz w:val="20"/>
          <w:szCs w:val="20"/>
          <w:color w:val="auto"/>
        </w:rPr>
      </w:pPr>
    </w:p>
    <w:p>
      <w:pPr>
        <w:jc w:val="both"/>
        <w:ind w:left="980" w:hanging="647"/>
        <w:spacing w:after="0" w:line="255" w:lineRule="auto"/>
        <w:tabs>
          <w:tab w:leader="none" w:pos="960" w:val="left"/>
        </w:tabs>
        <w:rPr>
          <w:sz w:val="20"/>
          <w:szCs w:val="20"/>
          <w:color w:val="auto"/>
        </w:rPr>
      </w:pPr>
      <w:r>
        <w:rPr>
          <w:rFonts w:ascii="Arial" w:cs="Arial" w:eastAsia="Arial" w:hAnsi="Arial"/>
          <w:sz w:val="18"/>
          <w:szCs w:val="18"/>
          <w:color w:val="auto"/>
        </w:rPr>
        <w:t>Step 3:</w:t>
        <w:tab/>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2" w:lineRule="exact"/>
        <w:rPr>
          <w:sz w:val="20"/>
          <w:szCs w:val="20"/>
          <w:color w:val="auto"/>
        </w:rPr>
      </w:pPr>
    </w:p>
    <w:p>
      <w:pPr>
        <w:ind w:left="1300" w:right="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such as the Company, have already executed agreements with municipal electricity networks with non-firm service (without financial compensation) for at least 300 hours per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6, 2022, the Régie rendered a decision confirming the decision rendered in Step 3, resulting in the application of the non-firm service to the Company’s facilities in Quebec.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7"/>
          <w:szCs w:val="17"/>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2022, Hydro-Quebec responded to the Company’s administrative complaint confirming that the allocation process of the 300 MW Block would be opened in September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hereof, there are two ongoing files before the Régie regarding the allocation process of additional power to crypto-miners: (1) the supply plan hearing (number R-4210-2022)(the “</w:t>
      </w:r>
      <w:r>
        <w:rPr>
          <w:rFonts w:ascii="Arial" w:cs="Arial" w:eastAsia="Arial" w:hAnsi="Arial"/>
          <w:sz w:val="18"/>
          <w:szCs w:val="18"/>
          <w:b w:val="1"/>
          <w:bCs w:val="1"/>
          <w:color w:val="auto"/>
        </w:rPr>
        <w:t>Supply Plan Hearing</w:t>
      </w:r>
      <w:r>
        <w:rPr>
          <w:rFonts w:ascii="Arial" w:cs="Arial" w:eastAsia="Arial" w:hAnsi="Arial"/>
          <w:sz w:val="18"/>
          <w:szCs w:val="18"/>
          <w:color w:val="auto"/>
        </w:rPr>
        <w:t>”); and (2) the Company’s complaint against Hydro-Quebec (the “</w:t>
      </w:r>
      <w:r>
        <w:rPr>
          <w:rFonts w:ascii="Arial" w:cs="Arial" w:eastAsia="Arial" w:hAnsi="Arial"/>
          <w:sz w:val="18"/>
          <w:szCs w:val="18"/>
          <w:b w:val="1"/>
          <w:bCs w:val="1"/>
          <w:color w:val="auto"/>
        </w:rPr>
        <w:t>Complaint</w:t>
      </w:r>
      <w:r>
        <w:rPr>
          <w:rFonts w:ascii="Arial" w:cs="Arial" w:eastAsia="Arial" w:hAnsi="Arial"/>
          <w:sz w:val="18"/>
          <w:szCs w:val="18"/>
          <w:color w:val="auto"/>
        </w:rPr>
        <w:t>”) regarding the opening of the “guichet unique”.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On September 9, 2023, the Régie approved the reduction to zero MW for the remaining quantity of the reserved block. On the same decision, the Régie decided to maintain the 32.6 MW of the reserved block that had already being allocated to CB tariff clients. The Régie considers that the potential reallocation of the quantities currently held by these customers in the event of their subscriptions being abandoned or cancelled could enable certain companies to continue their development or a few new CB tariff customers to be served. The Régie requested Hydro-Quebec to amend the </w:t>
      </w:r>
      <w:r>
        <w:rPr>
          <w:rFonts w:ascii="Arial" w:cs="Arial" w:eastAsia="Arial" w:hAnsi="Arial"/>
          <w:sz w:val="17"/>
          <w:szCs w:val="17"/>
          <w:i w:val="1"/>
          <w:iCs w:val="1"/>
          <w:color w:val="auto"/>
        </w:rPr>
        <w:t>Conditions of Service for Cryptographic Use Applied to Blockchains</w:t>
      </w:r>
      <w:r>
        <w:rPr>
          <w:rFonts w:ascii="Arial" w:cs="Arial" w:eastAsia="Arial" w:hAnsi="Arial"/>
          <w:sz w:val="17"/>
          <w:szCs w:val="17"/>
          <w:color w:val="auto"/>
        </w:rPr>
        <w:t xml:space="preserve"> and propose a new process for the eventual reallocation of the MW that could become available from the 32.6 MW reserved block. Hydro-Quebec requested, and the Régie accepted that such new process be presented on, or before, January 31, 2024.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the Complaint, Hydro-Quebec has asked the Régie to reject it at a preliminary stage considering the decision rendered by the Régie in R-4210-2022 to suspend the allocation process. On August 3, 2023, the Régie rejected Hydro-Quebec’s request to dismiss Bitfarms’ Complaint and has asked the parties to set the dates for the hearing in which arguments from both parties will be heard. The hearing is expected to be held on November 9, 10 and 14, 2023.</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Washington State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9, 2021, the Company completed the acquisition of a cryptocurrency Mining facility in Washington State. The facility is powered by the Grant County Power Utility District (“</w:t>
      </w:r>
      <w:r>
        <w:rPr>
          <w:rFonts w:ascii="Arial" w:cs="Arial" w:eastAsia="Arial" w:hAnsi="Arial"/>
          <w:sz w:val="17"/>
          <w:szCs w:val="17"/>
          <w:b w:val="1"/>
          <w:bCs w:val="1"/>
          <w:color w:val="auto"/>
        </w:rPr>
        <w:t>Grant PUD</w:t>
      </w:r>
      <w:r>
        <w:rPr>
          <w:rFonts w:ascii="Arial" w:cs="Arial" w:eastAsia="Arial" w:hAnsi="Arial"/>
          <w:sz w:val="17"/>
          <w:szCs w:val="17"/>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Paraguay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the Company completed construction of the 10 MW Villarrica Facility. The facility is powered by Compañía Luz y Fuerza S.A. (“</w:t>
      </w:r>
      <w:r>
        <w:rPr>
          <w:rFonts w:ascii="Arial" w:cs="Arial" w:eastAsia="Arial" w:hAnsi="Arial"/>
          <w:sz w:val="18"/>
          <w:szCs w:val="18"/>
          <w:b w:val="1"/>
          <w:bCs w:val="1"/>
          <w:color w:val="auto"/>
        </w:rPr>
        <w:t>CLYFSA</w:t>
      </w:r>
      <w:r>
        <w:rPr>
          <w:rFonts w:ascii="Arial" w:cs="Arial" w:eastAsia="Arial" w:hAnsi="Arial"/>
          <w:sz w:val="18"/>
          <w:szCs w:val="18"/>
          <w:color w:val="auto"/>
        </w:rPr>
        <w:t>”) an electricity distribution company located in the city of Villarrica, Paraguay. CLYFSA purchases energy from ANDE, the operator of Paraguay’s national electricity grid, and provides power to almost 15,000 residential and commercial customers in Villarrica.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2023, the Company acquired two power purchase agreements in Paraguay for up to 150 MW of hydro power until December 31, 2027: up to 50 MW in Villarrica, in close proximity to the Company’s existing operations in Paraguay, and up to 100 MW in Iguazu, a new location close to the Itaipu dam, the third largest hydro-electric dam in the world. Hydro power at both locations will be provided at a contracted cost of approximately $0.039 per kWh, before VAT, until December 31, 2027 and is not subject to annual inflationary adjustments.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Argentina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2021, the Company entered into engineering, procurement and construction contracts and commenced construction of a facility in Argentina (Rio Cuarto</w:t>
      </w:r>
    </w:p>
    <w:p>
      <w:pPr>
        <w:spacing w:after="0" w:line="46" w:lineRule="exact"/>
        <w:rPr>
          <w:sz w:val="20"/>
          <w:szCs w:val="20"/>
          <w:color w:val="auto"/>
        </w:rPr>
      </w:pPr>
    </w:p>
    <w:p>
      <w:pPr>
        <w:jc w:val="both"/>
        <w:ind w:firstLine="8"/>
        <w:spacing w:after="0" w:line="255"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Cordoba) for up to 210 MW. The facility will receive electricity from Generacion Mediterranea S.A. (“</w:t>
      </w:r>
      <w:r>
        <w:rPr>
          <w:rFonts w:ascii="Arial" w:cs="Arial" w:eastAsia="Arial" w:hAnsi="Arial"/>
          <w:sz w:val="18"/>
          <w:szCs w:val="18"/>
          <w:b w:val="1"/>
          <w:bCs w:val="1"/>
          <w:color w:val="auto"/>
        </w:rPr>
        <w:t>GMSA</w:t>
      </w:r>
      <w:r>
        <w:rPr>
          <w:rFonts w:ascii="Arial" w:cs="Arial" w:eastAsia="Arial" w:hAnsi="Arial"/>
          <w:sz w:val="18"/>
          <w:szCs w:val="18"/>
          <w:color w:val="auto"/>
        </w:rPr>
        <w:t>”) one of the subsidiaries of Grupo Albanesi. Grupo Albanesi is an Argentine private corporate group focused on the energy market which provides natural gas and electrical energy to its clients from its multiple facilities.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76"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intervention preventing GMSA from providing the Company with electricity, or directing GMSA to reroute its electricity to the wholesale market;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Scheduled and unscheduled maintenance required to service the power plant or related equipment;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intervention limiting GMSA’s supply of natural gas.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calculation or calculated using the defined formula in effect for the second four years of the contract, both primarily driven by natural gas prices and foreign currency rates, are not economically viable.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Increases in Commodity Prices or Reductions in the Availability of Such Commodities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Profits/Losses and Production Revenues/Expenses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Fraud and Failure of Cryptocurrency Exchanges, Custodians and Other Trading Venues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Those and similar events have had, and, in the future, may have, an adverse impact on the profitability of the Company’s Bitcoin Mining operations and the Company’s financial condition and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760"/>
        <w:spacing w:after="0"/>
        <w:rPr>
          <w:sz w:val="20"/>
          <w:szCs w:val="20"/>
          <w:color w:val="auto"/>
        </w:rPr>
      </w:pPr>
      <w:r>
        <w:rPr>
          <w:rFonts w:ascii="Arial" w:cs="Arial" w:eastAsia="Arial" w:hAnsi="Arial"/>
          <w:sz w:val="18"/>
          <w:szCs w:val="18"/>
          <w:b w:val="1"/>
          <w:bCs w:val="1"/>
          <w:i w:val="1"/>
          <w:iCs w:val="1"/>
          <w:color w:val="auto"/>
        </w:rPr>
        <w:t>Insolvency, Bankruptcy, or Cessation of Operations of Mining Pool Operator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w:t>
      </w:r>
      <w:r>
        <w:rPr>
          <w:rFonts w:ascii="Arial" w:cs="Arial" w:eastAsia="Arial" w:hAnsi="Arial"/>
          <w:sz w:val="16"/>
          <w:szCs w:val="16"/>
          <w:b w:val="1"/>
          <w:bCs w:val="1"/>
          <w:color w:val="auto"/>
        </w:rPr>
        <w:t>Genesis</w:t>
      </w:r>
      <w:r>
        <w:rPr>
          <w:rFonts w:ascii="Arial" w:cs="Arial" w:eastAsia="Arial" w:hAnsi="Arial"/>
          <w:sz w:val="16"/>
          <w:szCs w:val="16"/>
          <w:color w:val="auto"/>
        </w:rPr>
        <w:t>”).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the Company is unable to effect a switch of its operations in a timely manner and experience significant down time from mining operations, it may experience a material adverse change.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Independent Mining Risks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 the Company decides to cease participating in a Mining Pool and conduct Mining operations independently, it may be exposed to certain risks; however, it may achieve marginally greater revenues by doing so. See “</w:t>
      </w:r>
      <w:r>
        <w:rPr>
          <w:rFonts w:ascii="Arial" w:cs="Arial" w:eastAsia="Arial" w:hAnsi="Arial"/>
          <w:sz w:val="17"/>
          <w:szCs w:val="17"/>
          <w:i w:val="1"/>
          <w:iCs w:val="1"/>
          <w:color w:val="auto"/>
        </w:rPr>
        <w:t>THE COMPANY – Summary Description of the Business – Mining Pool</w:t>
      </w:r>
      <w:r>
        <w:rPr>
          <w:rFonts w:ascii="Arial" w:cs="Arial" w:eastAsia="Arial" w:hAnsi="Arial"/>
          <w:sz w:val="17"/>
          <w:szCs w:val="17"/>
          <w:color w:val="auto"/>
        </w:rPr>
        <w:t xml:space="preserve"> </w:t>
      </w:r>
      <w:r>
        <w:rPr>
          <w:rFonts w:ascii="Arial" w:cs="Arial" w:eastAsia="Arial" w:hAnsi="Arial"/>
          <w:sz w:val="17"/>
          <w:szCs w:val="17"/>
          <w:i w:val="1"/>
          <w:iCs w:val="1"/>
          <w:color w:val="auto"/>
        </w:rPr>
        <w:t>Participation</w:t>
      </w:r>
      <w:r>
        <w:rPr>
          <w:rFonts w:ascii="Arial" w:cs="Arial" w:eastAsia="Arial" w:hAnsi="Arial"/>
          <w:sz w:val="17"/>
          <w:szCs w:val="17"/>
          <w:color w:val="auto"/>
        </w:rPr>
        <w:t>”. The primary risk of conducting independent Mining is that the Company could experience a protracted period of failing to solve any blocks,</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a disruption in its revenue stream. In such a circumstance, the Company may need to borrow capital to continue operations.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 June 2022, the Company entered into a master equipment finance agreement (the “</w:t>
      </w:r>
      <w:r>
        <w:rPr>
          <w:rFonts w:ascii="Arial" w:cs="Arial" w:eastAsia="Arial" w:hAnsi="Arial"/>
          <w:sz w:val="18"/>
          <w:szCs w:val="18"/>
          <w:b w:val="1"/>
          <w:bCs w:val="1"/>
          <w:color w:val="auto"/>
        </w:rPr>
        <w:t>NYDIG Loan</w:t>
      </w:r>
      <w:r>
        <w:rPr>
          <w:rFonts w:ascii="Arial" w:cs="Arial" w:eastAsia="Arial" w:hAnsi="Arial"/>
          <w:sz w:val="18"/>
          <w:szCs w:val="18"/>
          <w:color w:val="auto"/>
        </w:rPr>
        <w:t>”) between the Company and NYDIG ABL LLC (“</w:t>
      </w:r>
      <w:r>
        <w:rPr>
          <w:rFonts w:ascii="Arial" w:cs="Arial" w:eastAsia="Arial" w:hAnsi="Arial"/>
          <w:sz w:val="18"/>
          <w:szCs w:val="18"/>
          <w:b w:val="1"/>
          <w:bCs w:val="1"/>
          <w:color w:val="auto"/>
        </w:rPr>
        <w:t>NYDIG</w:t>
      </w:r>
      <w:r>
        <w:rPr>
          <w:rFonts w:ascii="Arial" w:cs="Arial" w:eastAsia="Arial" w:hAnsi="Arial"/>
          <w:sz w:val="18"/>
          <w:szCs w:val="18"/>
          <w:color w:val="auto"/>
        </w:rPr>
        <w:t>”),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either case, there can be no guarantee that the Company could obtain any such financing on commercially attractive terms, or at all, and consequently the Company could experience a material adverse change.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Indemnification of Mining Pool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Reliance on Foreign Mining Pool Operator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w:t>
      </w:r>
      <w:r>
        <w:rPr>
          <w:rFonts w:ascii="Arial" w:cs="Arial" w:eastAsia="Arial" w:hAnsi="Arial"/>
          <w:sz w:val="18"/>
          <w:szCs w:val="18"/>
          <w:i w:val="1"/>
          <w:iCs w:val="1"/>
          <w:color w:val="auto"/>
        </w:rPr>
        <w:t>RISK FACTORS – General Risk Factors – Insolvency, Bankruptcy, or Cessation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of Mining Pool Operator</w:t>
      </w:r>
      <w:r>
        <w:rPr>
          <w:rFonts w:ascii="Arial" w:cs="Arial" w:eastAsia="Arial" w:hAnsi="Arial"/>
          <w:sz w:val="18"/>
          <w:szCs w:val="18"/>
          <w:color w:val="auto"/>
        </w:rPr>
        <w: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Mining Pool Agreements Governed by Foreign Laws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Political and Regulatory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Arial" w:cs="Arial" w:eastAsia="Arial" w:hAnsi="Arial"/>
          <w:sz w:val="17"/>
          <w:szCs w:val="17"/>
          <w:i w:val="1"/>
          <w:iCs w:val="1"/>
          <w:color w:val="auto"/>
        </w:rPr>
        <w:t>DESCRIPTION OF BUSINESS - Business and Strategy - Argentina</w:t>
      </w:r>
      <w:r>
        <w:rPr>
          <w:rFonts w:ascii="Arial" w:cs="Arial" w:eastAsia="Arial" w:hAnsi="Arial"/>
          <w:sz w:val="17"/>
          <w:szCs w:val="17"/>
          <w:color w:val="auto"/>
        </w:rPr>
        <w:t xml:space="preserve"> </w:t>
      </w:r>
      <w:r>
        <w:rPr>
          <w:rFonts w:ascii="Arial" w:cs="Arial" w:eastAsia="Arial" w:hAnsi="Arial"/>
          <w:sz w:val="17"/>
          <w:szCs w:val="17"/>
          <w:i w:val="1"/>
          <w:iCs w:val="1"/>
          <w:color w:val="auto"/>
        </w:rPr>
        <w:t>Expansion</w:t>
      </w:r>
      <w:r>
        <w:rPr>
          <w:rFonts w:ascii="Arial" w:cs="Arial" w:eastAsia="Arial" w:hAnsi="Arial"/>
          <w:sz w:val="17"/>
          <w:szCs w:val="17"/>
          <w:color w:val="auto"/>
        </w:rPr>
        <w:t>”, for a discussion of recent changes in the Argentine regulatory environment that have adversely affected, and are currently adversely affecting,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other restrictions that may apply in the future, if the SEC or another regulatory body considers Bitcoin to be a security under U.S. securities laws, the Company may be required to comply with significant SEC registration and/or other requirements. The Company cannot provide any assurances that digital assets that it earns or otherwise acquires or holds for its own account, including Bitcoin awarded from any mining pool(s) in which the Company participates, will never be classified as securities under U.S. law. If Bitcoin is considered a security under U.S. securities laws in the future, the Company may be obligated to comply with registration and other additional SEC requirements and, therefore, may be required to incur significant, non-recurring expenses, thereby materially and adversely impacting an investment in the Company.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is partially reliant on its participation in a cryptocurrency mining pool, being Foundry Pool. As crypto assets have grown in both popularity and market size, governments around the world have reacted differently to crypto assets with certain governments deeming them illegal, while others have allowed their use and trade (with or without additional regulatory requirements). The regulation of mining pools is an evolving area of law and future regulatory actions or requirements may alter, perhaps to a materially adverse extent, the ability of the Corporation to participate in a mining pool. In the event that regulatory changes or regulatory uncertainty cause the Company’s participation in Foundry Pool to become either financially unattractive or too risky, the Company may have to either switch mining pools or cease participation in mining pools altogether. In the event that the Company is unable to effect a switch of its operations in a timely manner and experience significant down time from mining operations, it may experience a material adverse change. See “</w:t>
      </w:r>
      <w:r>
        <w:rPr>
          <w:rFonts w:ascii="Arial" w:cs="Arial" w:eastAsia="Arial" w:hAnsi="Arial"/>
          <w:sz w:val="18"/>
          <w:szCs w:val="18"/>
          <w:i w:val="1"/>
          <w:iCs w:val="1"/>
          <w:color w:val="auto"/>
        </w:rPr>
        <w:t>RISK FACTORS – General Risk Factors - Insolvency, Bankruptcy, or Cessation of Operations of Mining Pool Operator</w:t>
      </w:r>
      <w:r>
        <w:rPr>
          <w:rFonts w:ascii="Arial" w:cs="Arial" w:eastAsia="Arial" w:hAnsi="Arial"/>
          <w:sz w:val="18"/>
          <w:szCs w:val="18"/>
          <w:color w:val="auto"/>
        </w:rPr>
        <w:t xml:space="preserve">”, “ </w:t>
      </w:r>
      <w:r>
        <w:rPr>
          <w:rFonts w:ascii="Arial" w:cs="Arial" w:eastAsia="Arial" w:hAnsi="Arial"/>
          <w:sz w:val="18"/>
          <w:szCs w:val="18"/>
          <w:i w:val="1"/>
          <w:iCs w:val="1"/>
          <w:color w:val="auto"/>
        </w:rPr>
        <w:t>– Independent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Mining Risks</w:t>
      </w:r>
      <w:r>
        <w:rPr>
          <w:rFonts w:ascii="Arial" w:cs="Arial" w:eastAsia="Arial" w:hAnsi="Arial"/>
          <w:sz w:val="18"/>
          <w:szCs w:val="18"/>
          <w:color w:val="auto"/>
        </w:rPr>
        <w:t>”, “</w:t>
      </w:r>
      <w:r>
        <w:rPr>
          <w:rFonts w:ascii="Arial" w:cs="Arial" w:eastAsia="Arial" w:hAnsi="Arial"/>
          <w:sz w:val="18"/>
          <w:szCs w:val="18"/>
          <w:i w:val="1"/>
          <w:iCs w:val="1"/>
          <w:color w:val="auto"/>
        </w:rPr>
        <w:t xml:space="preserve"> – Indemnification of Mining Pool</w:t>
      </w:r>
      <w:r>
        <w:rPr>
          <w:rFonts w:ascii="Arial" w:cs="Arial" w:eastAsia="Arial" w:hAnsi="Arial"/>
          <w:sz w:val="18"/>
          <w:szCs w:val="18"/>
          <w:color w:val="auto"/>
        </w:rPr>
        <w:t>”, “</w:t>
      </w:r>
      <w:r>
        <w:rPr>
          <w:rFonts w:ascii="Arial" w:cs="Arial" w:eastAsia="Arial" w:hAnsi="Arial"/>
          <w:sz w:val="18"/>
          <w:szCs w:val="18"/>
          <w:i w:val="1"/>
          <w:iCs w:val="1"/>
          <w:color w:val="auto"/>
        </w:rPr>
        <w:t xml:space="preserve"> – Reliance on Foreign Mining Pool Operator</w:t>
      </w:r>
      <w:r>
        <w:rPr>
          <w:rFonts w:ascii="Arial" w:cs="Arial" w:eastAsia="Arial" w:hAnsi="Arial"/>
          <w:sz w:val="18"/>
          <w:szCs w:val="18"/>
          <w:color w:val="auto"/>
        </w:rPr>
        <w:t>”, and “</w:t>
      </w:r>
      <w:r>
        <w:rPr>
          <w:rFonts w:ascii="Arial" w:cs="Arial" w:eastAsia="Arial" w:hAnsi="Arial"/>
          <w:sz w:val="18"/>
          <w:szCs w:val="18"/>
          <w:i w:val="1"/>
          <w:iCs w:val="1"/>
          <w:color w:val="auto"/>
        </w:rPr>
        <w:t xml:space="preserve"> – Mining Pool Agreements Governed by Foreign Laws</w:t>
      </w:r>
      <w:r>
        <w:rPr>
          <w:rFonts w:ascii="Arial" w:cs="Arial" w:eastAsia="Arial" w:hAnsi="Arial"/>
          <w:sz w:val="18"/>
          <w:szCs w:val="18"/>
          <w:color w:val="auto"/>
        </w:rPr>
        <w:t>”.</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earn is impossible to predict, and any such change could be substantial and adverse to the Company.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Reliance on Manufacturing in Foreign Countries and the Importation of Equipment to the Jurisdictions in Which the Company Operates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Permits and Licenses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Server Failures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Consequences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be subject to potential risks and liabilities associated with pollution of the environment through its use of electricity to earn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Erroneous Transactions and Human Error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spacing w:after="0" w:line="18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cryptocurrency systems;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popularity of other forms or methods of buying and selling goods and services, including new means of using fiat currencies;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digital assets;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Facility Developments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nine months ended September 30, 2023 under the heading “</w:t>
      </w:r>
      <w:r>
        <w:rPr>
          <w:rFonts w:ascii="Arial" w:cs="Arial" w:eastAsia="Arial" w:hAnsi="Arial"/>
          <w:sz w:val="17"/>
          <w:szCs w:val="17"/>
          <w:i w:val="1"/>
          <w:iCs w:val="1"/>
          <w:color w:val="auto"/>
        </w:rPr>
        <w:t>Expansion Projects</w:t>
      </w:r>
      <w:r>
        <w:rPr>
          <w:rFonts w:ascii="Arial" w:cs="Arial" w:eastAsia="Arial" w:hAnsi="Arial"/>
          <w:sz w:val="17"/>
          <w:szCs w:val="17"/>
          <w:color w:val="auto"/>
        </w:rPr>
        <w:t>”, for a discussion of the status of the Company’s various development efforts in jurisdictions including, in particular, Argentina and Baie-Comeau.</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Acceptance and/or Widespread Use of Cryptocurrency Is Uncertain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Hazards Associated with High-voltage Electricity Transmission and Industrial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ESG Practices and the Impacts of Climate Change</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Companies across many industries, including cryptocurrency Mining, are facing scrutiny related to their environmental, social, and governance (“</w:t>
      </w:r>
      <w:r>
        <w:rPr>
          <w:rFonts w:ascii="Arial" w:cs="Arial" w:eastAsia="Arial" w:hAnsi="Arial"/>
          <w:sz w:val="17"/>
          <w:szCs w:val="17"/>
          <w:b w:val="1"/>
          <w:bCs w:val="1"/>
          <w:color w:val="auto"/>
        </w:rPr>
        <w:t>ESG</w:t>
      </w:r>
      <w:r>
        <w:rPr>
          <w:rFonts w:ascii="Arial" w:cs="Arial" w:eastAsia="Arial" w:hAnsi="Arial"/>
          <w:sz w:val="17"/>
          <w:szCs w:val="17"/>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Corruption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 Foreign Corrupt Practices Act and Similar Legislation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Political Instability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Supplier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of Bitfarms Being Classified as a Passive Foreign Investment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Pandemic and Infectious Disease Risk (including COVID-19)</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287" w:lineRule="auto"/>
        <w:rPr>
          <w:sz w:val="20"/>
          <w:szCs w:val="20"/>
          <w:color w:val="auto"/>
        </w:rPr>
      </w:pPr>
      <w:r>
        <w:rPr>
          <w:rFonts w:ascii="Arial" w:cs="Arial" w:eastAsia="Arial" w:hAnsi="Arial"/>
          <w:sz w:val="16"/>
          <w:szCs w:val="16"/>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Emerging Markets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Market Risks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w:t>
      </w:r>
    </w:p>
    <w:p>
      <w:pPr>
        <w:spacing w:after="0" w:line="1" w:lineRule="exact"/>
        <w:rPr>
          <w:sz w:val="20"/>
          <w:szCs w:val="20"/>
          <w:color w:val="auto"/>
        </w:rPr>
      </w:pPr>
    </w:p>
    <w:p>
      <w:pPr>
        <w:jc w:val="both"/>
        <w:ind w:firstLine="8"/>
        <w:spacing w:after="0" w:line="268" w:lineRule="auto"/>
        <w:tabs>
          <w:tab w:leader="none" w:pos="333"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Economic Volatility and other Challenges in Argentina and / or Paraguay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Vulnerability of Argentina and Paraguay Economies to External Shocks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Impacts of Corruption and Anti-Corruption Laws in Operating Jurisdictions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Unpredictability of Tax Rates, Capital Controls and Foreign Exchange Restrictions in Argentina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Discretion Over Use of Proceeds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Absence of a Public Market for Certain of the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Unsecured Debt Securities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Arial" w:cs="Arial" w:eastAsia="Arial" w:hAnsi="Arial"/>
          <w:sz w:val="16"/>
          <w:szCs w:val="16"/>
          <w:i w:val="1"/>
          <w:iCs w:val="1"/>
          <w:color w:val="auto"/>
        </w:rPr>
        <w:t>DESCRIPTION OF DEBT SECURITIES</w:t>
      </w:r>
      <w:r>
        <w:rPr>
          <w:rFonts w:ascii="Arial" w:cs="Arial" w:eastAsia="Arial" w:hAnsi="Arial"/>
          <w:sz w:val="16"/>
          <w:szCs w:val="16"/>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Changes in Interest Rates on Debt Securities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Effect of Fluctuations in Foreign Currency Markets on Debt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Price of Common Shares and Volatility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spacing w:after="0" w:line="19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the Company’s financial results or those of companies that are perceived to be similar to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the Company or its competitors, such as acquisitions, bankruptcies or restructurings;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 involving the Company, the cryptocurrency industry, or both;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or regulatory 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prospects of and changes affecting participants in the cryptocurrency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the Company’s shareholders;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the Company or the cryptocurrency industry in general;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pricing or availability of hydro-electricity, natural gas and other sources of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regulatory, market and political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risks, uncertainties and factors described in these risk factors.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Arial" w:cs="Arial" w:eastAsia="Arial" w:hAnsi="Arial"/>
          <w:sz w:val="16"/>
          <w:szCs w:val="16"/>
          <w:i w:val="1"/>
          <w:iCs w:val="1"/>
          <w:color w:val="auto"/>
        </w:rPr>
        <w:t>Short Form 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Form 44-101F1</w:t>
      </w:r>
      <w:r>
        <w:rPr>
          <w:rFonts w:ascii="Arial" w:cs="Arial" w:eastAsia="Arial" w:hAnsi="Arial"/>
          <w:sz w:val="16"/>
          <w:szCs w:val="16"/>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the Company had cash on hand of $46.8 million and 703 Bitcoin with an approximate value of $19.0 million for a total of $65.8 million of cash and cryptocurrency. The Company’s planned capital expenditures over the next 18 months are anticipated to be approximately $100 million to $375 million. The Company expects to use the proceeds raised in offerings under this prospectus to fund the acquisition and buildout of mining and data centre infrastructure and to procure new Miners to achieve its March 31, 2024, hashrate goal of at least 7.0 Exahash/second (“</w:t>
      </w:r>
      <w:r>
        <w:rPr>
          <w:rFonts w:ascii="Arial" w:cs="Arial" w:eastAsia="Arial" w:hAnsi="Arial"/>
          <w:sz w:val="18"/>
          <w:szCs w:val="18"/>
          <w:b w:val="1"/>
          <w:bCs w:val="1"/>
          <w:color w:val="auto"/>
        </w:rPr>
        <w:t>EH/s</w:t>
      </w:r>
      <w:r>
        <w:rPr>
          <w:rFonts w:ascii="Arial" w:cs="Arial" w:eastAsia="Arial" w:hAnsi="Arial"/>
          <w:sz w:val="18"/>
          <w:szCs w:val="18"/>
          <w:color w:val="auto"/>
        </w:rPr>
        <w:t>”) as well as future growth, performance, and efficiency objectives.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anticipates utilizing proceeds from any offering hereunder over the next 18 months to consummate acquisitions of greenfield and existing mining operations, and to fund the building and upgrading of acquired operations as well as the procurement of new Miners to achieve growth above the Company’s existing EH/s goal. Specific use of proceeds could include $15 million for the remaining buildout of, and the procurement of Miners for, the 22 MW Baie Comeau opportunity, up to $11 million for the infrastructure and $35 million for new Miners associated with a second facility in Argentina of up to 55 MW, if the Company elects to do so, and up to an additional $100 million for building the infrastructure and procuring new Miners, if the Company elects to do so, for two additional facilities with total mining capacity of an incremental 100 MW, resulting in capacity of up to 210 MW in total in Argentina. The proceeds may also include up to $195 million for the acquisition of, buildout of infrastructure, and procurement of Miners for multiple sites in Paraguay aggregating as much as 150 MW. The Company may also apply as much as $100 million of proceeds to acquire, upgrade, and expand existing Bitcoin mining facilities in, Canada, the United States, Paraguay and elsewhere in which it is in an exploratory phase, preliminary discussions or advanced negotiations. The Company anticipates outlaying up to $240 million over the next 12 months.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To achieve the Company’s stated hashrate goal of 7.0 EH/s, the Company expects that it will be necessary to complete the installation of the 20 MW of hydro containers and procure Miners for those containers at the Paso Pe facility in Paraguay.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part of its operating and financing strategy, the Company plans to continue to retain some or all of the Bitcoin it earns throughout 2023 and 2024. See “</w:t>
      </w:r>
      <w:r>
        <w:rPr>
          <w:rFonts w:ascii="Arial" w:cs="Arial" w:eastAsia="Arial" w:hAnsi="Arial"/>
          <w:sz w:val="18"/>
          <w:szCs w:val="18"/>
          <w:i w:val="1"/>
          <w:iCs w:val="1"/>
          <w:color w:val="auto"/>
        </w:rPr>
        <w:t>CONSOLIDATED CAPITALIZATION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anticipates that its existing financial resources, excluding any proceeds raised under this prospectus, will be sufficient to maintain its current level of operations and complete the buildout of the Baie-Comeau operations up to 22 MW at an expected total cost of approximately $9 million. In order to achieve this business objective, the Company may liquidate or borrow against the Bitcoin that have been accumulated as well as Bitcoin generated from ongoing operations, which may or may not be possible on commercially attractive terms. The Company used purchase credits with a major Miner manufacturer totaling $19 million during the three months ended September 30, 2023 to purchase new Miners and related equipment, reducing the cash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 – Risks Related to the Offering of Securities – Discretion over use of proceeds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Milestones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primary objective is to increase shareholder value by expanding and improving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61" w:lineRule="exact"/>
        <w:rPr>
          <w:sz w:val="20"/>
          <w:szCs w:val="20"/>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the buildout of up to the full 22 MW capacity in Baie Comeau for $9 million and the procurement and implementation of approximately 6,500 Miners, new and repositioned from other Bitfarms’ facilities, for a total cost of $6 million, including the replacement cost of Miners repositioned from other facilities;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the infrastructure to draw upon an additional 55 MW in Argentina over the next six to twelve months for $11 million, excluding the approximate $6 million already incurred, and procure and install approximately 14,000 new Miners at an estimated cost, including shipping and transportation costs and import duties, of up to $35 million;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 various greenfield and expansion projects in Paraguay for as much as 220 MW over the next twelve to fifteen months for $195 million to $294 million, including $46 million to $68 million for infrastructure buildout, $136 million to $205 million for Miners and $13 million to $21 million for electricity guarantees; and</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pursue and secure expansion opportunities in Canada, the United States, Argentina and Paraguay. The Company estimates that for each additional EH of operating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Objective</w:t>
            </w:r>
          </w:p>
        </w:tc>
        <w:tc>
          <w:tcPr>
            <w:tcW w:w="1820" w:type="dxa"/>
            <w:vAlign w:val="bottom"/>
            <w:gridSpan w:val="2"/>
          </w:tcPr>
          <w:p>
            <w:pPr>
              <w:ind w:left="420"/>
              <w:spacing w:after="0"/>
              <w:rPr>
                <w:sz w:val="20"/>
                <w:szCs w:val="20"/>
                <w:color w:val="auto"/>
              </w:rPr>
            </w:pPr>
            <w:r>
              <w:rPr>
                <w:rFonts w:ascii="Arial" w:cs="Arial" w:eastAsia="Arial" w:hAnsi="Arial"/>
                <w:sz w:val="18"/>
                <w:szCs w:val="18"/>
                <w:b w:val="1"/>
                <w:bCs w:val="1"/>
                <w:color w:val="auto"/>
              </w:rPr>
              <w:t>Description</w:t>
            </w:r>
          </w:p>
        </w:tc>
        <w:tc>
          <w:tcPr>
            <w:tcW w:w="1680" w:type="dxa"/>
            <w:vAlign w:val="bottom"/>
          </w:tcPr>
          <w:p>
            <w:pPr>
              <w:ind w:left="680"/>
              <w:spacing w:after="0"/>
              <w:rPr>
                <w:sz w:val="20"/>
                <w:szCs w:val="20"/>
                <w:color w:val="auto"/>
              </w:rPr>
            </w:pPr>
            <w:r>
              <w:rPr>
                <w:rFonts w:ascii="Arial" w:cs="Arial" w:eastAsia="Arial" w:hAnsi="Arial"/>
                <w:sz w:val="18"/>
                <w:szCs w:val="18"/>
                <w:b w:val="1"/>
                <w:bCs w:val="1"/>
                <w:color w:val="auto"/>
              </w:rPr>
              <w:t>Plan</w:t>
            </w:r>
          </w:p>
        </w:tc>
      </w:tr>
      <w:tr>
        <w:trPr>
          <w:trHeight w:val="202"/>
        </w:trPr>
        <w:tc>
          <w:tcPr>
            <w:tcW w:w="114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3"/>
              </w:rPr>
              <w:t>Operationalize</w:t>
            </w:r>
          </w:p>
        </w:tc>
        <w:tc>
          <w:tcPr>
            <w:tcW w:w="120" w:type="dxa"/>
            <w:vAlign w:val="bottom"/>
          </w:tcPr>
          <w:p>
            <w:pPr>
              <w:spacing w:after="0"/>
              <w:rPr>
                <w:sz w:val="17"/>
                <w:szCs w:val="17"/>
                <w:color w:val="auto"/>
              </w:rPr>
            </w:pPr>
          </w:p>
        </w:tc>
        <w:tc>
          <w:tcPr>
            <w:tcW w:w="170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Acquisition and</w:t>
            </w:r>
          </w:p>
        </w:tc>
        <w:tc>
          <w:tcPr>
            <w:tcW w:w="120" w:type="dxa"/>
            <w:vAlign w:val="bottom"/>
          </w:tcPr>
          <w:p>
            <w:pPr>
              <w:spacing w:after="0"/>
              <w:rPr>
                <w:sz w:val="17"/>
                <w:szCs w:val="17"/>
                <w:color w:val="auto"/>
              </w:rPr>
            </w:pPr>
          </w:p>
        </w:tc>
        <w:tc>
          <w:tcPr>
            <w:tcW w:w="16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2"/>
              </w:rPr>
              <w:t>Operationalize 11 MW</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Baie-</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buildout of Baie-</w:t>
            </w:r>
          </w:p>
        </w:tc>
        <w:tc>
          <w:tcPr>
            <w:tcW w:w="1680" w:type="dxa"/>
            <w:vAlign w:val="bottom"/>
          </w:tcPr>
          <w:p>
            <w:pPr>
              <w:ind w:left="20"/>
              <w:spacing w:after="0"/>
              <w:rPr>
                <w:sz w:val="20"/>
                <w:szCs w:val="20"/>
                <w:color w:val="auto"/>
              </w:rPr>
            </w:pPr>
            <w:r>
              <w:rPr>
                <w:rFonts w:ascii="Arial" w:cs="Arial" w:eastAsia="Arial" w:hAnsi="Arial"/>
                <w:sz w:val="18"/>
                <w:szCs w:val="18"/>
                <w:color w:val="auto"/>
              </w:rPr>
              <w:t>in the second half of</w:t>
            </w:r>
          </w:p>
        </w:tc>
      </w:tr>
      <w:tr>
        <w:trPr>
          <w:trHeight w:val="257"/>
        </w:trPr>
        <w:tc>
          <w:tcPr>
            <w:tcW w:w="1260" w:type="dxa"/>
            <w:vAlign w:val="bottom"/>
            <w:gridSpan w:val="3"/>
          </w:tcPr>
          <w:p>
            <w:pPr>
              <w:ind w:left="40"/>
              <w:spacing w:after="0" w:line="256" w:lineRule="exact"/>
              <w:rPr>
                <w:sz w:val="20"/>
                <w:szCs w:val="20"/>
                <w:color w:val="auto"/>
              </w:rPr>
            </w:pPr>
            <w:r>
              <w:rPr>
                <w:rFonts w:ascii="Arial" w:cs="Arial" w:eastAsia="Arial" w:hAnsi="Arial"/>
                <w:sz w:val="18"/>
                <w:szCs w:val="18"/>
                <w:color w:val="auto"/>
              </w:rPr>
              <w:t>Comeau</w:t>
            </w:r>
            <w:r>
              <w:rPr>
                <w:rFonts w:ascii="Arial" w:cs="Arial" w:eastAsia="Arial" w:hAnsi="Arial"/>
                <w:sz w:val="29"/>
                <w:szCs w:val="29"/>
                <w:color w:val="auto"/>
                <w:vertAlign w:val="superscript"/>
              </w:rPr>
              <w:t>(1)</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Comeau facility</w:t>
            </w:r>
          </w:p>
        </w:tc>
        <w:tc>
          <w:tcPr>
            <w:tcW w:w="1680" w:type="dxa"/>
            <w:vAlign w:val="bottom"/>
          </w:tcPr>
          <w:p>
            <w:pPr>
              <w:ind w:left="20"/>
              <w:spacing w:after="0"/>
              <w:rPr>
                <w:sz w:val="20"/>
                <w:szCs w:val="20"/>
                <w:color w:val="auto"/>
              </w:rPr>
            </w:pPr>
            <w:r>
              <w:rPr>
                <w:rFonts w:ascii="Arial" w:cs="Arial" w:eastAsia="Arial" w:hAnsi="Arial"/>
                <w:sz w:val="18"/>
                <w:szCs w:val="18"/>
                <w:color w:val="auto"/>
                <w:w w:val="98"/>
              </w:rPr>
              <w:t>2024 for 22 MW total</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Develop</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w w:val="96"/>
              </w:rPr>
              <w:t>Procurement of miners</w:t>
            </w:r>
          </w:p>
        </w:tc>
        <w:tc>
          <w:tcPr>
            <w:tcW w:w="1680" w:type="dxa"/>
            <w:vAlign w:val="bottom"/>
          </w:tcPr>
          <w:p>
            <w:pPr>
              <w:ind w:left="20"/>
              <w:spacing w:after="0"/>
              <w:rPr>
                <w:sz w:val="20"/>
                <w:szCs w:val="20"/>
                <w:color w:val="auto"/>
              </w:rPr>
            </w:pPr>
            <w:r>
              <w:rPr>
                <w:rFonts w:ascii="Arial" w:cs="Arial" w:eastAsia="Arial" w:hAnsi="Arial"/>
                <w:sz w:val="18"/>
                <w:szCs w:val="18"/>
                <w:color w:val="auto"/>
              </w:rPr>
              <w:t>Buildout the</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Second 55</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and buildout of facility</w:t>
            </w:r>
          </w:p>
        </w:tc>
        <w:tc>
          <w:tcPr>
            <w:tcW w:w="1680" w:type="dxa"/>
            <w:vAlign w:val="bottom"/>
          </w:tcPr>
          <w:p>
            <w:pPr>
              <w:ind w:left="20"/>
              <w:spacing w:after="0"/>
              <w:rPr>
                <w:sz w:val="20"/>
                <w:szCs w:val="20"/>
                <w:color w:val="auto"/>
              </w:rPr>
            </w:pPr>
            <w:r>
              <w:rPr>
                <w:rFonts w:ascii="Arial" w:cs="Arial" w:eastAsia="Arial" w:hAnsi="Arial"/>
                <w:sz w:val="18"/>
                <w:szCs w:val="18"/>
                <w:color w:val="auto"/>
              </w:rPr>
              <w:t>infrastructure and</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MW 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3"/>
              </w:rPr>
              <w:t>acquire Miners to fully</w:t>
            </w:r>
          </w:p>
        </w:tc>
      </w:tr>
      <w:tr>
        <w:trPr>
          <w:trHeight w:val="394"/>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Argentina</w:t>
            </w:r>
            <w:r>
              <w:rPr>
                <w:rFonts w:ascii="Arial" w:cs="Arial" w:eastAsia="Arial" w:hAnsi="Arial"/>
                <w:sz w:val="29"/>
                <w:szCs w:val="29"/>
                <w:color w:val="auto"/>
                <w:vertAlign w:val="superscript"/>
              </w:rPr>
              <w:t>(2)</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utilize 55 MW facility</w:t>
            </w:r>
          </w:p>
        </w:tc>
      </w:tr>
      <w:tr>
        <w:trPr>
          <w:trHeight w:val="254"/>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Third and</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w w:val="96"/>
              </w:rPr>
              <w:t>Procurement of miners</w:t>
            </w:r>
          </w:p>
        </w:tc>
        <w:tc>
          <w:tcPr>
            <w:tcW w:w="1680" w:type="dxa"/>
            <w:vAlign w:val="bottom"/>
          </w:tcPr>
          <w:p>
            <w:pPr>
              <w:ind w:left="20"/>
              <w:spacing w:after="0"/>
              <w:rPr>
                <w:sz w:val="20"/>
                <w:szCs w:val="20"/>
                <w:color w:val="auto"/>
              </w:rPr>
            </w:pPr>
            <w:r>
              <w:rPr>
                <w:rFonts w:ascii="Arial" w:cs="Arial" w:eastAsia="Arial" w:hAnsi="Arial"/>
                <w:sz w:val="18"/>
                <w:szCs w:val="18"/>
                <w:color w:val="auto"/>
              </w:rPr>
              <w:t>Buildout the</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fourth 50 MW</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and buildout of facility</w:t>
            </w:r>
          </w:p>
        </w:tc>
        <w:tc>
          <w:tcPr>
            <w:tcW w:w="1680" w:type="dxa"/>
            <w:vAlign w:val="bottom"/>
          </w:tcPr>
          <w:p>
            <w:pPr>
              <w:ind w:left="20"/>
              <w:spacing w:after="0"/>
              <w:rPr>
                <w:sz w:val="20"/>
                <w:szCs w:val="20"/>
                <w:color w:val="auto"/>
              </w:rPr>
            </w:pPr>
            <w:r>
              <w:rPr>
                <w:rFonts w:ascii="Arial" w:cs="Arial" w:eastAsia="Arial" w:hAnsi="Arial"/>
                <w:sz w:val="18"/>
                <w:szCs w:val="18"/>
                <w:color w:val="auto"/>
              </w:rPr>
              <w:t>infrastructure and</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facilities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3"/>
              </w:rPr>
              <w:t>acquire Miners to fully</w:t>
            </w:r>
          </w:p>
        </w:tc>
      </w:tr>
      <w:tr>
        <w:trPr>
          <w:trHeight w:val="217"/>
        </w:trPr>
        <w:tc>
          <w:tcPr>
            <w:tcW w:w="1260" w:type="dxa"/>
            <w:vAlign w:val="bottom"/>
            <w:gridSpan w:val="3"/>
          </w:tcPr>
          <w:p>
            <w:pPr>
              <w:ind w:left="40"/>
              <w:spacing w:after="0" w:line="217" w:lineRule="exact"/>
              <w:rPr>
                <w:sz w:val="20"/>
                <w:szCs w:val="20"/>
                <w:color w:val="auto"/>
              </w:rPr>
            </w:pPr>
            <w:r>
              <w:rPr>
                <w:rFonts w:ascii="Arial" w:cs="Arial" w:eastAsia="Arial" w:hAnsi="Arial"/>
                <w:sz w:val="16"/>
                <w:szCs w:val="16"/>
                <w:color w:val="auto"/>
              </w:rPr>
              <w:t>Argentina</w:t>
            </w:r>
            <w:r>
              <w:rPr>
                <w:rFonts w:ascii="Arial" w:cs="Arial" w:eastAsia="Arial" w:hAnsi="Arial"/>
                <w:sz w:val="25"/>
                <w:szCs w:val="25"/>
                <w:color w:val="auto"/>
                <w:vertAlign w:val="superscript"/>
              </w:rPr>
              <w:t>(2)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4"/>
              </w:rPr>
              <w:t>utilize both 50-55 MW</w:t>
            </w:r>
          </w:p>
        </w:tc>
      </w:tr>
      <w:tr>
        <w:trPr>
          <w:trHeight w:val="215"/>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facilities</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Paso Pe</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Buildout of facility</w:t>
            </w:r>
          </w:p>
        </w:tc>
        <w:tc>
          <w:tcPr>
            <w:tcW w:w="1680" w:type="dxa"/>
            <w:vAlign w:val="bottom"/>
          </w:tcPr>
          <w:p>
            <w:pPr>
              <w:ind w:left="20"/>
              <w:spacing w:after="0"/>
              <w:rPr>
                <w:sz w:val="20"/>
                <w:szCs w:val="20"/>
                <w:color w:val="auto"/>
              </w:rPr>
            </w:pPr>
            <w:r>
              <w:rPr>
                <w:rFonts w:ascii="Arial" w:cs="Arial" w:eastAsia="Arial" w:hAnsi="Arial"/>
                <w:sz w:val="18"/>
                <w:szCs w:val="18"/>
                <w:color w:val="auto"/>
              </w:rPr>
              <w:t>Buildout of the</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infrastructure for 50</w:t>
            </w:r>
          </w:p>
        </w:tc>
      </w:tr>
      <w:tr>
        <w:trPr>
          <w:trHeight w:val="217"/>
        </w:trPr>
        <w:tc>
          <w:tcPr>
            <w:tcW w:w="1260" w:type="dxa"/>
            <w:vAlign w:val="bottom"/>
            <w:gridSpan w:val="3"/>
          </w:tcPr>
          <w:p>
            <w:pPr>
              <w:ind w:left="40"/>
              <w:spacing w:after="0" w:line="217" w:lineRule="exact"/>
              <w:rPr>
                <w:sz w:val="20"/>
                <w:szCs w:val="20"/>
                <w:color w:val="auto"/>
              </w:rPr>
            </w:pPr>
            <w:r>
              <w:rPr>
                <w:rFonts w:ascii="Arial" w:cs="Arial" w:eastAsia="Arial" w:hAnsi="Arial"/>
                <w:sz w:val="16"/>
                <w:szCs w:val="16"/>
                <w:color w:val="auto"/>
              </w:rPr>
              <w:t>Paraguay</w:t>
            </w:r>
            <w:r>
              <w:rPr>
                <w:rFonts w:ascii="Arial" w:cs="Arial" w:eastAsia="Arial" w:hAnsi="Arial"/>
                <w:sz w:val="25"/>
                <w:szCs w:val="25"/>
                <w:color w:val="auto"/>
                <w:vertAlign w:val="superscript"/>
              </w:rPr>
              <w:t>(2)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MW to 70 MW</w:t>
            </w:r>
          </w:p>
        </w:tc>
      </w:tr>
      <w:tr>
        <w:trPr>
          <w:trHeight w:val="215"/>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5"/>
              </w:rPr>
              <w:t>facility to utilize hydro</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2"/>
              </w:rPr>
              <w:t>containers and miners</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6"/>
              </w:rPr>
              <w:t>ordered using vendor</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credits</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Yguazu</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w w:val="96"/>
              </w:rPr>
              <w:t>Procurement of miners</w:t>
            </w:r>
          </w:p>
        </w:tc>
        <w:tc>
          <w:tcPr>
            <w:tcW w:w="1680" w:type="dxa"/>
            <w:vAlign w:val="bottom"/>
          </w:tcPr>
          <w:p>
            <w:pPr>
              <w:ind w:left="20"/>
              <w:spacing w:after="0"/>
              <w:rPr>
                <w:sz w:val="20"/>
                <w:szCs w:val="20"/>
                <w:color w:val="auto"/>
              </w:rPr>
            </w:pPr>
            <w:r>
              <w:rPr>
                <w:rFonts w:ascii="Arial" w:cs="Arial" w:eastAsia="Arial" w:hAnsi="Arial"/>
                <w:sz w:val="18"/>
                <w:szCs w:val="18"/>
                <w:color w:val="auto"/>
              </w:rPr>
              <w:t>Buildout the</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facility in</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and buildout of facility</w:t>
            </w:r>
          </w:p>
        </w:tc>
        <w:tc>
          <w:tcPr>
            <w:tcW w:w="1680" w:type="dxa"/>
            <w:vAlign w:val="bottom"/>
          </w:tcPr>
          <w:p>
            <w:pPr>
              <w:ind w:left="20"/>
              <w:spacing w:after="0"/>
              <w:rPr>
                <w:sz w:val="20"/>
                <w:szCs w:val="20"/>
                <w:color w:val="auto"/>
              </w:rPr>
            </w:pPr>
            <w:r>
              <w:rPr>
                <w:rFonts w:ascii="Arial" w:cs="Arial" w:eastAsia="Arial" w:hAnsi="Arial"/>
                <w:sz w:val="18"/>
                <w:szCs w:val="18"/>
                <w:color w:val="auto"/>
              </w:rPr>
              <w:t>infrastructure and</w:t>
            </w:r>
          </w:p>
        </w:tc>
      </w:tr>
      <w:tr>
        <w:trPr>
          <w:trHeight w:val="217"/>
        </w:trPr>
        <w:tc>
          <w:tcPr>
            <w:tcW w:w="1260" w:type="dxa"/>
            <w:vAlign w:val="bottom"/>
            <w:gridSpan w:val="3"/>
          </w:tcPr>
          <w:p>
            <w:pPr>
              <w:ind w:left="40"/>
              <w:spacing w:after="0" w:line="217" w:lineRule="exact"/>
              <w:rPr>
                <w:sz w:val="20"/>
                <w:szCs w:val="20"/>
                <w:color w:val="auto"/>
              </w:rPr>
            </w:pPr>
            <w:r>
              <w:rPr>
                <w:rFonts w:ascii="Arial" w:cs="Arial" w:eastAsia="Arial" w:hAnsi="Arial"/>
                <w:sz w:val="16"/>
                <w:szCs w:val="16"/>
                <w:color w:val="auto"/>
              </w:rPr>
              <w:t>Paraguay</w:t>
            </w:r>
            <w:r>
              <w:rPr>
                <w:rFonts w:ascii="Arial" w:cs="Arial" w:eastAsia="Arial" w:hAnsi="Arial"/>
                <w:sz w:val="25"/>
                <w:szCs w:val="25"/>
                <w:color w:val="auto"/>
                <w:vertAlign w:val="superscript"/>
              </w:rPr>
              <w:t>(2)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3"/>
              </w:rPr>
              <w:t>acquire Miners to fully</w:t>
            </w:r>
          </w:p>
        </w:tc>
      </w:tr>
      <w:tr>
        <w:trPr>
          <w:trHeight w:val="215"/>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utilize 80 MW to 150</w:t>
            </w:r>
          </w:p>
        </w:tc>
      </w:tr>
      <w:tr>
        <w:trPr>
          <w:trHeight w:val="230"/>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MW facility</w:t>
            </w:r>
          </w:p>
        </w:tc>
      </w:tr>
      <w:tr>
        <w:trPr>
          <w:trHeight w:val="850"/>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Expansion in</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Acquisition,</w:t>
            </w:r>
          </w:p>
        </w:tc>
        <w:tc>
          <w:tcPr>
            <w:tcW w:w="1680" w:type="dxa"/>
            <w:vAlign w:val="bottom"/>
          </w:tcPr>
          <w:p>
            <w:pPr>
              <w:ind w:left="20"/>
              <w:spacing w:after="0"/>
              <w:rPr>
                <w:sz w:val="20"/>
                <w:szCs w:val="20"/>
                <w:color w:val="auto"/>
              </w:rPr>
            </w:pPr>
            <w:r>
              <w:rPr>
                <w:rFonts w:ascii="Arial" w:cs="Arial" w:eastAsia="Arial" w:hAnsi="Arial"/>
                <w:sz w:val="18"/>
                <w:szCs w:val="18"/>
                <w:color w:val="auto"/>
                <w:w w:val="92"/>
              </w:rPr>
              <w:t>Evaluate opportunities</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Canada, US,</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w w:val="97"/>
              </w:rPr>
              <w:t>procurement of Miners</w:t>
            </w:r>
          </w:p>
        </w:tc>
        <w:tc>
          <w:tcPr>
            <w:tcW w:w="1680" w:type="dxa"/>
            <w:vAlign w:val="bottom"/>
          </w:tcPr>
          <w:p>
            <w:pPr>
              <w:ind w:left="20"/>
              <w:spacing w:after="0"/>
              <w:rPr>
                <w:sz w:val="20"/>
                <w:szCs w:val="20"/>
                <w:color w:val="auto"/>
              </w:rPr>
            </w:pPr>
            <w:r>
              <w:rPr>
                <w:rFonts w:ascii="Arial" w:cs="Arial" w:eastAsia="Arial" w:hAnsi="Arial"/>
                <w:sz w:val="18"/>
                <w:szCs w:val="18"/>
                <w:color w:val="auto"/>
              </w:rPr>
              <w:t>to expand the</w:t>
            </w:r>
          </w:p>
        </w:tc>
      </w:tr>
      <w:tr>
        <w:trPr>
          <w:trHeight w:val="216"/>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Paraguay and</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and buildout of</w:t>
            </w:r>
          </w:p>
        </w:tc>
        <w:tc>
          <w:tcPr>
            <w:tcW w:w="1680" w:type="dxa"/>
            <w:vAlign w:val="bottom"/>
          </w:tcPr>
          <w:p>
            <w:pPr>
              <w:ind w:left="20"/>
              <w:spacing w:after="0"/>
              <w:rPr>
                <w:sz w:val="20"/>
                <w:szCs w:val="20"/>
                <w:color w:val="auto"/>
              </w:rPr>
            </w:pPr>
            <w:r>
              <w:rPr>
                <w:rFonts w:ascii="Arial" w:cs="Arial" w:eastAsia="Arial" w:hAnsi="Arial"/>
                <w:sz w:val="18"/>
                <w:szCs w:val="18"/>
                <w:color w:val="auto"/>
                <w:w w:val="99"/>
              </w:rPr>
              <w:t>Company’s hashrate</w:t>
            </w:r>
          </w:p>
        </w:tc>
      </w:tr>
      <w:tr>
        <w:trPr>
          <w:trHeight w:val="394"/>
        </w:trPr>
        <w:tc>
          <w:tcPr>
            <w:tcW w:w="1260" w:type="dxa"/>
            <w:vAlign w:val="bottom"/>
            <w:gridSpan w:val="3"/>
          </w:tcPr>
          <w:p>
            <w:pPr>
              <w:ind w:left="40"/>
              <w:spacing w:after="0"/>
              <w:rPr>
                <w:sz w:val="20"/>
                <w:szCs w:val="20"/>
                <w:color w:val="auto"/>
              </w:rPr>
            </w:pPr>
            <w:r>
              <w:rPr>
                <w:rFonts w:ascii="Arial" w:cs="Arial" w:eastAsia="Arial" w:hAnsi="Arial"/>
                <w:sz w:val="18"/>
                <w:szCs w:val="18"/>
                <w:color w:val="auto"/>
              </w:rPr>
              <w:t>elsewhere</w:t>
            </w:r>
            <w:r>
              <w:rPr>
                <w:rFonts w:ascii="Arial" w:cs="Arial" w:eastAsia="Arial" w:hAnsi="Arial"/>
                <w:sz w:val="29"/>
                <w:szCs w:val="29"/>
                <w:color w:val="auto"/>
                <w:vertAlign w:val="superscript"/>
              </w:rPr>
              <w:t>(2)</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facilities</w:t>
            </w:r>
          </w:p>
        </w:tc>
        <w:tc>
          <w:tcPr>
            <w:tcW w:w="1680" w:type="dxa"/>
            <w:vAlign w:val="bottom"/>
          </w:tcPr>
          <w:p>
            <w:pPr>
              <w:spacing w:after="0"/>
              <w:rPr>
                <w:sz w:val="24"/>
                <w:szCs w:val="24"/>
                <w:color w:val="auto"/>
              </w:rPr>
            </w:pPr>
          </w:p>
        </w:tc>
      </w:tr>
      <w:tr>
        <w:trPr>
          <w:trHeight w:val="269"/>
        </w:trPr>
        <w:tc>
          <w:tcPr>
            <w:tcW w:w="1260" w:type="dxa"/>
            <w:vAlign w:val="bottom"/>
            <w:gridSpan w:val="3"/>
          </w:tcPr>
          <w:p>
            <w:pPr>
              <w:spacing w:after="0"/>
              <w:rPr>
                <w:sz w:val="20"/>
                <w:szCs w:val="20"/>
                <w:color w:val="auto"/>
              </w:rPr>
            </w:pPr>
            <w:r>
              <w:rPr>
                <w:rFonts w:ascii="Arial" w:cs="Arial" w:eastAsia="Arial" w:hAnsi="Arial"/>
                <w:sz w:val="18"/>
                <w:szCs w:val="18"/>
                <w:color w:val="auto"/>
              </w:rPr>
              <w:t>Notes:</w:t>
            </w: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Anticipated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Anticipated</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Expen-ditures to</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Future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Timing of</w:t>
            </w:r>
          </w:p>
        </w:tc>
      </w:tr>
      <w:tr>
        <w:trPr>
          <w:trHeight w:val="241"/>
        </w:trPr>
        <w:tc>
          <w:tcPr>
            <w:tcW w:w="2360" w:type="dxa"/>
            <w:vAlign w:val="bottom"/>
            <w:gridSpan w:val="2"/>
          </w:tcPr>
          <w:p>
            <w:pPr>
              <w:ind w:left="560"/>
              <w:spacing w:after="0"/>
              <w:rPr>
                <w:sz w:val="20"/>
                <w:szCs w:val="20"/>
                <w:color w:val="auto"/>
              </w:rPr>
            </w:pPr>
            <w:r>
              <w:rPr>
                <w:rFonts w:ascii="Arial" w:cs="Arial" w:eastAsia="Arial" w:hAnsi="Arial"/>
                <w:sz w:val="18"/>
                <w:szCs w:val="18"/>
                <w:b w:val="1"/>
                <w:bCs w:val="1"/>
                <w:color w:val="auto"/>
              </w:rPr>
              <w:t>Current Status</w:t>
            </w:r>
          </w:p>
        </w:tc>
        <w:tc>
          <w:tcPr>
            <w:tcW w:w="1440" w:type="dxa"/>
            <w:vAlign w:val="bottom"/>
            <w:gridSpan w:val="2"/>
          </w:tcPr>
          <w:p>
            <w:pPr>
              <w:ind w:left="500"/>
              <w:spacing w:after="0"/>
              <w:rPr>
                <w:sz w:val="20"/>
                <w:szCs w:val="20"/>
                <w:color w:val="auto"/>
              </w:rPr>
            </w:pPr>
            <w:r>
              <w:rPr>
                <w:rFonts w:ascii="Arial" w:cs="Arial" w:eastAsia="Arial" w:hAnsi="Arial"/>
                <w:sz w:val="18"/>
                <w:szCs w:val="18"/>
                <w:b w:val="1"/>
                <w:bCs w:val="1"/>
                <w:color w:val="auto"/>
              </w:rPr>
              <w:t>Date</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Expenditures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02"/>
        </w:trPr>
        <w:tc>
          <w:tcPr>
            <w:tcW w:w="22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Not started</w:t>
            </w:r>
          </w:p>
        </w:tc>
        <w:tc>
          <w:tcPr>
            <w:tcW w:w="120" w:type="dxa"/>
            <w:vAlign w:val="bottom"/>
          </w:tcPr>
          <w:p>
            <w:pPr>
              <w:spacing w:after="0"/>
              <w:rPr>
                <w:sz w:val="17"/>
                <w:szCs w:val="17"/>
                <w:color w:val="auto"/>
              </w:rPr>
            </w:pPr>
          </w:p>
        </w:tc>
        <w:tc>
          <w:tcPr>
            <w:tcW w:w="13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Nil</w:t>
            </w:r>
          </w:p>
        </w:tc>
        <w:tc>
          <w:tcPr>
            <w:tcW w:w="120" w:type="dxa"/>
            <w:vAlign w:val="bottom"/>
          </w:tcPr>
          <w:p>
            <w:pPr>
              <w:spacing w:after="0"/>
              <w:rPr>
                <w:sz w:val="17"/>
                <w:szCs w:val="17"/>
                <w:color w:val="auto"/>
              </w:rPr>
            </w:pPr>
          </w:p>
        </w:tc>
        <w:tc>
          <w:tcPr>
            <w:tcW w:w="11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$15 million</w:t>
            </w:r>
          </w:p>
        </w:tc>
        <w:tc>
          <w:tcPr>
            <w:tcW w:w="100" w:type="dxa"/>
            <w:vAlign w:val="bottom"/>
          </w:tcPr>
          <w:p>
            <w:pPr>
              <w:spacing w:after="0"/>
              <w:rPr>
                <w:sz w:val="17"/>
                <w:szCs w:val="17"/>
                <w:color w:val="auto"/>
              </w:rPr>
            </w:pPr>
          </w:p>
        </w:tc>
        <w:tc>
          <w:tcPr>
            <w:tcW w:w="134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Second half of</w:t>
            </w:r>
          </w:p>
        </w:tc>
      </w:tr>
      <w:tr>
        <w:trPr>
          <w:trHeight w:val="230"/>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2024</w:t>
            </w:r>
          </w:p>
        </w:tc>
      </w:tr>
      <w:tr>
        <w:trPr>
          <w:trHeight w:val="458"/>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On pause pending further</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Nil</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$46 million</w:t>
            </w:r>
          </w:p>
        </w:tc>
        <w:tc>
          <w:tcPr>
            <w:tcW w:w="1340" w:type="dxa"/>
            <w:vAlign w:val="bottom"/>
          </w:tcPr>
          <w:p>
            <w:pPr>
              <w:ind w:left="40"/>
              <w:spacing w:after="0"/>
              <w:rPr>
                <w:sz w:val="20"/>
                <w:szCs w:val="20"/>
                <w:color w:val="auto"/>
              </w:rPr>
            </w:pPr>
            <w:r>
              <w:rPr>
                <w:rFonts w:ascii="Arial" w:cs="Arial" w:eastAsia="Arial" w:hAnsi="Arial"/>
                <w:sz w:val="18"/>
                <w:szCs w:val="18"/>
                <w:color w:val="auto"/>
              </w:rPr>
              <w:t>During or after</w:t>
            </w: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assessment in light of recent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(infrastructure</w:t>
            </w:r>
          </w:p>
        </w:tc>
        <w:tc>
          <w:tcPr>
            <w:tcW w:w="1340" w:type="dxa"/>
            <w:vAlign w:val="bottom"/>
          </w:tcPr>
          <w:p>
            <w:pPr>
              <w:ind w:left="40"/>
              <w:spacing w:after="0"/>
              <w:rPr>
                <w:sz w:val="20"/>
                <w:szCs w:val="20"/>
                <w:color w:val="auto"/>
              </w:rPr>
            </w:pPr>
            <w:r>
              <w:rPr>
                <w:rFonts w:ascii="Arial" w:cs="Arial" w:eastAsia="Arial" w:hAnsi="Arial"/>
                <w:sz w:val="18"/>
                <w:szCs w:val="18"/>
                <w:color w:val="auto"/>
              </w:rPr>
              <w:t>2024</w:t>
            </w: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national political and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and mining</w:t>
            </w:r>
          </w:p>
        </w:tc>
        <w:tc>
          <w:tcPr>
            <w:tcW w:w="1340" w:type="dxa"/>
            <w:vAlign w:val="bottom"/>
          </w:tcPr>
          <w:p>
            <w:pPr>
              <w:spacing w:after="0"/>
              <w:rPr>
                <w:sz w:val="18"/>
                <w:szCs w:val="18"/>
                <w:color w:val="auto"/>
              </w:rPr>
            </w:pP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economic developments and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hardware)</w:t>
            </w:r>
          </w:p>
        </w:tc>
        <w:tc>
          <w:tcPr>
            <w:tcW w:w="1340" w:type="dxa"/>
            <w:vAlign w:val="bottom"/>
          </w:tcPr>
          <w:p>
            <w:pPr>
              <w:spacing w:after="0"/>
              <w:rPr>
                <w:sz w:val="18"/>
                <w:szCs w:val="18"/>
                <w:color w:val="auto"/>
              </w:rPr>
            </w:pP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impact of the Bitcoin Halving</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Not started</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Nil</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$100 million</w:t>
            </w:r>
          </w:p>
        </w:tc>
        <w:tc>
          <w:tcPr>
            <w:tcW w:w="1340" w:type="dxa"/>
            <w:vAlign w:val="bottom"/>
          </w:tcPr>
          <w:p>
            <w:pPr>
              <w:ind w:left="40"/>
              <w:spacing w:after="0"/>
              <w:rPr>
                <w:sz w:val="20"/>
                <w:szCs w:val="20"/>
                <w:color w:val="auto"/>
              </w:rPr>
            </w:pPr>
            <w:r>
              <w:rPr>
                <w:rFonts w:ascii="Arial" w:cs="Arial" w:eastAsia="Arial" w:hAnsi="Arial"/>
                <w:sz w:val="18"/>
                <w:szCs w:val="18"/>
                <w:color w:val="auto"/>
              </w:rPr>
              <w:t>During or after</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(infrastructure</w:t>
            </w:r>
          </w:p>
        </w:tc>
        <w:tc>
          <w:tcPr>
            <w:tcW w:w="1340" w:type="dxa"/>
            <w:vAlign w:val="bottom"/>
          </w:tcPr>
          <w:p>
            <w:pPr>
              <w:ind w:left="40"/>
              <w:spacing w:after="0"/>
              <w:rPr>
                <w:sz w:val="20"/>
                <w:szCs w:val="20"/>
                <w:color w:val="auto"/>
              </w:rPr>
            </w:pPr>
            <w:r>
              <w:rPr>
                <w:rFonts w:ascii="Arial" w:cs="Arial" w:eastAsia="Arial" w:hAnsi="Arial"/>
                <w:sz w:val="18"/>
                <w:szCs w:val="18"/>
                <w:color w:val="auto"/>
              </w:rPr>
              <w:t>2024</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and mining</w:t>
            </w:r>
          </w:p>
        </w:tc>
        <w:tc>
          <w:tcPr>
            <w:tcW w:w="13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hardware)</w:t>
            </w:r>
          </w:p>
        </w:tc>
        <w:tc>
          <w:tcPr>
            <w:tcW w:w="1340" w:type="dxa"/>
            <w:vAlign w:val="bottom"/>
          </w:tcPr>
          <w:p>
            <w:pPr>
              <w:spacing w:after="0"/>
              <w:rPr>
                <w:sz w:val="20"/>
                <w:szCs w:val="20"/>
                <w:color w:val="auto"/>
              </w:rPr>
            </w:pPr>
          </w:p>
        </w:tc>
      </w:tr>
      <w:tr>
        <w:trPr>
          <w:trHeight w:val="418"/>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In progress</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$6 million</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$81 million</w:t>
            </w:r>
          </w:p>
        </w:tc>
        <w:tc>
          <w:tcPr>
            <w:tcW w:w="1340" w:type="dxa"/>
            <w:vAlign w:val="bottom"/>
          </w:tcPr>
          <w:p>
            <w:pPr>
              <w:ind w:left="40"/>
              <w:spacing w:after="0"/>
              <w:rPr>
                <w:sz w:val="20"/>
                <w:szCs w:val="20"/>
                <w:color w:val="auto"/>
              </w:rPr>
            </w:pPr>
            <w:r>
              <w:rPr>
                <w:rFonts w:ascii="Arial" w:cs="Arial" w:eastAsia="Arial" w:hAnsi="Arial"/>
                <w:sz w:val="18"/>
                <w:szCs w:val="18"/>
                <w:color w:val="auto"/>
              </w:rPr>
              <w:t>During first</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(infrastructure,</w:t>
            </w:r>
          </w:p>
        </w:tc>
        <w:tc>
          <w:tcPr>
            <w:tcW w:w="1340" w:type="dxa"/>
            <w:vAlign w:val="bottom"/>
          </w:tcPr>
          <w:p>
            <w:pPr>
              <w:ind w:left="40"/>
              <w:spacing w:after="0"/>
              <w:rPr>
                <w:sz w:val="20"/>
                <w:szCs w:val="20"/>
                <w:color w:val="auto"/>
              </w:rPr>
            </w:pPr>
            <w:r>
              <w:rPr>
                <w:rFonts w:ascii="Arial" w:cs="Arial" w:eastAsia="Arial" w:hAnsi="Arial"/>
                <w:sz w:val="18"/>
                <w:szCs w:val="18"/>
                <w:color w:val="auto"/>
              </w:rPr>
              <w:t>quarter of 2024</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miners and</w:t>
            </w:r>
          </w:p>
        </w:tc>
        <w:tc>
          <w:tcPr>
            <w:tcW w:w="13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electricity</w:t>
            </w:r>
          </w:p>
        </w:tc>
        <w:tc>
          <w:tcPr>
            <w:tcW w:w="13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deposit)</w:t>
            </w:r>
          </w:p>
        </w:tc>
        <w:tc>
          <w:tcPr>
            <w:tcW w:w="1340" w:type="dxa"/>
            <w:vAlign w:val="bottom"/>
          </w:tcPr>
          <w:p>
            <w:pPr>
              <w:spacing w:after="0"/>
              <w:rPr>
                <w:sz w:val="20"/>
                <w:szCs w:val="20"/>
                <w:color w:val="auto"/>
              </w:rPr>
            </w:pPr>
          </w:p>
        </w:tc>
      </w:tr>
      <w:tr>
        <w:trPr>
          <w:trHeight w:val="63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Not started</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$0.5 million</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$114 million</w:t>
            </w:r>
          </w:p>
        </w:tc>
        <w:tc>
          <w:tcPr>
            <w:tcW w:w="1340" w:type="dxa"/>
            <w:vAlign w:val="bottom"/>
          </w:tcPr>
          <w:p>
            <w:pPr>
              <w:ind w:left="40"/>
              <w:spacing w:after="0"/>
              <w:rPr>
                <w:sz w:val="20"/>
                <w:szCs w:val="20"/>
                <w:color w:val="auto"/>
              </w:rPr>
            </w:pPr>
            <w:r>
              <w:rPr>
                <w:rFonts w:ascii="Arial" w:cs="Arial" w:eastAsia="Arial" w:hAnsi="Arial"/>
                <w:sz w:val="18"/>
                <w:szCs w:val="18"/>
                <w:color w:val="auto"/>
              </w:rPr>
              <w:t>During or after</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to $213</w:t>
            </w:r>
          </w:p>
        </w:tc>
        <w:tc>
          <w:tcPr>
            <w:tcW w:w="1340" w:type="dxa"/>
            <w:vAlign w:val="bottom"/>
          </w:tcPr>
          <w:p>
            <w:pPr>
              <w:ind w:left="40"/>
              <w:spacing w:after="0"/>
              <w:rPr>
                <w:sz w:val="20"/>
                <w:szCs w:val="20"/>
                <w:color w:val="auto"/>
              </w:rPr>
            </w:pPr>
            <w:r>
              <w:rPr>
                <w:rFonts w:ascii="Arial" w:cs="Arial" w:eastAsia="Arial" w:hAnsi="Arial"/>
                <w:sz w:val="18"/>
                <w:szCs w:val="18"/>
                <w:color w:val="auto"/>
              </w:rPr>
              <w:t>2024</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3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(infrastructure,</w:t>
            </w:r>
          </w:p>
        </w:tc>
        <w:tc>
          <w:tcPr>
            <w:tcW w:w="13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mining</w:t>
            </w:r>
          </w:p>
        </w:tc>
        <w:tc>
          <w:tcPr>
            <w:tcW w:w="13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hardware, and</w:t>
            </w:r>
          </w:p>
        </w:tc>
        <w:tc>
          <w:tcPr>
            <w:tcW w:w="13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electricity</w:t>
            </w:r>
          </w:p>
        </w:tc>
        <w:tc>
          <w:tcPr>
            <w:tcW w:w="13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deposit)</w:t>
            </w:r>
          </w:p>
        </w:tc>
        <w:tc>
          <w:tcPr>
            <w:tcW w:w="1340" w:type="dxa"/>
            <w:vAlign w:val="bottom"/>
          </w:tcPr>
          <w:p>
            <w:pPr>
              <w:spacing w:after="0"/>
              <w:rPr>
                <w:sz w:val="18"/>
                <w:szCs w:val="18"/>
                <w:color w:val="auto"/>
              </w:rPr>
            </w:pP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Exploratory and assessment</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Nil</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$100 million</w:t>
            </w:r>
          </w:p>
        </w:tc>
        <w:tc>
          <w:tcPr>
            <w:tcW w:w="1340" w:type="dxa"/>
            <w:vAlign w:val="bottom"/>
          </w:tcPr>
          <w:p>
            <w:pPr>
              <w:ind w:left="40"/>
              <w:spacing w:after="0"/>
              <w:rPr>
                <w:sz w:val="20"/>
                <w:szCs w:val="20"/>
                <w:color w:val="auto"/>
              </w:rPr>
            </w:pPr>
            <w:r>
              <w:rPr>
                <w:rFonts w:ascii="Arial" w:cs="Arial" w:eastAsia="Arial" w:hAnsi="Arial"/>
                <w:sz w:val="18"/>
                <w:szCs w:val="18"/>
                <w:color w:val="auto"/>
              </w:rPr>
              <w:t>During or after</w:t>
            </w: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phase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(infrastructure</w:t>
            </w:r>
          </w:p>
        </w:tc>
        <w:tc>
          <w:tcPr>
            <w:tcW w:w="1340" w:type="dxa"/>
            <w:vAlign w:val="bottom"/>
          </w:tcPr>
          <w:p>
            <w:pPr>
              <w:ind w:left="40"/>
              <w:spacing w:after="0"/>
              <w:rPr>
                <w:sz w:val="20"/>
                <w:szCs w:val="20"/>
                <w:color w:val="auto"/>
              </w:rPr>
            </w:pPr>
            <w:r>
              <w:rPr>
                <w:rFonts w:ascii="Arial" w:cs="Arial" w:eastAsia="Arial" w:hAnsi="Arial"/>
                <w:sz w:val="18"/>
                <w:szCs w:val="18"/>
                <w:color w:val="auto"/>
              </w:rPr>
              <w:t>2024</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and mining</w:t>
            </w:r>
          </w:p>
        </w:tc>
        <w:tc>
          <w:tcPr>
            <w:tcW w:w="13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hardware)</w:t>
            </w: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-4422775</wp:posOffset>
            </wp:positionV>
            <wp:extent cx="7132320"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-3291205</wp:posOffset>
            </wp:positionV>
            <wp:extent cx="7132320" cy="685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-1645285</wp:posOffset>
            </wp:positionV>
            <wp:extent cx="7132320" cy="1097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4760" w:space="120"/>
            <w:col w:w="6360"/>
          </w:cols>
          <w:pgMar w:left="320" w:top="908" w:right="339" w:bottom="1440" w:gutter="0" w:footer="0" w:header="0"/>
          <w:type w:val="continuous"/>
        </w:sectPr>
      </w:pPr>
    </w:p>
    <w:p>
      <w:pPr>
        <w:spacing w:after="0" w:line="29" w:lineRule="exact"/>
        <w:rPr>
          <w:sz w:val="20"/>
          <w:szCs w:val="20"/>
          <w:color w:val="auto"/>
        </w:rPr>
      </w:pPr>
    </w:p>
    <w:p>
      <w:pPr>
        <w:ind w:left="460" w:hanging="452"/>
        <w:spacing w:after="0" w:line="25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anticipates being able to accomplish this milestone without additional financing. A significant decrease in Bitcoin price may impact the Company’s ability to accomplish this milestone whether the Company obtains additional financing or not.</w:t>
      </w:r>
    </w:p>
    <w:p>
      <w:pPr>
        <w:spacing w:after="0" w:line="1" w:lineRule="exact"/>
        <w:rPr>
          <w:rFonts w:ascii="Arial" w:cs="Arial" w:eastAsia="Arial" w:hAnsi="Arial"/>
          <w:sz w:val="18"/>
          <w:szCs w:val="18"/>
          <w:color w:val="auto"/>
        </w:rPr>
      </w:pPr>
    </w:p>
    <w:p>
      <w:pPr>
        <w:ind w:left="460" w:hanging="452"/>
        <w:spacing w:after="0" w:line="26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anticipates requiring additional financing to complete this milestone in addition to the funds raised under this Prospectus to complete the milestone. The Company will only complete this milestone if and when additional financing has been obtained.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2021 Business Objectives and Milestones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6"/>
              </w:rPr>
              <w:t>Proceeds used as of September</w:t>
            </w:r>
          </w:p>
        </w:tc>
      </w:tr>
      <w:tr>
        <w:trPr>
          <w:trHeight w:val="241"/>
        </w:trPr>
        <w:tc>
          <w:tcPr>
            <w:tcW w:w="4400" w:type="dxa"/>
            <w:vAlign w:val="bottom"/>
            <w:gridSpan w:val="2"/>
          </w:tcPr>
          <w:p>
            <w:pPr>
              <w:ind w:left="1420"/>
              <w:spacing w:after="0"/>
              <w:rPr>
                <w:sz w:val="20"/>
                <w:szCs w:val="20"/>
                <w:color w:val="auto"/>
              </w:rPr>
            </w:pPr>
            <w:r>
              <w:rPr>
                <w:rFonts w:ascii="Arial" w:cs="Arial" w:eastAsia="Arial" w:hAnsi="Arial"/>
                <w:sz w:val="18"/>
                <w:szCs w:val="18"/>
                <w:b w:val="1"/>
                <w:bCs w:val="1"/>
                <w:color w:val="auto"/>
              </w:rPr>
              <w:t>Business Objective</w:t>
            </w:r>
          </w:p>
        </w:tc>
        <w:tc>
          <w:tcPr>
            <w:tcW w:w="90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Arial" w:cs="Arial" w:eastAsia="Arial" w:hAnsi="Arial"/>
                <w:sz w:val="18"/>
                <w:szCs w:val="18"/>
                <w:b w:val="1"/>
                <w:bCs w:val="1"/>
                <w:color w:val="auto"/>
              </w:rPr>
              <w:t>Current status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6"/>
              </w:rPr>
              <w:t>costs</w:t>
            </w:r>
          </w:p>
        </w:tc>
        <w:tc>
          <w:tcPr>
            <w:tcW w:w="25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30, 2023</w:t>
            </w:r>
          </w:p>
        </w:tc>
      </w:tr>
      <w:tr>
        <w:trPr>
          <w:trHeight w:val="202"/>
        </w:trPr>
        <w:tc>
          <w:tcPr>
            <w:tcW w:w="4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7"/>
              </w:rPr>
              <w:t>Buildout of additional 78 MW of electrical infrastructure</w:t>
            </w: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Completed in Q4 2022</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 Cowansville expansion (17</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Quebec by the first quarter of 2022</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MW): $0.6 million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 Sherbrooke expansion (78</w:t>
            </w:r>
          </w:p>
        </w:tc>
      </w:tr>
      <w:tr>
        <w:trPr>
          <w:trHeight w:val="230"/>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MW): $22.2 million</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4"/>
              </w:rPr>
              <w:t>Acquire mining equipment to achieve 3 EH/s of computing</w:t>
            </w: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Completed in Q2 2022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$45 million</w:t>
            </w:r>
          </w:p>
        </w:tc>
        <w:tc>
          <w:tcPr>
            <w:tcW w:w="25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 MicroBT Miners: $126.3</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power by the first quarter of 2022</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million</w:t>
            </w: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w w:val="97"/>
              </w:rPr>
              <w:t>B. Bitmain Miners: $29.3 million</w:t>
            </w: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Commence the engineering procurement and construction</w:t>
            </w:r>
          </w:p>
        </w:tc>
        <w:tc>
          <w:tcPr>
            <w:tcW w:w="3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First 55 MW facility constructed in Q3</w:t>
            </w: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$55 million</w:t>
            </w:r>
          </w:p>
        </w:tc>
        <w:tc>
          <w:tcPr>
            <w:tcW w:w="25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Argentina expansion, net of gain</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activity  in  the  second  half  of  2021  with  expected</w:t>
            </w:r>
          </w:p>
        </w:tc>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2022 and completed in Q4 2023.</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on disposition of marketable</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completion in 2022 of a major mining facility to exploit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securities (first 50 MW facility)</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210  MW  non-binding  memorandum  of  understanding</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$51.0 million</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entered into with a South American energy producer,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which is at $0.022/KwH.</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8"/>
              </w:rPr>
              <w:t>Achieve the Company’s target of 8.0 EH/s by the end of</w:t>
            </w:r>
          </w:p>
        </w:tc>
        <w:tc>
          <w:tcPr>
            <w:tcW w:w="3140" w:type="dxa"/>
            <w:vAlign w:val="bottom"/>
            <w:gridSpan w:val="4"/>
          </w:tcPr>
          <w:p>
            <w:pPr>
              <w:spacing w:after="0" w:line="201" w:lineRule="exact"/>
              <w:rPr>
                <w:sz w:val="20"/>
                <w:szCs w:val="20"/>
                <w:color w:val="auto"/>
              </w:rPr>
            </w:pPr>
            <w:r>
              <w:rPr>
                <w:rFonts w:ascii="Arial" w:cs="Arial" w:eastAsia="Arial" w:hAnsi="Arial"/>
                <w:sz w:val="18"/>
                <w:szCs w:val="18"/>
                <w:color w:val="auto"/>
                <w:w w:val="94"/>
              </w:rPr>
              <w:t>The Company revised this target to reach</w:t>
            </w: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Mining</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rPr>
              <w:t>7.0 EH/s by March 31, 2024. Without</w:t>
            </w:r>
          </w:p>
        </w:tc>
        <w:tc>
          <w:tcPr>
            <w:tcW w:w="1120" w:type="dxa"/>
            <w:vAlign w:val="bottom"/>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5"/>
              </w:rPr>
              <w:t>considering</w:t>
            </w:r>
          </w:p>
        </w:tc>
        <w:tc>
          <w:tcPr>
            <w:tcW w:w="1420" w:type="dxa"/>
            <w:vAlign w:val="bottom"/>
          </w:tcPr>
          <w:p>
            <w:pPr>
              <w:ind w:left="140"/>
              <w:spacing w:after="0"/>
              <w:rPr>
                <w:sz w:val="20"/>
                <w:szCs w:val="20"/>
                <w:color w:val="auto"/>
              </w:rPr>
            </w:pPr>
            <w:r>
              <w:rPr>
                <w:rFonts w:ascii="Arial" w:cs="Arial" w:eastAsia="Arial" w:hAnsi="Arial"/>
                <w:sz w:val="18"/>
                <w:szCs w:val="18"/>
                <w:color w:val="auto"/>
                <w:w w:val="95"/>
              </w:rPr>
              <w:t>any  outstanding</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deposit</w:t>
            </w:r>
          </w:p>
        </w:tc>
        <w:tc>
          <w:tcPr>
            <w:tcW w:w="1120" w:type="dxa"/>
            <w:vAlign w:val="bottom"/>
          </w:tcPr>
          <w:p>
            <w:pPr>
              <w:spacing w:after="0"/>
              <w:rPr>
                <w:sz w:val="20"/>
                <w:szCs w:val="20"/>
                <w:color w:val="auto"/>
              </w:rPr>
            </w:pPr>
            <w:r>
              <w:rPr>
                <w:rFonts w:ascii="Arial" w:cs="Arial" w:eastAsia="Arial" w:hAnsi="Arial"/>
                <w:sz w:val="18"/>
                <w:szCs w:val="18"/>
                <w:color w:val="auto"/>
                <w:w w:val="94"/>
              </w:rPr>
              <w:t>$215 million to</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7"/>
              </w:rPr>
              <w:t>balances, the Company estimates that it</w:t>
            </w:r>
          </w:p>
        </w:tc>
        <w:tc>
          <w:tcPr>
            <w:tcW w:w="1120" w:type="dxa"/>
            <w:vAlign w:val="bottom"/>
          </w:tcPr>
          <w:p>
            <w:pPr>
              <w:spacing w:after="0"/>
              <w:rPr>
                <w:sz w:val="20"/>
                <w:szCs w:val="20"/>
                <w:color w:val="auto"/>
              </w:rPr>
            </w:pPr>
            <w:r>
              <w:rPr>
                <w:rFonts w:ascii="Arial" w:cs="Arial" w:eastAsia="Arial" w:hAnsi="Arial"/>
                <w:sz w:val="18"/>
                <w:szCs w:val="18"/>
                <w:color w:val="auto"/>
              </w:rPr>
              <w:t>$235 million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6"/>
              </w:rPr>
              <w:t>would cost approximately $21 million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9"/>
              </w:rPr>
              <w:t>additional EH based on a current Miner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cost of $15 per TH.</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Engage with the Quebec government as well as other</w:t>
            </w: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Completed.</w:t>
            </w:r>
          </w:p>
        </w:tc>
        <w:tc>
          <w:tcPr>
            <w:tcW w:w="14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However,  the</w:t>
            </w:r>
          </w:p>
        </w:tc>
        <w:tc>
          <w:tcPr>
            <w:tcW w:w="8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88"/>
              </w:rPr>
              <w:t>Company</w:t>
            </w: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w:t>
            </w:r>
          </w:p>
        </w:tc>
        <w:tc>
          <w:tcPr>
            <w:tcW w:w="25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 Washington expansion (20</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governmental and private sector energy suppliers to secure</w:t>
            </w:r>
          </w:p>
        </w:tc>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continues to look for opportunities to</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MW): $27.2 million</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sites capable of housing a 50 MW or larger</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expand its mining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B. Paraguay expansion (10 MW):</w:t>
            </w: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facility</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$3.2 million</w:t>
            </w: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in respect of the Company’s Common Shares that we issued within the previous twelve-month period, including Common Shares that we issued upon the exercise of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will be provided as required in a prospectus supplement with respect to the issuance of securities pursuant to such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PRICE AND VOLUME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Common Shares are listed and posted for trading on the Nasdaq and on the TSX under the symbol “</w:t>
      </w:r>
      <w:r>
        <w:rPr>
          <w:rFonts w:ascii="Arial" w:cs="Arial" w:eastAsia="Arial" w:hAnsi="Arial"/>
          <w:sz w:val="18"/>
          <w:szCs w:val="18"/>
          <w:b w:val="1"/>
          <w:bCs w:val="1"/>
          <w:color w:val="auto"/>
        </w:rPr>
        <w:t>BITF</w:t>
      </w:r>
      <w:r>
        <w:rPr>
          <w:rFonts w:ascii="Arial" w:cs="Arial" w:eastAsia="Arial" w:hAnsi="Arial"/>
          <w:sz w:val="18"/>
          <w:szCs w:val="18"/>
          <w:color w:val="auto"/>
        </w:rPr>
        <w:t>”. Trading price and volume information for the Company’s securities will be provided as required in each prospectus supplement to this prospectus.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COVERAGE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authorized capital of the Company consists of an unlimited number of Common Shares without par value and an unlimited number of preferred shares without par value. As of the date hereof, there are 277,684,000 Common Shares and no preferred shares issued and outstanding.</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prospectus, there were: (i) 19,000,000 Common Shares issuable upon the exercise of outstanding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at a weighted average exercise price of C$1.85 and (ii) 19,153,000 Common Shares reserved for issuance on exercise of 19,153,000 issued and outstanding Common Share purchase warrants of the Company with a weighted average exercise price of US$4.21 and (iii) 258,000 RSUs, for a total of 316,095,000 Common Shares on a fully-diluted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spacing w:after="0" w:line="1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The debt securities will be issued under one or more indentures (each, a “</w:t>
      </w:r>
      <w:r>
        <w:rPr>
          <w:rFonts w:ascii="Arial" w:cs="Arial" w:eastAsia="Arial" w:hAnsi="Arial"/>
          <w:sz w:val="16"/>
          <w:szCs w:val="16"/>
          <w:b w:val="1"/>
          <w:bCs w:val="1"/>
          <w:color w:val="auto"/>
        </w:rPr>
        <w:t>Trust Indenture</w:t>
      </w:r>
      <w:r>
        <w:rPr>
          <w:rFonts w:ascii="Arial" w:cs="Arial" w:eastAsia="Arial" w:hAnsi="Arial"/>
          <w:sz w:val="16"/>
          <w:szCs w:val="16"/>
          <w:color w:val="auto"/>
        </w:rPr>
        <w:t>”), in each case between the Company and a financial institution or trust company organized under the laws of Canada or any province thereof and authorized to carry on business as a trustee (each, a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7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principal amount at which the debt securities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payment on the debt securities will be senior or subordinated to other liabilities or obligations of the Company;</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324" w:hanging="324"/>
        <w:spacing w:after="0" w:line="277"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the Company will pay principal, premium, if any, and interest, if any, and the place or places where debt securities can be presented for registration of transfer or exchange;</w:t>
      </w:r>
    </w:p>
    <w:p>
      <w:pPr>
        <w:spacing w:after="0" w:line="170"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83"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Company may redeem the debt securities at its option and the terms and conditions of any such redemption;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Company will issue any registered and unregistered debt securities;</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with reference to any index or formula;</w:t>
      </w:r>
    </w:p>
    <w:p>
      <w:pPr>
        <w:spacing w:after="0" w:line="225" w:lineRule="exact"/>
        <w:rPr>
          <w:rFonts w:ascii="Arial" w:cs="Arial" w:eastAsia="Arial" w:hAnsi="Arial"/>
          <w:sz w:val="18"/>
          <w:szCs w:val="18"/>
          <w:color w:val="auto"/>
        </w:rPr>
      </w:pPr>
    </w:p>
    <w:p>
      <w:pPr>
        <w:jc w:val="both"/>
        <w:ind w:left="324" w:hanging="324"/>
        <w:spacing w:after="0" w:line="286" w:lineRule="auto"/>
        <w:tabs>
          <w:tab w:leader="none" w:pos="3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65"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as global securities (defined below) and, if so, the identity of the depositary (defined below) for the global securities;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as unregistered securities (with or without coupons), registered securities or both;</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events of default or covenants applicable to the debt securities;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terms under which debt securities may be defeased, whether at or prior to maturity;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holders of any series of debt securities have special rights if specified events occur;</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mandatory or optional redemption or sinking fund or analogous provisions;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if any, for any conversion or exchange of the debt securities for any other securities of the Company;</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any transfer restrictions;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rights, if any, on a change of control;</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debt securities;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70" w:lineRule="exact"/>
        <w:rPr>
          <w:rFonts w:ascii="Arial" w:cs="Arial" w:eastAsia="Arial" w:hAnsi="Arial"/>
          <w:sz w:val="18"/>
          <w:szCs w:val="18"/>
          <w:color w:val="auto"/>
        </w:rPr>
      </w:pPr>
    </w:p>
    <w:p>
      <w:pPr>
        <w:jc w:val="both"/>
        <w:ind w:left="324" w:hanging="324"/>
        <w:spacing w:after="0" w:line="311" w:lineRule="auto"/>
        <w:tabs>
          <w:tab w:leader="none" w:pos="3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36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3" w:name="page54"/>
    <w:bookmarkEnd w:id="53"/>
    <w:p>
      <w:pPr>
        <w:jc w:val="both"/>
        <w:spacing w:after="0" w:line="279" w:lineRule="auto"/>
        <w:rPr>
          <w:sz w:val="20"/>
          <w:szCs w:val="20"/>
          <w:color w:val="auto"/>
        </w:rPr>
      </w:pPr>
      <w:r>
        <w:rPr>
          <w:rFonts w:ascii="Arial" w:cs="Arial" w:eastAsia="Arial" w:hAnsi="Arial"/>
          <w:sz w:val="17"/>
          <w:szCs w:val="17"/>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otherwise at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Other Indebtedness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Securities in Book Entry Form</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otherwise indicated in an applicable prospectus supplement, debt securities of any series may be issued in whole or in part in the form of one or more global securities (“</w:t>
      </w:r>
      <w:r>
        <w:rPr>
          <w:rFonts w:ascii="Arial" w:cs="Arial" w:eastAsia="Arial" w:hAnsi="Arial"/>
          <w:sz w:val="16"/>
          <w:szCs w:val="16"/>
          <w:b w:val="1"/>
          <w:bCs w:val="1"/>
          <w:color w:val="auto"/>
        </w:rPr>
        <w:t>Global Securities</w:t>
      </w:r>
      <w:r>
        <w:rPr>
          <w:rFonts w:ascii="Arial" w:cs="Arial" w:eastAsia="Arial" w:hAnsi="Arial"/>
          <w:sz w:val="16"/>
          <w:szCs w:val="16"/>
          <w:color w:val="auto"/>
        </w:rPr>
        <w:t>”) registered in the name of a designated clearing agency (a “</w:t>
      </w:r>
      <w:r>
        <w:rPr>
          <w:rFonts w:ascii="Arial" w:cs="Arial" w:eastAsia="Arial" w:hAnsi="Arial"/>
          <w:sz w:val="16"/>
          <w:szCs w:val="16"/>
          <w:b w:val="1"/>
          <w:bCs w:val="1"/>
          <w:color w:val="auto"/>
        </w:rPr>
        <w:t>Depositary</w:t>
      </w:r>
      <w:r>
        <w:rPr>
          <w:rFonts w:ascii="Arial" w:cs="Arial" w:eastAsia="Arial" w:hAnsi="Arial"/>
          <w:sz w:val="16"/>
          <w:szCs w:val="16"/>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90" w:lineRule="auto"/>
        <w:rPr>
          <w:sz w:val="20"/>
          <w:szCs w:val="20"/>
          <w:color w:val="auto"/>
        </w:rPr>
      </w:pPr>
      <w:r>
        <w:rPr>
          <w:rFonts w:ascii="Arial" w:cs="Arial" w:eastAsia="Arial" w:hAnsi="Arial"/>
          <w:sz w:val="16"/>
          <w:szCs w:val="16"/>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Arial" w:cs="Arial" w:eastAsia="Arial" w:hAnsi="Arial"/>
          <w:sz w:val="16"/>
          <w:szCs w:val="16"/>
          <w:b w:val="1"/>
          <w:bCs w:val="1"/>
          <w:color w:val="auto"/>
        </w:rPr>
        <w:t>Participants</w:t>
      </w:r>
      <w:r>
        <w:rPr>
          <w:rFonts w:ascii="Arial" w:cs="Arial" w:eastAsia="Arial" w:hAnsi="Arial"/>
          <w:sz w:val="16"/>
          <w:szCs w:val="16"/>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7"/>
          <w:szCs w:val="17"/>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Securities in Certificated Form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describes the general terms that will apply to any warrants for the purchase of Common Shares, or equity warrants, or for the purchase of debt securities, or debt warrants.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applicable prospectus supplement relating to any warrants that we offer will describe the particular terms of those warrants and include specific terms relating to the offering.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or otherwise at law.</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particular terms of each issue of equity warrants will be described in the applicable prospectus supplement. This description will include, where applicable:</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aggregate number of equity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the equity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or currencies in which the equity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will issue fractional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have applied to list the equity warrants or the underlying shares on a stock exchange;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equity warrants will be offered, if any, and the number of the equity warrants that will be offered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if any, on or after which the equity warrants and the related securities will be transferable separately;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equity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equity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equity warrants;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particular terms of each issue of debt warrants will be described in the related prospectus supplement. This description will include, where applicable:</w:t>
      </w:r>
    </w:p>
    <w:p>
      <w:pPr>
        <w:spacing w:after="0" w:line="24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aggregate number of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the debt warrants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currencies in which the debt warrants will be offered;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debt warrants are being offered, if any, and the number of the debt warrants that will be offered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if any, on or after which the debt warrants and the related securities will be transferable separately;</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minimum or maximum amount of debt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have applied to list the debt warrants or the underlying debt securities on an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debt warrants;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material terms or conditions of the debt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6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aggregate number of units being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at which the units will be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number and terms of the securities comprising the units and any agreement governing the units;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if any, on or after which the securities comprising the units will be transferable separately;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will apply to list the units or any of the individual securities comprising the units on any exchange;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material Canadian income tax consequences of owning the units, including, how the purchase price paid for the units will be allocated among the securities comprising the units;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material terms or conditions of the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DESCRIPTION OF SUBSCRIPTION RECEIPTS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issue subscription receipts separately or in combination with one or more other securities, which will entitle holders thereof to receive, upon satisfaction of certain release conditions (the “</w:t>
      </w:r>
      <w:r>
        <w:rPr>
          <w:rFonts w:ascii="Arial" w:cs="Arial" w:eastAsia="Arial" w:hAnsi="Arial"/>
          <w:sz w:val="17"/>
          <w:szCs w:val="17"/>
          <w:b w:val="1"/>
          <w:bCs w:val="1"/>
          <w:color w:val="auto"/>
        </w:rPr>
        <w:t>Release Conditions</w:t>
      </w:r>
      <w:r>
        <w:rPr>
          <w:rFonts w:ascii="Arial" w:cs="Arial" w:eastAsia="Arial" w:hAnsi="Arial"/>
          <w:sz w:val="17"/>
          <w:szCs w:val="17"/>
          <w:color w:val="auto"/>
        </w:rPr>
        <w:t>”) and for no additional consideration, Common Shares, warrants, debt securities or any combination thereof. Subscription receipts will be issued pursuant to one or more subscription receipt agreements (each, a “</w:t>
      </w:r>
      <w:r>
        <w:rPr>
          <w:rFonts w:ascii="Arial" w:cs="Arial" w:eastAsia="Arial" w:hAnsi="Arial"/>
          <w:sz w:val="17"/>
          <w:szCs w:val="17"/>
          <w:b w:val="1"/>
          <w:bCs w:val="1"/>
          <w:color w:val="auto"/>
        </w:rPr>
        <w:t>Subscription Receipt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material terms of which will be described in the applicable prospectus supplement, each to be entered into between the Company and an</w:t>
      </w:r>
      <w:r>
        <w:rPr>
          <w:rFonts w:ascii="Arial" w:cs="Arial" w:eastAsia="Arial" w:hAnsi="Arial"/>
          <w:sz w:val="17"/>
          <w:szCs w:val="17"/>
          <w:b w:val="1"/>
          <w:bCs w:val="1"/>
          <w:color w:val="auto"/>
        </w:rPr>
        <w:t xml:space="preserve"> </w:t>
      </w:r>
      <w:r>
        <w:rPr>
          <w:rFonts w:ascii="Arial" w:cs="Arial" w:eastAsia="Arial" w:hAnsi="Arial"/>
          <w:sz w:val="17"/>
          <w:szCs w:val="17"/>
          <w:color w:val="auto"/>
        </w:rPr>
        <w:t>escrow agent (the “</w:t>
      </w:r>
      <w:r>
        <w:rPr>
          <w:rFonts w:ascii="Arial" w:cs="Arial" w:eastAsia="Arial" w:hAnsi="Arial"/>
          <w:sz w:val="17"/>
          <w:szCs w:val="17"/>
          <w:b w:val="1"/>
          <w:bCs w:val="1"/>
          <w:color w:val="auto"/>
        </w:rPr>
        <w:t>Escrow Agent</w:t>
      </w:r>
      <w:r>
        <w:rPr>
          <w:rFonts w:ascii="Arial" w:cs="Arial" w:eastAsia="Arial" w:hAnsi="Arial"/>
          <w:sz w:val="17"/>
          <w:szCs w:val="17"/>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aggregate number of subscription receipts being offered;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Release Conditions that must be met in order for holders of subscription receipts to receive, for no additional consideration, the Common Shares, warrants and/or debt securities;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procedures for the issuance and delivery of the Common Shares, warrants and/or debt securities to holders of subscription receipts upon satisfaction of the Release Conditions;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any payments will be made to holders of subscription receipts upon delivery of the Common Shares, warrants and/or debt securities upon satisfaction of the Release Conditions;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identity of the Escrow Agent;</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terms and conditions under which the Escrow Agent will hold all or a portion of the gross proceeds from the sale of subscription receipts, together with interest and income earned thereon (collectively, the “</w:t>
      </w:r>
      <w:r>
        <w:rPr>
          <w:rFonts w:ascii="Arial" w:cs="Arial" w:eastAsia="Arial" w:hAnsi="Arial"/>
          <w:sz w:val="16"/>
          <w:szCs w:val="16"/>
          <w:b w:val="1"/>
          <w:bCs w:val="1"/>
          <w:color w:val="auto"/>
        </w:rPr>
        <w:t>Escrowed Funds</w:t>
      </w:r>
      <w:r>
        <w:rPr>
          <w:rFonts w:ascii="Arial" w:cs="Arial" w:eastAsia="Arial" w:hAnsi="Arial"/>
          <w:sz w:val="16"/>
          <w:szCs w:val="16"/>
          <w:color w:val="auto"/>
        </w:rPr>
        <w:t>”), pending satisfaction of the Release Conditions;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pursuant to which the Escrow Agent will hold the Common Shares, warrants and/or debt securities pending satisfaction of the Release Conditions;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under which the Escrow Agent will release all or a portion of the Escrowed Funds to the Company upon satisfaction of the Release Conditions;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83"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entitlement of Bitfarms to purchase the subscription receipts in the open market by private agreement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we will issue the subscription receipts as Global Securities and, if so, the identity of the Depositary for the Global Securities;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unregistered bearer securities, as registered securities or both;</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apply to list the subscription receipts on any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subscription receipts;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material terms or conditions of the subscription receipts.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issue share purchase contracts, representing contracts obligating holders to purchase from or sell to us a specified number of Common Shares, as applicable, at a future date or 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may sell the securities of the Company offered by this prospectus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Each prospectus supplement with respect to the Company’s securities being offered will set forth the terms of the offering, including:</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person offering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other placement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the purchase price of, and form of consideration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proceeds to the Company from such sale;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commissions, fees, discounts and other items constituting underwriters’, dealers’ or agents’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Common Shares will be freely tradable in the hands of persons other than our affiliates.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independent registered public accounting firm of the Company is PricewaterhouseCoopers LLP at its offices located at PwC Centre, 354 Davis Road, Suite 600, Oakville, Ontario, Canada L6J 0C5.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of the Company is TSX Trust Company at its offices located at 100 Adelaide St W #301, Toronto, ON M5H 1S3.</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AGENTS FOR SERVICE OF PROCESS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directors and officers of the Company reside outside of Canada. Emiliano Joel Grodzki, Nicolas Bonta, Andres Finkielsztain, Edith M. Hofmeister, Benjamin Gagnon, and Jeffrey Lucas have appointed the following agents for service of process: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Person</w:t>
            </w:r>
          </w:p>
        </w:tc>
        <w:tc>
          <w:tcPr>
            <w:tcW w:w="220" w:type="dxa"/>
            <w:vAlign w:val="bottom"/>
          </w:tcPr>
          <w:p>
            <w:pPr>
              <w:spacing w:after="0"/>
              <w:rPr>
                <w:sz w:val="20"/>
                <w:szCs w:val="20"/>
                <w:color w:val="auto"/>
              </w:rPr>
            </w:pPr>
          </w:p>
        </w:tc>
        <w:tc>
          <w:tcPr>
            <w:tcW w:w="55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Name and Address of Agent</w:t>
            </w: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rPr>
              <w:t>Emiliano Joel Grodzki</w:t>
            </w:r>
          </w:p>
        </w:tc>
        <w:tc>
          <w:tcPr>
            <w:tcW w:w="2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Bitfarms Ltd.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110 Yonge Street, Suite 1601</w:t>
            </w:r>
          </w:p>
        </w:tc>
        <w:tc>
          <w:tcPr>
            <w:tcW w:w="0" w:type="dxa"/>
            <w:vAlign w:val="bottom"/>
          </w:tcPr>
          <w:p>
            <w:pPr>
              <w:spacing w:after="0"/>
              <w:rPr>
                <w:sz w:val="1"/>
                <w:szCs w:val="1"/>
                <w:color w:val="auto"/>
              </w:rPr>
            </w:pPr>
          </w:p>
        </w:tc>
      </w:tr>
      <w:tr>
        <w:trPr>
          <w:trHeight w:val="230"/>
        </w:trPr>
        <w:tc>
          <w:tcPr>
            <w:tcW w:w="5520" w:type="dxa"/>
            <w:vAlign w:val="bottom"/>
            <w:vMerge w:val="restart"/>
          </w:tcPr>
          <w:p>
            <w:pPr>
              <w:spacing w:after="0"/>
              <w:rPr>
                <w:sz w:val="20"/>
                <w:szCs w:val="20"/>
                <w:color w:val="auto"/>
              </w:rPr>
            </w:pPr>
            <w:r>
              <w:rPr>
                <w:rFonts w:ascii="Arial" w:cs="Arial" w:eastAsia="Arial" w:hAnsi="Arial"/>
                <w:sz w:val="18"/>
                <w:szCs w:val="18"/>
                <w:color w:val="auto"/>
              </w:rPr>
              <w:t>Nicolas Bonta</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Toronto, ON M5C 1T4</w:t>
            </w:r>
          </w:p>
        </w:tc>
        <w:tc>
          <w:tcPr>
            <w:tcW w:w="0" w:type="dxa"/>
            <w:vAlign w:val="bottom"/>
          </w:tcPr>
          <w:p>
            <w:pPr>
              <w:spacing w:after="0"/>
              <w:rPr>
                <w:sz w:val="1"/>
                <w:szCs w:val="1"/>
                <w:color w:val="auto"/>
              </w:rPr>
            </w:pPr>
          </w:p>
        </w:tc>
      </w:tr>
      <w:tr>
        <w:trPr>
          <w:trHeight w:val="202"/>
        </w:trPr>
        <w:tc>
          <w:tcPr>
            <w:tcW w:w="5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Andres Finkielsztain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Edith M. Hofmeister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Benjamin Gagnon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Jeffrey Lucas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EXEMPTIONS UNDER SECURITIES LAWS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STATUTORY RIGHTS OF WITHDRAWAL AND RESCISSION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 44-102.</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offering of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Original purchasers of convertible, exchangeable, or exercisable securities, will have a contractual right of rescission against us in respect of the exercise of such convertible, exchangeable, or exercisable securities. The contractual right of rescission will entitle such original purchasers to receive, upon surrender of the underlying securities acquired upon exercise of the convertible, exchangeable, or exercisable security, as applicable, the total of the amount paid on original purchase of the convertible, exchangeable, or exercisable security, as applicable and the amount paid upon exercise, in the event that this prospectus (as supplemented or amended) contains a misrepresentation, provided that: (i) the exercise takes place within 180 days of the date of the purchase of the convertible, exchangeable, or exercisable security under the applicable prospectus supplement; and (ii) the right of rescission is exercised within 180 days of the date of purchase of the convertible, exchangeable, or exercisable security under the applicable prospectus supplement.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TO BE DELIVERED TO OFFEREES 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Section 136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t>
      </w:r>
      <w:r>
        <w:rPr>
          <w:rFonts w:ascii="Arial" w:cs="Arial" w:eastAsia="Arial" w:hAnsi="Arial"/>
          <w:sz w:val="17"/>
          <w:szCs w:val="17"/>
          <w:b w:val="1"/>
          <w:bCs w:val="1"/>
          <w:color w:val="auto"/>
        </w:rPr>
        <w:t>OBCA</w:t>
      </w:r>
      <w:r>
        <w:rPr>
          <w:rFonts w:ascii="Arial" w:cs="Arial" w:eastAsia="Arial" w:hAnsi="Arial"/>
          <w:sz w:val="17"/>
          <w:szCs w:val="17"/>
          <w:color w:val="auto"/>
        </w:rPr>
        <w:t>”)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w:t>
      </w:r>
      <w:r>
        <w:rPr>
          <w:rFonts w:ascii="Arial" w:cs="Arial" w:eastAsia="Arial" w:hAnsi="Arial"/>
          <w:sz w:val="17"/>
          <w:szCs w:val="17"/>
          <w:color w:val="auto"/>
        </w:rPr>
        <w:t>”) against all costs, charges and expenses, including an amount paid to settle an action or satisfy a judgment, reasonably incurred by the Indemnified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(a) he or she acted honestly and in good faith with a view to the best interests of Bitfarms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(a) and (b) of this paragraph and was not judged by the court or other competent authority to have committed any fault or omitted to do anything that the individual ought to have done.</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policy of directors’ and officers’ liability insurance is maintained by the Registrant that insures directors and officers against losses incurred as a result of claims against the directors and officers of the Registrant in Canada pursuant to the indemnity provisions under the Registrant’s articles and the OBCA.</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have been filed as part of this Registration Statement: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60" w:type="dxa"/>
            <w:vAlign w:val="bottom"/>
            <w:gridSpan w:val="8"/>
          </w:tcPr>
          <w:p>
            <w:pPr>
              <w:ind w:left="14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4"/>
            <w:shd w:val="clear" w:color="auto" w:fill="CCEEFF"/>
          </w:tcPr>
          <w:p>
            <w:pPr>
              <w:spacing w:after="0" w:line="17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Annual Information Form for the year ended December 31, 2022, dated March 20, 2023 (incorporated by reference to Exhibit 99.1 to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16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Registrant’s Form 40-F filed with the SEC on March 21, 2023 (File No. 001-40370)).</w:t>
              </w:r>
            </w:hyperlink>
          </w:p>
        </w:tc>
        <w:tc>
          <w:tcPr>
            <w:tcW w:w="394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Consolidated Financial Statements as of and for the years ended December 31, 2022 and 2021, dated March 20, 2023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reference to Exhibit 99.2 to the Registrant’s Form 40-F filed with the SEC on March 21, 2023 (File No. 001-40370)).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Management’s Discussion &amp; Analysis for the year ended December 31, 2022, dated March 20, 2023 (incorporated by reference to Exhibit</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99.</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the Registrant’s Form 40-F filed with the SEC on March 21, 2023 (File No. 001-40370)).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Notice of Annual General Meeting and Special Meeting of Shareholders &amp; Management Circular, dated April 24, 2023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 to Exhibit 99.2 to the Registrant’s Form 6-K filed with the SEC on May 19, 2023 (File No. 001-40370)).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Interim Condensed Consolidated Financial Statements for the three and nine months ended September 30, 2023, dated November 7, 2023</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(incorporated by reference to Exhibit 99.1 to the Registrant’s Form 6-K filed with the SEC on November 7, 2023 (File No. 001-40370)).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Management’s Discussion &amp; Analysis for the three and nine months ended September 30, 2023, dated November 7, 2023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reference to Exhibit 99.2 to the Registrant’s Form 6-K filed with the SEC on November 7, 2023 (File No. 001-40370)).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Material Change Report dated January 3, 2023 (incorporated by reference to Exhibit 99.1 to the Registrant’s Form 6-K filed with the SEC</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on January 3, 2023 (File No. 001-40370)).</w:t>
              </w:r>
            </w:hyperlink>
          </w:p>
        </w:tc>
        <w:tc>
          <w:tcPr>
            <w:tcW w:w="704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Material Change Report dated January 13, 2023 (incorporated by reference to Exhibit 99.1 to the Registrant’s Form 6-K filed with the SEC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on January 13, 2023 (File No. 001-40370)).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Material Change Report dated February 1, 2023 (incorporated by reference to Exhibit 99.1 to the Registrant’s Form 6-K filed with the SEC</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on February 1, 2023 (File No. 001-40370)).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4.10</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Material Change Report dated February 9, 2023 (incorporated by reference to Exhibit 99.1 to the Registrant’s Form 6-K filed with the SEC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on February 9, 2023 (File No. 001-40370)).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Material Change Report dated March 1, 2023 (incorporated by reference to Exhibit 99.1 to the Registrant’s Form 6-K filed with the SEC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March 1, 2023 (File No. 001-40370)).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Material Change Report dated March 21, 2023 (incorporated by reference to Exhibit 99.1 to the Registrant’s Form 6-K filed with the SEC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on March 21, 2023 (File No. 001-40370)).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Material Change Report dated April 3, 2023 (incorporated by reference to Exhibit 99.1 to the Registrant’s Form 6-K filed with the SEC on</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April 3, 2023 (File No. 001-40370)).</w:t>
              </w:r>
            </w:hyperlink>
          </w:p>
        </w:tc>
        <w:tc>
          <w:tcPr>
            <w:tcW w:w="7440" w:type="dxa"/>
            <w:vAlign w:val="bottom"/>
            <w:tcBorders>
              <w:bottom w:val="single" w:sz="8" w:color="CCEEFF"/>
            </w:tcBorders>
            <w:gridSpan w:val="11"/>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Material Change Report dated April 11, 2023 (incorporated by reference to Exhibit 99.1 to the Registrant’s Form 6-K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April 11, 2023 (File No. 001-40370)).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Material Change Report dated April 24, 2023 (incorporated by reference to Exhibit 99.1 to the Registrant’s Form 6-K filed with the SEC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April 24, 2023 (File No. 001-40370)).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Material Change Report dated April 28, 2023 (incorporated by reference to Exhibit 99.1 to the Registrant’s Form 6-K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April 28, 2023 (File No. 001-40370)).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Material Change Report dated May 1, 2023 (incorporated by reference to Exhibit 99.1 to the Registrant’s Form 6-K filed with the SEC 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May 1, 2023 (File No. 001-40370)).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4.18</w:t>
            </w:r>
          </w:p>
        </w:tc>
        <w:tc>
          <w:tcPr>
            <w:tcW w:w="120" w:type="dxa"/>
            <w:vAlign w:val="bottom"/>
          </w:tcPr>
          <w:p>
            <w:pPr>
              <w:spacing w:after="0"/>
              <w:rPr>
                <w:sz w:val="15"/>
                <w:szCs w:val="15"/>
                <w:color w:val="auto"/>
              </w:rPr>
            </w:pPr>
          </w:p>
        </w:tc>
        <w:tc>
          <w:tcPr>
            <w:tcW w:w="10100" w:type="dxa"/>
            <w:vAlign w:val="bottom"/>
            <w:gridSpan w:val="14"/>
          </w:tcPr>
          <w:p>
            <w:pPr>
              <w:spacing w:after="0" w:line="17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Material Change Report dated May 1, 2023 (incorporated by reference to Exhibit 99.2 to the Registrant’s Form 6-K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May 1, 2023 (File No. 001-40370)).</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Material Change Report dated May 8, 2023 (incorporated by reference to Exhibit 99.1 to the Registrant’s Form 6-K filed with the SEC 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May 8, 2023 (File No. 001-40370)).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4.20</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4"/>
          </w:tcPr>
          <w:p>
            <w:pPr>
              <w:spacing w:after="0" w:line="17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Press Release dated May 15, 2023 (incorporated by reference to Exhibit 99.5 to the Registrant’s Form 6-K filed with the SEC on May 15,</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2023 (File No. 001-40370)).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4.21</w:t>
            </w:r>
          </w:p>
        </w:tc>
        <w:tc>
          <w:tcPr>
            <w:tcW w:w="10100" w:type="dxa"/>
            <w:vAlign w:val="bottom"/>
            <w:gridSpan w:val="15"/>
            <w:shd w:val="clear" w:color="auto" w:fill="CCEEFF"/>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Material Change Report dated June 1, 2023 (incorporated by reference to Exhibit 99.1 to the Registrant’s Form 6-K filed with the SEC on</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June 1, 2023 (File No. 001-40370)).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4.22</w:t>
            </w:r>
          </w:p>
        </w:tc>
        <w:tc>
          <w:tcPr>
            <w:tcW w:w="10100" w:type="dxa"/>
            <w:vAlign w:val="bottom"/>
            <w:gridSpan w:val="15"/>
          </w:tcPr>
          <w:p>
            <w:pPr>
              <w:spacing w:after="0" w:line="17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Material Change Report dated June 7, 2023 (incorporated by reference to Exhibit 99.1 to the Registrant’s Form 6-K filed with the SEC on</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June 8, 2023 (File No. 001-40370)).</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4.23</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Material Change Report dated June 12, 2023 (incorporated by reference to Exhibit 99.1 to the Registrant’s Form 6-K filed with the SEC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June 12, 2023 (File No. 001-40370)).</w:t>
              </w:r>
            </w:hyperlink>
          </w:p>
        </w:tc>
        <w:tc>
          <w:tcPr>
            <w:tcW w:w="740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4.24</w:t>
            </w:r>
          </w:p>
        </w:tc>
        <w:tc>
          <w:tcPr>
            <w:tcW w:w="1010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Material Change Report dated July 3, 2023 (incorporated by reference to Exhibit 99.1 to the Registrant’s Form 6-K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July 3, 2023 (File No. 001-40370)).</w:t>
              </w:r>
            </w:hyperlink>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4.25</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Material Change Report dated July 6, 2023 (incorporated by reference to Exhibit 99.1 to the Registrant’s Form 6-K filed with the SEC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July 6, 2023 (File No. 001-40370)).</w:t>
              </w:r>
            </w:hyperlink>
          </w:p>
        </w:tc>
        <w:tc>
          <w:tcPr>
            <w:tcW w:w="752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4.26</w:t>
            </w:r>
          </w:p>
        </w:tc>
        <w:tc>
          <w:tcPr>
            <w:tcW w:w="1010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Material Change Report dated July 19, 2023 (incorporated by reference to Exhibit 99.1 to the Registrant’s Form 6-K filed with the SEC on</w:t>
              </w:r>
            </w:hyperlink>
          </w:p>
        </w:tc>
      </w:tr>
      <w:tr>
        <w:trPr>
          <w:trHeight w:val="196"/>
        </w:trPr>
        <w:tc>
          <w:tcPr>
            <w:tcW w:w="114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July 19, 2023 (File No. 001-40370)).</w:t>
              </w:r>
            </w:hyperlink>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4.27</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Material Change Report dated August 1, 2023 (incorporated by reference to Exhibit 99.1 to the Registrant’s Form 6-K filed with the SEC</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on August 1, 2023 (File No. 001-40370)).</w:t>
              </w:r>
            </w:hyperlink>
          </w:p>
        </w:tc>
        <w:tc>
          <w:tcPr>
            <w:tcW w:w="708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4.28</w:t>
            </w:r>
          </w:p>
        </w:tc>
        <w:tc>
          <w:tcPr>
            <w:tcW w:w="1010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Material Change Report dated August 7, 2023 (incorporated by reference to Exhibit 99.1 to the Registrant’s Form 6-K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on August 7, 2023 (File No. 001-40370)).</w:t>
              </w:r>
            </w:hyperlink>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4.29</w:t>
            </w: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Press Release dated August 8, 2023 (incorporated by reference to Exhibit 99.5 to the Registrant’s Form 6-K filed with the SEC on August</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8, 2023 (File No. 001-40370)).</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4.30</w:t>
            </w:r>
          </w:p>
        </w:tc>
        <w:tc>
          <w:tcPr>
            <w:tcW w:w="10100" w:type="dxa"/>
            <w:vAlign w:val="bottom"/>
            <w:gridSpan w:val="15"/>
          </w:tcPr>
          <w:p>
            <w:pPr>
              <w:spacing w:after="0" w:line="17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Material Change Report dated September 1, 2023 (incorporated by reference to Exhibit 99.1 to the Registrant’s Form 6-K filed with the</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SEC on September 1, 2023 (File No. 001-40370)).</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4.31</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Material Change Report dated October 2, 2023 (incorporated by reference to Exhibit 99.1 to the Registrant’s Form 6-K filed with the SEC</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on October 2, 2023 (File No. 001-40370)).</w:t>
              </w:r>
            </w:hyperlink>
          </w:p>
        </w:tc>
        <w:tc>
          <w:tcPr>
            <w:tcW w:w="702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4.32</w:t>
            </w:r>
          </w:p>
        </w:tc>
        <w:tc>
          <w:tcPr>
            <w:tcW w:w="10100" w:type="dxa"/>
            <w:vAlign w:val="bottom"/>
            <w:tcBorders>
              <w:bottom w:val="single" w:sz="8" w:color="0000EE"/>
            </w:tcBorders>
            <w:gridSpan w:val="15"/>
          </w:tcPr>
          <w:p>
            <w:pPr>
              <w:spacing w:after="0" w:line="17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Material Change Report dated October 23, 2023 (incorporated by reference to Exhibit 99.1 to the Registrant’s Form 6-K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on October 23, 2023 (File No. 001-40370)).</w:t>
              </w:r>
            </w:hyperlink>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4.33</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Material Change Report dated November 1, 2023 (incorporated by reference to Exhibit 99.1 to the Registrant’s Form 6-K filed with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SEC on November 1, 2023 (File No. 001-40370)).</w:t>
              </w:r>
            </w:hyperlink>
          </w:p>
        </w:tc>
        <w:tc>
          <w:tcPr>
            <w:tcW w:w="646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4.34</w:t>
            </w:r>
          </w:p>
        </w:tc>
        <w:tc>
          <w:tcPr>
            <w:tcW w:w="10100" w:type="dxa"/>
            <w:vAlign w:val="bottom"/>
            <w:tcBorders>
              <w:bottom w:val="single" w:sz="8" w:color="0000EE"/>
            </w:tcBorders>
            <w:gridSpan w:val="15"/>
          </w:tcPr>
          <w:p>
            <w:pPr>
              <w:spacing w:after="0" w:line="17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Material Change Report dated November 7, 2023 (incorporated by reference to Exhibit 99.5 to the Registrant’s Form 6-K filed with the</w:t>
              </w:r>
            </w:hyperlink>
          </w:p>
        </w:tc>
      </w:tr>
      <w:tr>
        <w:trPr>
          <w:trHeight w:val="196"/>
        </w:trPr>
        <w:tc>
          <w:tcPr>
            <w:tcW w:w="114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SEC on November 7, 2023 (File No. 001-40370)).</w:t>
              </w:r>
            </w:hyperlink>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30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Consent of PricewaterhouseCoopers LLP.</w:t>
              </w:r>
            </w:hyperlink>
          </w:p>
        </w:tc>
        <w:tc>
          <w:tcPr>
            <w:tcW w:w="708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6.1**</w:t>
            </w:r>
          </w:p>
        </w:tc>
        <w:tc>
          <w:tcPr>
            <w:tcW w:w="10100" w:type="dxa"/>
            <w:vAlign w:val="bottom"/>
            <w:gridSpan w:val="15"/>
          </w:tcPr>
          <w:p>
            <w:pPr>
              <w:spacing w:after="0" w:line="176" w:lineRule="exact"/>
              <w:rPr>
                <w:sz w:val="20"/>
                <w:szCs w:val="20"/>
                <w:color w:val="auto"/>
              </w:rPr>
            </w:pPr>
            <w:r>
              <w:rPr>
                <w:rFonts w:ascii="Arial" w:cs="Arial" w:eastAsia="Arial" w:hAnsi="Arial"/>
                <w:sz w:val="18"/>
                <w:szCs w:val="18"/>
                <w:color w:val="0000EE"/>
              </w:rPr>
              <w:t>Power of Attorney (included on the signature pages to this Registration Statement).</w:t>
            </w:r>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7.1</w:t>
            </w: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Form of Senior Indenture (incorporated by reference to Exhibit 7.1 to the Registrant’s Form F-10 filed with the SEC on August 13, 2021</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(File No. 333-258788)).</w:t>
              </w:r>
            </w:hyperlink>
          </w:p>
        </w:tc>
        <w:tc>
          <w:tcPr>
            <w:tcW w:w="8360" w:type="dxa"/>
            <w:vAlign w:val="bottom"/>
            <w:tcBorders>
              <w:bottom w:val="single" w:sz="8" w:color="CCEEFF"/>
            </w:tcBorders>
            <w:gridSpan w:val="1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7.2</w:t>
            </w:r>
          </w:p>
        </w:tc>
        <w:tc>
          <w:tcPr>
            <w:tcW w:w="1010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Form of Subordinated Indenture (incorporated by reference to Exhibit 7.2 to the Registrant’s Form F-10 filed with the SEC on August 13,</w:t>
              </w:r>
            </w:hyperlink>
          </w:p>
        </w:tc>
      </w:tr>
      <w:tr>
        <w:trPr>
          <w:trHeight w:val="196"/>
        </w:trPr>
        <w:tc>
          <w:tcPr>
            <w:tcW w:w="114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2021 (File No. 333-258788)).</w:t>
              </w:r>
            </w:hyperlink>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Calculation of Filing Fee Table.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Previously filed or furnished to the SEC.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Undertaking.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SEC staff, and to furnish promptly, when requested to do so by the SEC staff, information relating to the securities registered pursuant to this Form F-10 or to transactions in said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Consent to Service of Process.</w:t>
      </w:r>
    </w:p>
    <w:p>
      <w:pPr>
        <w:spacing w:after="0" w:line="229" w:lineRule="exact"/>
        <w:rPr>
          <w:sz w:val="20"/>
          <w:szCs w:val="20"/>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Concurrently with the initial filing of this Registration Statement, the Registrant filed with the SEC a written irrevocable consent and power of attorney on Form F-X.</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 to the name or address of the Registrant’s agent for service shall be communicated promptly to the SEC by amendment to Form F-X referencing the file number of this Registration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F-10 and has duly caused this Amendment No. 3 to this Registration Statement to be signed on its behalf by the undersigned, thereunto duly authorized, in the City of Toronto, Province of Ontario, Canada, on November 20, 2023.</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Geoffrey Morphy</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 Geoffrey Morphy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or on behalf of the following persons in the capacities indicated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 Geoffrey Morphy</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Chief Executive Officer (Principal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L. Geoffrey Morphy</w:t>
            </w:r>
          </w:p>
        </w:tc>
        <w:tc>
          <w:tcPr>
            <w:tcW w:w="5280" w:type="dxa"/>
            <w:vAlign w:val="bottom"/>
            <w:gridSpan w:val="4"/>
          </w:tcPr>
          <w:p>
            <w:pPr>
              <w:ind w:left="140"/>
              <w:spacing w:after="0" w:line="203" w:lineRule="exact"/>
              <w:rPr>
                <w:sz w:val="20"/>
                <w:szCs w:val="20"/>
                <w:color w:val="auto"/>
              </w:rPr>
            </w:pPr>
            <w:r>
              <w:rPr>
                <w:rFonts w:ascii="Arial" w:cs="Arial" w:eastAsia="Arial" w:hAnsi="Arial"/>
                <w:sz w:val="18"/>
                <w:szCs w:val="18"/>
                <w:color w:val="auto"/>
              </w:rPr>
              <w:t>President and Director</w:t>
            </w:r>
          </w:p>
        </w:tc>
        <w:tc>
          <w:tcPr>
            <w:tcW w:w="2020" w:type="dxa"/>
            <w:vAlign w:val="bottom"/>
          </w:tcPr>
          <w:p>
            <w:pPr>
              <w:spacing w:after="0"/>
              <w:rPr>
                <w:sz w:val="20"/>
                <w:szCs w:val="20"/>
                <w:color w:val="auto"/>
              </w:rPr>
            </w:pPr>
          </w:p>
        </w:tc>
      </w:tr>
      <w:tr>
        <w:trPr>
          <w:trHeight w:val="425"/>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P. Lucas</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Chief Financial Officer (Principal Financial Officer and</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Jeffrey P. Lucas</w:t>
            </w:r>
          </w:p>
        </w:tc>
        <w:tc>
          <w:tcPr>
            <w:tcW w:w="5280" w:type="dxa"/>
            <w:vAlign w:val="bottom"/>
            <w:gridSpan w:val="4"/>
          </w:tcPr>
          <w:p>
            <w:pPr>
              <w:ind w:left="140"/>
              <w:spacing w:after="0" w:line="203" w:lineRule="exact"/>
              <w:rPr>
                <w:sz w:val="20"/>
                <w:szCs w:val="20"/>
                <w:color w:val="auto"/>
              </w:rPr>
            </w:pPr>
            <w:r>
              <w:rPr>
                <w:rFonts w:ascii="Arial" w:cs="Arial" w:eastAsia="Arial" w:hAnsi="Arial"/>
                <w:sz w:val="18"/>
                <w:szCs w:val="18"/>
                <w:color w:val="auto"/>
              </w:rPr>
              <w:t>Principal Accounting Officer)</w:t>
            </w:r>
          </w:p>
        </w:tc>
        <w:tc>
          <w:tcPr>
            <w:tcW w:w="2020" w:type="dxa"/>
            <w:vAlign w:val="bottom"/>
          </w:tcPr>
          <w:p>
            <w:pPr>
              <w:spacing w:after="0"/>
              <w:rPr>
                <w:sz w:val="20"/>
                <w:szCs w:val="20"/>
                <w:color w:val="auto"/>
              </w:rPr>
            </w:pPr>
          </w:p>
        </w:tc>
      </w:tr>
      <w:tr>
        <w:trPr>
          <w:trHeight w:val="425"/>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Nicolas Bonta*</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Chairman of the Board and Founder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Nicolas Bonta</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Emiliano Joel Grodzki*</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Director and Founder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Emiliano Joel Grodzki</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Howlett*</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Lead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Brian Howlett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Andrés Finkielsztain*</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Andrés Finkielsztain</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Edith M. Hofmeister*</w:t>
            </w:r>
          </w:p>
        </w:tc>
        <w:tc>
          <w:tcPr>
            <w:tcW w:w="5280" w:type="dxa"/>
            <w:vAlign w:val="bottom"/>
            <w:gridSpan w:val="4"/>
          </w:tcPr>
          <w:p>
            <w:pPr>
              <w:ind w:left="14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20, 2023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Edith M. Hofmeister</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8"/>
        </w:trPr>
        <w:tc>
          <w:tcPr>
            <w:tcW w:w="3940" w:type="dxa"/>
            <w:vAlign w:val="bottom"/>
            <w:gridSpan w:val="2"/>
          </w:tcPr>
          <w:p>
            <w:pPr>
              <w:spacing w:after="0"/>
              <w:rPr>
                <w:sz w:val="20"/>
                <w:szCs w:val="20"/>
                <w:color w:val="auto"/>
              </w:rPr>
            </w:pPr>
            <w:r>
              <w:rPr>
                <w:rFonts w:ascii="Arial" w:cs="Arial" w:eastAsia="Arial" w:hAnsi="Arial"/>
                <w:sz w:val="18"/>
                <w:szCs w:val="18"/>
                <w:color w:val="auto"/>
              </w:rPr>
              <w:t>*By  /s/ L. Geoffrey Morphy</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Name: L. Geoffrey Morphy: </w:t>
            </w:r>
            <w:r>
              <w:rPr>
                <w:rFonts w:ascii="Arial" w:cs="Arial" w:eastAsia="Arial" w:hAnsi="Arial"/>
                <w:sz w:val="18"/>
                <w:szCs w:val="18"/>
                <w:i w:val="1"/>
                <w:iCs w:val="1"/>
                <w:color w:val="auto"/>
              </w:rPr>
              <w:t>Attorney-in-fact</w:t>
            </w:r>
          </w:p>
        </w:tc>
        <w:tc>
          <w:tcPr>
            <w:tcW w:w="1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III-2</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6(a) of the Securities Act of 1933, the undersigned has signed this Registration Statement, in the capacity of the duly authorized representative of the Registrant in the United States, on November 20, 2023.</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authorized representative for Bitfarms Ltd.</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Sr. Vice President on behalf of</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Cogency Global Inc.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1"/>
    </w:lvl>
  </w:abstractNum>
  <w:abstractNum w:abstractNumId="1">
    <w:nsid w:val="519B500D"/>
    <w:multiLevelType w:val="hybridMultilevel"/>
    <w:lvl w:ilvl="0">
      <w:lvlJc w:val="left"/>
      <w:lvlText w:val="%1."/>
      <w:numFmt w:val="decimal"/>
      <w:start w:val="3"/>
    </w:lvl>
  </w:abstractNum>
  <w:abstractNum w:abstractNumId="2">
    <w:nsid w:val="431BD7B7"/>
    <w:multiLevelType w:val="hybridMultilevel"/>
    <w:lvl w:ilvl="0">
      <w:lvlJc w:val="left"/>
      <w:lvlText w:val="(%1)"/>
      <w:numFmt w:val="lowerRoman"/>
      <w:start w:val="4"/>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lowerRoman"/>
      <w:start w:val="3"/>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3"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93" Type="http://schemas.openxmlformats.org/officeDocument/2006/relationships/hyperlink" Target="https://www.sec.gov/Archives/edgar/data/1812477/000121390023021559/f40f2022ex99-1_bitfarmsltd.htm" TargetMode="External"/><Relationship Id="rId94" Type="http://schemas.openxmlformats.org/officeDocument/2006/relationships/hyperlink" Target="https://www.sec.gov/Archives/edgar/data/1812477/000121390023021559/f40f2022ex99-2_bitfarmsltd.htm" TargetMode="External"/><Relationship Id="rId95" Type="http://schemas.openxmlformats.org/officeDocument/2006/relationships/hyperlink" Target="https://www.sec.gov/Archives/edgar/data/1812477/000121390023021559/f40f2022ex99-3_bitfarmsltd.htm" TargetMode="External"/><Relationship Id="rId96" Type="http://schemas.openxmlformats.org/officeDocument/2006/relationships/hyperlink" Target="https://www.sec.gov/Archives/edgar/data/1812477/000121390023041512/ea178934ex99-2_bitfarms.htm" TargetMode="External"/><Relationship Id="rId97" Type="http://schemas.openxmlformats.org/officeDocument/2006/relationships/hyperlink" Target="http://www.sec.gov/Archives/edgar/data/1812477/000121390023084011/ea187624ex99-1_bitfarms.htm" TargetMode="External"/><Relationship Id="rId98" Type="http://schemas.openxmlformats.org/officeDocument/2006/relationships/hyperlink" Target="http://www.sec.gov/Archives/edgar/data/1812477/000121390023084011/ea187624ex99-2_bitfarms.htm" TargetMode="External"/><Relationship Id="rId99" Type="http://schemas.openxmlformats.org/officeDocument/2006/relationships/hyperlink" Target="https://www.sec.gov/Archives/edgar/data/1812477/000121390023000403/ea171151ex99-1_bitfarms.htm" TargetMode="External"/><Relationship Id="rId100" Type="http://schemas.openxmlformats.org/officeDocument/2006/relationships/hyperlink" Target="https://www.sec.gov/Archives/edgar/data/1812477/000121390023002773/ea171687ex99-1_bitfarms.htm" TargetMode="External"/><Relationship Id="rId101" Type="http://schemas.openxmlformats.org/officeDocument/2006/relationships/hyperlink" Target="https://www.sec.gov/Archives/edgar/data/1812477/000121390023006682/ea172528ex99-1_bitfarms.htm" TargetMode="External"/><Relationship Id="rId102" Type="http://schemas.openxmlformats.org/officeDocument/2006/relationships/hyperlink" Target="https://www.sec.gov/Archives/edgar/data/1812477/000121390023009743/ea173112ex99-1_bitfarms.htm" TargetMode="External"/><Relationship Id="rId103" Type="http://schemas.openxmlformats.org/officeDocument/2006/relationships/hyperlink" Target="https://www.sec.gov/Archives/edgar/data/1812477/000121390023016167/ea174493ex99-1_bitfarms.htm" TargetMode="External"/><Relationship Id="rId104" Type="http://schemas.openxmlformats.org/officeDocument/2006/relationships/hyperlink" Target="https://www.sec.gov/Archives/edgar/data/1812477/000121390023021549/ea175465ex99-1_bitfarms.htm" TargetMode="External"/><Relationship Id="rId105" Type="http://schemas.openxmlformats.org/officeDocument/2006/relationships/hyperlink" Target="https://www.sec.gov/Archives/edgar/data/1812477/000121390023026253/ea176357ex99-1_bitfarms.htm" TargetMode="External"/><Relationship Id="rId106" Type="http://schemas.openxmlformats.org/officeDocument/2006/relationships/hyperlink" Target="https://www.sec.gov/Archives/edgar/data/1812477/000121390023028839/ea176792ex99-1_bitfarms.htm" TargetMode="External"/><Relationship Id="rId107" Type="http://schemas.openxmlformats.org/officeDocument/2006/relationships/hyperlink" Target="https://www.sec.gov/Archives/edgar/data/1812477/000121390023032008/ea177381ex99-1_bitfarms.htm" TargetMode="External"/><Relationship Id="rId108" Type="http://schemas.openxmlformats.org/officeDocument/2006/relationships/hyperlink" Target="https://www.sec.gov/Archives/edgar/data/1812477/000121390023033854/ea177658ex99-1_bitfarmsltd.htm" TargetMode="External"/><Relationship Id="rId109" Type="http://schemas.openxmlformats.org/officeDocument/2006/relationships/hyperlink" Target="https://www.sec.gov/Archives/edgar/data/1812477/000121390023034787/ea177812ex99-1_bitfarmsltd.htm" TargetMode="External"/><Relationship Id="rId110" Type="http://schemas.openxmlformats.org/officeDocument/2006/relationships/hyperlink" Target="https://www.sec.gov/Archives/edgar/data/1812477/000121390023034787/ea177812ex99-2_bitfarmsltd.htm" TargetMode="External"/><Relationship Id="rId111" Type="http://schemas.openxmlformats.org/officeDocument/2006/relationships/hyperlink" Target="https://www.sec.gov/Archives/edgar/data/1812477/000121390023037331/ea178160ex99-1_bitfarms.htm" TargetMode="External"/><Relationship Id="rId112" Type="http://schemas.openxmlformats.org/officeDocument/2006/relationships/hyperlink" Target="https://www.sec.gov/Archives/edgar/data/1812477/000121390023039295/ea178185ex99-5_bitfarms.htm" TargetMode="External"/><Relationship Id="rId114" Type="http://schemas.openxmlformats.org/officeDocument/2006/relationships/hyperlink" Target="https://www.sec.gov/Archives/edgar/data/1812477/000121390023044991/ea179638ex99-1_bitfarmsltd.htm" TargetMode="External"/><Relationship Id="rId115" Type="http://schemas.openxmlformats.org/officeDocument/2006/relationships/hyperlink" Target="https://www.sec.gov/Archives/edgar/data/1812477/000121390023047239/ea179957ex99-1_bitfarms.htm" TargetMode="External"/><Relationship Id="rId116" Type="http://schemas.openxmlformats.org/officeDocument/2006/relationships/hyperlink" Target="https://www.sec.gov/Archives/edgar/data/1812477/000121390023048138/ea180173ex99-1_bitfarms.htm" TargetMode="External"/><Relationship Id="rId117" Type="http://schemas.openxmlformats.org/officeDocument/2006/relationships/hyperlink" Target="https://www.sec.gov/Archives/edgar/data/1812477/000121390023054110/ea181299ex99-1_bitfarms.htm" TargetMode="External"/><Relationship Id="rId118" Type="http://schemas.openxmlformats.org/officeDocument/2006/relationships/hyperlink" Target="https://www.sec.gov/Archives/edgar/data/1812477/000121390023055157/ea181444ex99-1_bitfarmsltd.htm" TargetMode="External"/><Relationship Id="rId119" Type="http://schemas.openxmlformats.org/officeDocument/2006/relationships/hyperlink" Target="http://www.sec.gov/Archives/edgar/data/1812477/000121390023058187/ea182020ex99-1_bitfarms.htm" TargetMode="External"/><Relationship Id="rId120" Type="http://schemas.openxmlformats.org/officeDocument/2006/relationships/hyperlink" Target="https://www.sec.gov/Archives/edgar/data/1812477/000121390023061919/ea182685ex99-1_bitfarms.htm" TargetMode="External"/><Relationship Id="rId121" Type="http://schemas.openxmlformats.org/officeDocument/2006/relationships/hyperlink" Target="http://www.sec.gov/Archives/edgar/data/1812477/000121390023064051/ea182988ex99-1_bitfarms.htm" TargetMode="External"/><Relationship Id="rId122" Type="http://schemas.openxmlformats.org/officeDocument/2006/relationships/hyperlink" Target="https://www.sec.gov/Archives/edgar/data/1812477/000121390023064235/ea182765ex99-5_bitfarms.htm" TargetMode="External"/><Relationship Id="rId123" Type="http://schemas.openxmlformats.org/officeDocument/2006/relationships/hyperlink" Target="http://www.sec.gov/Archives/edgar/data/1812477/000121390023073217/ea184607ex99-1_bitfarms.htm" TargetMode="External"/><Relationship Id="rId124" Type="http://schemas.openxmlformats.org/officeDocument/2006/relationships/hyperlink" Target="http://www.sec.gov/Archives/edgar/data/1812477/000101376223000423/ea186148ex99-1_bitfarms.htm" TargetMode="External"/><Relationship Id="rId125" Type="http://schemas.openxmlformats.org/officeDocument/2006/relationships/hyperlink" Target="http://www.sec.gov/Archives/edgar/data/1812477/000101376223005823/ea187122ex99-1_bitfarms.htm" TargetMode="External"/><Relationship Id="rId126" Type="http://schemas.openxmlformats.org/officeDocument/2006/relationships/hyperlink" Target="http://www.sec.gov/Archives/edgar/data/1812477/000121390023082158/ea187590ex99-1_bitfarms.htm" TargetMode="External"/><Relationship Id="rId127" Type="http://schemas.openxmlformats.org/officeDocument/2006/relationships/hyperlink" Target="http://www.sec.gov/Archives/edgar/data/1812477/000121390023084011/ea187624ex99-5_bitfarms.htm" TargetMode="External"/><Relationship Id="rId128" Type="http://schemas.openxmlformats.org/officeDocument/2006/relationships/hyperlink" Target="http://www.sec.gov/Archives/edgar/data/1812477/000121390023085450/ea187792ex5-1_bitfarms.htm" TargetMode="External"/><Relationship Id="rId129" Type="http://schemas.openxmlformats.org/officeDocument/2006/relationships/hyperlink" Target="https://www.sec.gov/Archives/edgar/data/1812477/000121390021042378/ea145070ex7-1_bitfarms.htm" TargetMode="External"/><Relationship Id="rId130" Type="http://schemas.openxmlformats.org/officeDocument/2006/relationships/hyperlink" Target="https://www.sec.gov/Archives/edgar/data/1812477/000121390021042378/ea145070ex7-2_bitfarms.htm" TargetMode="External"/><Relationship Id="rId131" Type="http://schemas.openxmlformats.org/officeDocument/2006/relationships/hyperlink" Target="http://www.sec.gov/Archives/edgar/data/1812477/000121390023079213/ea183322ex-fee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2023-11-20T07:16:29Z</dcterms:created>
  <dcterms:modified xsi:type="dcterms:W3CDTF">2023-11-20T07:16:29Z</dcterms:modified>
</cp:coreProperties>
</file>