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130" w:right="0" w:hanging="0"/>
        <w:jc w:val="left"/>
        <w:rPr>
          <w:bdr w:val="single" w:sz="16" w:space="1" w:color="000000"/>
        </w:rPr>
      </w:pPr>
      <w:bookmarkStart w:id="0" w:name="ea0282877-6k_bitfarms.htm"/>
      <w:bookmarkStart w:id="1" w:name="ksea02828776k_bitfarms"/>
      <w:bookmarkEnd w:id="0"/>
      <w:bookmarkEnd w:id="1"/>
      <w:r>
        <w:rPr>
          <w:bdr w:val="single" w:sz="16" w:space="1" w:color="000000"/>
        </w:rPr>
        <w:t> </w:t>
      </w:r>
    </w:p>
    <w:p>
      <w:pPr>
        <w:pStyle w:val="TextBody"/>
        <w:bidi w:val="0"/>
        <w:spacing w:before="0" w:after="0"/>
        <w:ind w:left="13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20549</w:t>
      </w:r>
      <w:r>
        <w:rPr>
          <w:rFonts w:ascii="Times New Roman;Times;Serif" w:hAnsi="Times New Roman;Times;Serif"/>
          <w:b w:val="false"/>
          <w:i w:val="false"/>
          <w:caps w:val="false"/>
          <w:smallCaps w:val="false"/>
          <w:sz w:val="20"/>
        </w:rPr>
        <w:br/>
        <w:t> </w:t>
      </w:r>
    </w:p>
    <w:p>
      <w:pPr>
        <w:pStyle w:val="TextBody"/>
        <w:bidi w:val="0"/>
        <w:ind w:left="979"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001-40370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BITFARMS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60" w:right="0" w:hanging="0"/>
        <w:jc w:val="left"/>
        <w:rPr>
          <w:caps w:val="false"/>
          <w:smallCaps w:val="false"/>
        </w:rPr>
      </w:pPr>
      <w:r>
        <w:rPr>
          <w:caps w:val="false"/>
          <w:smallCaps w:val="false"/>
        </w:rPr>
        <w:t> </w:t>
      </w:r>
    </w:p>
    <w:tbl>
      <w:tblPr>
        <w:tblW w:w="2565" w:type="dxa"/>
        <w:jc w:val="left"/>
        <w:tblInd w:w="0" w:type="dxa"/>
        <w:tblLayout w:type="fixed"/>
        <w:tblCellMar>
          <w:top w:w="0" w:type="dxa"/>
          <w:left w:w="0" w:type="dxa"/>
          <w:bottom w:w="0" w:type="dxa"/>
          <w:right w:w="0" w:type="dxa"/>
        </w:tblCellMar>
      </w:tblPr>
      <w:tblGrid>
        <w:gridCol w:w="75"/>
        <w:gridCol w:w="320"/>
        <w:gridCol w:w="545"/>
        <w:gridCol w:w="1625"/>
      </w:tblGrid>
      <w:tr>
        <w:trPr/>
        <w:tc>
          <w:tcPr>
            <w:tcW w:w="75" w:type="dxa"/>
            <w:tcBorders/>
            <w:vAlign w:val="center"/>
          </w:tcPr>
          <w:p>
            <w:pPr>
              <w:pStyle w:val="TableContents"/>
              <w:bidi w:val="0"/>
              <w:spacing w:before="0" w:after="283"/>
              <w:jc w:val="left"/>
              <w:rPr/>
            </w:pPr>
            <w:r>
              <w:rPr/>
              <w:t> </w:t>
            </w:r>
          </w:p>
        </w:tc>
        <w:tc>
          <w:tcPr>
            <w:tcW w:w="2490" w:type="dxa"/>
            <w:gridSpan w:val="3"/>
            <w:tcBorders/>
            <w:vAlign w:val="center"/>
          </w:tcPr>
          <w:p>
            <w:pPr>
              <w:pStyle w:val="TableContents"/>
              <w:bidi w:val="0"/>
              <w:spacing w:before="0" w:after="283"/>
              <w:jc w:val="left"/>
              <w:rPr>
                <w:b/>
              </w:rPr>
            </w:pPr>
            <w:r>
              <w:rPr>
                <w:b/>
              </w:rPr>
              <w:t>BITFARMS LTD.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70" w:type="dxa"/>
            <w:gridSpan w:val="2"/>
            <w:tcBorders>
              <w:bottom w:val="single" w:sz="12" w:space="0" w:color="000000"/>
            </w:tcBorders>
            <w:tcMar>
              <w:bottom w:w="28" w:type="dxa"/>
            </w:tcMar>
            <w:vAlign w:val="center"/>
          </w:tcPr>
          <w:p>
            <w:pPr>
              <w:pStyle w:val="TableContents"/>
              <w:bidi w:val="0"/>
              <w:spacing w:before="0" w:after="283"/>
              <w:jc w:val="left"/>
              <w:rPr>
                <w:i/>
                <w:sz w:val="20"/>
              </w:rPr>
            </w:pPr>
            <w:r>
              <w:rPr>
                <w:i/>
                <w:sz w:val="20"/>
              </w:rPr>
              <w:t xml:space="preserve">/s/ Rachel Silverstein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625" w:type="dxa"/>
            <w:tcBorders/>
            <w:vAlign w:val="center"/>
          </w:tcPr>
          <w:p>
            <w:pPr>
              <w:pStyle w:val="TableContents"/>
              <w:bidi w:val="0"/>
              <w:spacing w:before="0" w:after="283"/>
              <w:jc w:val="left"/>
              <w:rPr/>
            </w:pPr>
            <w:r>
              <w:rPr/>
              <w:t> </w:t>
            </w:r>
            <w:r>
              <w:rPr>
                <w:sz w:val="20"/>
              </w:rPr>
              <w:t xml:space="preserve">Rachel Silverstein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625" w:type="dxa"/>
            <w:tcBorders/>
            <w:vAlign w:val="center"/>
          </w:tcPr>
          <w:p>
            <w:pPr>
              <w:pStyle w:val="TableContents"/>
              <w:bidi w:val="0"/>
              <w:spacing w:before="0" w:after="283"/>
              <w:jc w:val="left"/>
              <w:rPr/>
            </w:pPr>
            <w:r>
              <w:rPr/>
              <w:t> </w:t>
            </w:r>
            <w:r>
              <w:rPr>
                <w:sz w:val="20"/>
              </w:rPr>
              <w:t xml:space="preserve">General Counsel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20,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 EXHIBIT INDEX</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980"/>
        <w:gridCol w:w="60"/>
        <w:gridCol w:w="3935"/>
      </w:tblGrid>
      <w:tr>
        <w:trPr/>
        <w:tc>
          <w:tcPr>
            <w:tcW w:w="980" w:type="dxa"/>
            <w:tcBorders/>
            <w:vAlign w:val="center"/>
          </w:tcPr>
          <w:p>
            <w:pPr>
              <w:pStyle w:val="TableContents"/>
              <w:bidi w:val="0"/>
              <w:spacing w:before="0" w:after="283"/>
              <w:jc w:val="both"/>
              <w:rPr>
                <w:b/>
                <w:sz w:val="20"/>
              </w:rPr>
            </w:pPr>
            <w:r>
              <w:rPr>
                <w:b/>
                <w:sz w:val="20"/>
              </w:rPr>
              <w:t>Exhibits</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both"/>
              <w:rPr/>
            </w:pPr>
            <w:r>
              <w:rPr/>
              <w:t> </w:t>
            </w:r>
          </w:p>
        </w:tc>
      </w:tr>
      <w:tr>
        <w:trPr/>
        <w:tc>
          <w:tcPr>
            <w:tcW w:w="980" w:type="dxa"/>
            <w:tcBorders>
              <w:bottom w:val="single" w:sz="12" w:space="0" w:color="000000"/>
            </w:tcBorders>
            <w:tcMar>
              <w:bottom w:w="30" w:type="dxa"/>
            </w:tcMar>
            <w:vAlign w:val="center"/>
          </w:tcPr>
          <w:p>
            <w:pPr>
              <w:pStyle w:val="TableContents"/>
              <w:bidi w:val="0"/>
              <w:spacing w:before="0" w:after="283"/>
              <w:jc w:val="both"/>
              <w:rPr>
                <w:sz w:val="20"/>
              </w:rPr>
            </w:pPr>
            <w:r>
              <w:rPr>
                <w:sz w:val="20"/>
              </w:rPr>
              <w:t>Exhibit No.</w:t>
            </w:r>
          </w:p>
        </w:tc>
        <w:tc>
          <w:tcPr>
            <w:tcW w:w="60" w:type="dxa"/>
            <w:tcBorders/>
            <w:vAlign w:val="center"/>
          </w:tcPr>
          <w:p>
            <w:pPr>
              <w:pStyle w:val="TableContents"/>
              <w:bidi w:val="0"/>
              <w:spacing w:before="0" w:after="283"/>
              <w:jc w:val="left"/>
              <w:rPr/>
            </w:pPr>
            <w:r>
              <w:rPr/>
              <w:t> </w:t>
            </w:r>
          </w:p>
        </w:tc>
        <w:tc>
          <w:tcPr>
            <w:tcW w:w="3935" w:type="dxa"/>
            <w:tcBorders>
              <w:bottom w:val="single" w:sz="12" w:space="0" w:color="000000"/>
            </w:tcBorders>
            <w:tcMar>
              <w:bottom w:w="28" w:type="dxa"/>
            </w:tcMar>
            <w:vAlign w:val="center"/>
          </w:tcPr>
          <w:p>
            <w:pPr>
              <w:pStyle w:val="TableContents"/>
              <w:bidi w:val="0"/>
              <w:spacing w:before="0" w:after="283"/>
              <w:jc w:val="both"/>
              <w:rPr>
                <w:sz w:val="20"/>
              </w:rPr>
            </w:pPr>
            <w:r>
              <w:rPr>
                <w:sz w:val="20"/>
              </w:rPr>
              <w:t>Description</w:t>
            </w:r>
          </w:p>
        </w:tc>
      </w:tr>
      <w:tr>
        <w:trPr/>
        <w:tc>
          <w:tcPr>
            <w:tcW w:w="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both"/>
              <w:rPr/>
            </w:pPr>
            <w:r>
              <w:rPr/>
              <w:t> </w:t>
            </w:r>
          </w:p>
        </w:tc>
      </w:tr>
      <w:tr>
        <w:trPr/>
        <w:tc>
          <w:tcPr>
            <w:tcW w:w="980" w:type="dxa"/>
            <w:tcBorders/>
            <w:shd w:fill="CCEEFF" w:val="clear"/>
            <w:vAlign w:val="center"/>
          </w:tcPr>
          <w:p>
            <w:pPr>
              <w:pStyle w:val="TableContents"/>
              <w:bidi w:val="0"/>
              <w:spacing w:before="0" w:after="283"/>
              <w:jc w:val="left"/>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3935" w:type="dxa"/>
            <w:tcBorders/>
            <w:shd w:fill="CCEEFF" w:val="clear"/>
            <w:vAlign w:val="center"/>
          </w:tcPr>
          <w:p>
            <w:pPr>
              <w:pStyle w:val="TableContents"/>
              <w:bidi w:val="0"/>
              <w:spacing w:before="0" w:after="283"/>
              <w:jc w:val="both"/>
              <w:rPr/>
            </w:pPr>
            <w:hyperlink w:anchor="ea028287701ex99-1.htm">
              <w:r>
                <w:rPr>
                  <w:rStyle w:val="InternetLink"/>
                  <w:sz w:val="20"/>
                </w:rPr>
                <w:t>Press Release dated March 20, 2026.</w:t>
              </w:r>
            </w:hyperlink>
          </w:p>
        </w:tc>
      </w:tr>
      <w:tr>
        <w:trPr/>
        <w:tc>
          <w:tcPr>
            <w:tcW w:w="980" w:type="dxa"/>
            <w:tcBorders/>
            <w:shd w:fill="FFFFFF" w:val="clear"/>
            <w:vAlign w:val="center"/>
          </w:tcPr>
          <w:p>
            <w:pPr>
              <w:pStyle w:val="TableContents"/>
              <w:bidi w:val="0"/>
              <w:spacing w:before="0" w:after="283"/>
              <w:jc w:val="left"/>
              <w:rPr>
                <w:sz w:val="20"/>
              </w:rPr>
            </w:pPr>
            <w:r>
              <w:rPr>
                <w:sz w:val="20"/>
              </w:rPr>
              <w:t>99.2</w:t>
            </w:r>
          </w:p>
        </w:tc>
        <w:tc>
          <w:tcPr>
            <w:tcW w:w="60" w:type="dxa"/>
            <w:tcBorders/>
            <w:shd w:fill="FFFFFF" w:val="clear"/>
            <w:vAlign w:val="center"/>
          </w:tcPr>
          <w:p>
            <w:pPr>
              <w:pStyle w:val="TableContents"/>
              <w:bidi w:val="0"/>
              <w:spacing w:before="0" w:after="283"/>
              <w:jc w:val="left"/>
              <w:rPr/>
            </w:pPr>
            <w:r>
              <w:rPr/>
              <w:t> </w:t>
            </w:r>
          </w:p>
        </w:tc>
        <w:tc>
          <w:tcPr>
            <w:tcW w:w="3935" w:type="dxa"/>
            <w:tcBorders/>
            <w:shd w:fill="FFFFFF" w:val="clear"/>
            <w:vAlign w:val="center"/>
          </w:tcPr>
          <w:p>
            <w:pPr>
              <w:pStyle w:val="TableContents"/>
              <w:bidi w:val="0"/>
              <w:spacing w:before="0" w:after="283"/>
              <w:jc w:val="both"/>
              <w:rPr/>
            </w:pPr>
            <w:hyperlink w:anchor="ea028287701ex99-2.htm">
              <w:r>
                <w:rPr>
                  <w:rStyle w:val="InternetLink"/>
                  <w:sz w:val="20"/>
                </w:rPr>
                <w:t>Report on Voting Results dated March 20,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28287701ex99-1.htm"/>
      <w:bookmarkStart w:id="3" w:name="ksea028287701ex991"/>
      <w:bookmarkEnd w:id="2"/>
      <w:bookmarkEnd w:id="3"/>
      <w:r>
        <w:rPr>
          <w:b/>
        </w:rPr>
        <w:t>Exhibit 99.1</w:t>
      </w:r>
      <w:r>
        <w:br w:type="page"/>
      </w:r>
    </w:p>
    <w:p>
      <w:pPr>
        <w:pStyle w:val="TextBody"/>
        <w:bidi w:val="0"/>
        <w:jc w:val="righ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4572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Shareholders Approve U.S. Redomiciliation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Track to Complete U.S. Redomiciliation and Rebrand to Keel Infrastructure on or About April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TORONTO, Ontario and NEW YORK, New York, March 20, 2026 </w:t>
      </w:r>
      <w:r>
        <w:rPr>
          <w:rFonts w:ascii="Times New Roman;Times;Serif" w:hAnsi="Times New Roman;Times;Serif"/>
          <w:b w:val="false"/>
          <w:i w:val="false"/>
          <w:caps w:val="false"/>
          <w:smallCaps w:val="false"/>
          <w:sz w:val="20"/>
        </w:rPr>
        <w:t>-- Bitfarms Ltd. (NASDAQ/TSX: BITF) (“Bitfarms” or the “Company”), a North American digital infrastructure and energy company, today announced that at the special meeting of shareholders (the “Special Meeting”) held earlier today, the Company’s shareholders have voted in favor of a special resolution to approve a statutory plan of arrangement involving the Company and Keel Infrastructure Corp. (the “Arrangement”) pursuant to which the Company will redomicile from Canada to the United States (the “U.S. Redomiciliation”) and rebrand as Keel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Today’s vote is an endorsement of our hard work over the course of more than a year, and an important milestone in our strategic pivot,” said CEO Ben Gagnon. “We restructured the business, rebalanced and grew the portfolio, recruited a team of proven experts, and strengthened our balance sheet which now lets us move with determination and flexibility. We are excited to be moving forward on our U.S. Redomiciliation plan and getting closer to rebranding as Keel Infrastructure. On behalf of the Board and management team, we thank our shareholders for their strong support as we embark on this exciting next chapter.”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approximately 99.3% of votes cast were in favor of the Arrangement. To be effective, the Arrangement required the affirmative vote of at least 66</w:t>
      </w: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of the votes cast by holders of common shares of Bitfarms present in person or represented by proxy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Redomiciliation is expected to be completed on or about April 1, 2026, subject to obtaining court approvals, as well as the satisfaction of all other conditions precedent. The Toronto Stock Exchange (the “TSX”) has conditionally approved the Arrangement and the listing of shares of common stock of Keel Infrastructure (the “Keel Common Stock”). Keel Common Stock is expected to begin trading on Nasdaq and the TSX under the ticker “KEEL” two business days following completion of the U.S. Redomiciliation, subject to fulfilling all of the listing requirements of Nasdaq and the TSX,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details of the results of the Special Meeting will be made available under the Company’s SEDAR+ profile at www.sedarplus.ca, under the Company’s EDGAR profile at www.sec.gov and on the Company’s website at www.bitfarms.com.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is a North American digital infrastructure and energy company that develops and owns data centers and energy infrastructure for high-performance computing workloads, including artificial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2.1 GW North American energy portfolio is comprised of energized, under development, and pipeline MW, located in established data center clusters, with robust access to power and fiber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is headquartered in New York, NY and Toronto, ON and traded on Nasdaq and the Toronto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www.bitfarms.com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http://x.com/Bitfarms_io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https://www.linkedin.com/company/bitfarms/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U.S. Redomiciliation, the benefits of the U.S. Redomiciliation, the anticipated effective date of the U.S. Redomiciliation, the required approvals for the U.S. Redomiciliation, the listing and trading of Keel Common Stock on the Nasdaq and TSX, and other statements regarding future growth, plans and objectives of Bitfarms are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anticipated benefits of the U.S. Redomiciliation, including, but not limited to, expanded access to new capital pools, increased eligibility for index inclusion, strengthened commercial positioning with governmental bodies, utility partners and potential customers, enhanced alignment with U.S. customer requirements for data centers, reduced regulatory and political risk related to critical infrastructure and sensitive-data businesses, greater familiarity of Delaware law to U.S. investors and simplified comparison to other U.S. companies and peers, may not be realized or may not meet the expectations of the Company, may not occur at all, and may have unanticipated costs for the Company; failure to obtain required court approval in a timely manner or on conditions acceptable to the Company or the failure of the U.S. Redomiciliation to be completed for any other reasons (or to be completed in a timely manner); failure to obtain approval from the TSX or satisfy the listing requirements of Nasdaq in a timely manner or at all; incurrence of costs associated with the U.S. Redomiciliation beyond those estimated; unanticipated adverse tax consequences to the Company and Keel Infrastructure Corp. in connection with the U.S. Redomiciliation; the impact on the announcement and pendency of the U.S. Redomiciliation on the Company’s business, results of operations and financial conditions; the anticipated benefits of the rebalancing of operations to North America and the North American energy and compute infrastructure strategy may not be realized or the realization of such benefits may be delayed;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as well as capital market conditions in general; share dilution resulting from equity issuances;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at www.sec.gov), including the Company’s annual information form for the year ended December 31, 2024, management’s discussion &amp; analysis for the year-ended December 31, 2024 and management’s discussion and analysis for the three and nine months ended September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TSX, Nasdaq, or any other securities exchange or regulatory authority accepts responsibility for the adequacy or accuracy of this release.</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345"/>
        <w:gridCol w:w="1760"/>
      </w:tblGrid>
      <w:tr>
        <w:trPr/>
        <w:tc>
          <w:tcPr>
            <w:tcW w:w="2345" w:type="dxa"/>
            <w:tcBorders/>
            <w:vAlign w:val="center"/>
          </w:tcPr>
          <w:p>
            <w:pPr>
              <w:pStyle w:val="TableContents"/>
              <w:bidi w:val="0"/>
              <w:spacing w:before="0" w:after="283"/>
              <w:jc w:val="both"/>
              <w:rPr>
                <w:sz w:val="20"/>
              </w:rPr>
            </w:pPr>
            <w:r>
              <w:rPr>
                <w:b/>
                <w:sz w:val="20"/>
              </w:rPr>
              <w:t>Investor Relations Contact:</w:t>
            </w:r>
            <w:r>
              <w:rPr>
                <w:sz w:val="20"/>
              </w:rPr>
              <w:br/>
              <w:t>Laine Yonker</w:t>
              <w:br/>
              <w:t>investors@bitfarms.com</w:t>
            </w:r>
          </w:p>
        </w:tc>
        <w:tc>
          <w:tcPr>
            <w:tcW w:w="1760" w:type="dxa"/>
            <w:tcBorders/>
            <w:vAlign w:val="center"/>
          </w:tcPr>
          <w:p>
            <w:pPr>
              <w:pStyle w:val="TableContents"/>
              <w:bidi w:val="0"/>
              <w:spacing w:before="0" w:after="283"/>
              <w:jc w:val="both"/>
              <w:rPr>
                <w:sz w:val="20"/>
              </w:rPr>
            </w:pPr>
            <w:r>
              <w:rPr>
                <w:b/>
                <w:sz w:val="20"/>
              </w:rPr>
              <w:t>Media Contact:</w:t>
            </w:r>
            <w:r>
              <w:rPr>
                <w:sz w:val="20"/>
              </w:rPr>
              <w:br/>
              <w:t>Tara Goldstein</w:t>
              <w:br/>
              <w:t>media@bitfarms.com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4" w:name="ea028287701ex99-2.htm"/>
      <w:bookmarkStart w:id="5" w:name="ksea028287701ex992"/>
      <w:bookmarkEnd w:id="4"/>
      <w:bookmarkEnd w:id="5"/>
      <w:r>
        <w:rPr>
          <w:b/>
        </w:rPr>
        <w:t>Exhibit 99.2</w:t>
      </w:r>
      <w:r>
        <w:br w:type="page"/>
      </w:r>
    </w:p>
    <w:p>
      <w:pPr>
        <w:pStyle w:val="TextBody"/>
        <w:bidi w:val="0"/>
        <w:spacing w:before="0" w:after="283"/>
        <w:jc w:val="left"/>
        <w:rPr/>
      </w:pPr>
      <w:r>
        <w:rPr/>
        <w:t> </w:t>
      </w:r>
    </w:p>
    <w:p>
      <w:pPr>
        <w:pStyle w:val="TextBody"/>
        <w:pBdr>
          <w:bottom w:val="single" w:sz="12"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Meeting of</w:t>
        <w:br/>
        <w:t>Shareholders March 20, 2026</w:t>
        <w:br/>
        <w:t>Report on Voting Results</w:t>
      </w:r>
      <w:r>
        <w:rPr>
          <w:rFonts w:ascii="Times New Roman;Times;Serif" w:hAnsi="Times New Roman;Times;Serif"/>
          <w:b w:val="false"/>
          <w:i w:val="false"/>
          <w:caps w:val="false"/>
          <w:smallCaps w:val="false"/>
          <w:sz w:val="20"/>
        </w:rPr>
        <w:br/>
        <w:t>Pursuant to Section 11.3 of</w:t>
        <w:br/>
        <w:t xml:space="preserve">National Instrument 51-102 – </w:t>
      </w:r>
      <w:r>
        <w:rPr>
          <w:rFonts w:ascii="Times New Roman;Times;Serif" w:hAnsi="Times New Roman;Times;Serif"/>
          <w:b w:val="false"/>
          <w:i/>
          <w:caps w:val="false"/>
          <w:smallCaps w:val="false"/>
          <w:sz w:val="20"/>
        </w:rPr>
        <w:t>Continuous Disclosure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of shareholders of Bitfarms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was held on March 20, 2026. Shareholders holding an aggregate of 177,194,069 common shares of the Company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being approximately 29.4% of the issued and outstanding Common Shares as of the record date of February 13, 2026, were present or represented by proxy at the Meeting.</w:t>
      </w:r>
    </w:p>
    <w:p>
      <w:pPr>
        <w:pStyle w:val="TextBody"/>
        <w:bidi w:val="0"/>
        <w:spacing w:before="0" w:after="0"/>
        <w:ind w:left="720" w:right="0" w:hanging="72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15"/>
        <w:gridCol w:w="1445"/>
      </w:tblGrid>
      <w:tr>
        <w:trPr/>
        <w:tc>
          <w:tcPr>
            <w:tcW w:w="215" w:type="dxa"/>
            <w:tcBorders/>
            <w:vAlign w:val="center"/>
          </w:tcPr>
          <w:p>
            <w:pPr>
              <w:pStyle w:val="TableContents"/>
              <w:bidi w:val="0"/>
              <w:spacing w:before="0" w:after="283"/>
              <w:jc w:val="left"/>
              <w:rPr/>
            </w:pPr>
            <w:r>
              <w:rPr/>
              <w:t>1.</w:t>
            </w:r>
          </w:p>
        </w:tc>
        <w:tc>
          <w:tcPr>
            <w:tcW w:w="1445" w:type="dxa"/>
            <w:tcBorders/>
            <w:vAlign w:val="center"/>
          </w:tcPr>
          <w:p>
            <w:pPr>
              <w:pStyle w:val="TableContents"/>
              <w:bidi w:val="0"/>
              <w:spacing w:before="0" w:after="283"/>
              <w:jc w:val="both"/>
              <w:rPr/>
            </w:pPr>
            <w:r>
              <w:rPr/>
              <w:t>Voting Results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resolution authorizing and approving an arrangement involving, among others, the Company (the “</w:t>
      </w:r>
      <w:r>
        <w:rPr>
          <w:rFonts w:ascii="Times New Roman;Times;Serif" w:hAnsi="Times New Roman;Times;Serif"/>
          <w:b/>
          <w:i w:val="false"/>
          <w:caps w:val="false"/>
          <w:smallCaps w:val="false"/>
          <w:sz w:val="20"/>
        </w:rPr>
        <w:t>Arrangement Resolution</w:t>
      </w:r>
      <w:r>
        <w:rPr>
          <w:rFonts w:ascii="Times New Roman;Times;Serif" w:hAnsi="Times New Roman;Times;Serif"/>
          <w:b w:val="false"/>
          <w:i w:val="false"/>
          <w:caps w:val="false"/>
          <w:smallCaps w:val="false"/>
          <w:sz w:val="20"/>
        </w:rPr>
        <w:t>”), as set forth in Appendix A to the management information circular of the Corporation dated February 17, 2026, was voted upon by ballot at the Meeting, and the Arrangement Resolution was passed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Shares:</w:t>
      </w:r>
    </w:p>
    <w:p>
      <w:pPr>
        <w:pStyle w:val="TextBody"/>
        <w:bidi w:val="0"/>
        <w:spacing w:before="0" w:after="0"/>
        <w:ind w:left="0" w:right="0" w:hanging="0"/>
        <w:jc w:val="both"/>
        <w:rPr>
          <w:caps w:val="false"/>
          <w:smallCaps w:val="false"/>
        </w:rPr>
      </w:pPr>
      <w:r>
        <w:rPr>
          <w:caps w:val="false"/>
          <w:smallCaps w:val="false"/>
        </w:rPr>
        <w:t> </w:t>
      </w:r>
    </w:p>
    <w:tbl>
      <w:tblPr>
        <w:tblW w:w="3885" w:type="dxa"/>
        <w:jc w:val="left"/>
        <w:tblInd w:w="-10" w:type="dxa"/>
        <w:tblLayout w:type="fixed"/>
        <w:tblCellMar>
          <w:top w:w="28" w:type="dxa"/>
          <w:left w:w="108" w:type="dxa"/>
          <w:bottom w:w="28" w:type="dxa"/>
          <w:right w:w="108" w:type="dxa"/>
        </w:tblCellMar>
      </w:tblPr>
      <w:tblGrid>
        <w:gridCol w:w="1235"/>
        <w:gridCol w:w="875"/>
        <w:gridCol w:w="994"/>
        <w:gridCol w:w="781"/>
      </w:tblGrid>
      <w:tr>
        <w:trPr/>
        <w:tc>
          <w:tcPr>
            <w:tcW w:w="211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1775"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Votes AGAINST</w:t>
            </w:r>
          </w:p>
        </w:tc>
      </w:tr>
      <w:tr>
        <w:trPr/>
        <w:tc>
          <w:tcPr>
            <w:tcW w:w="12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rPr>
            </w:pPr>
            <w:r>
              <w:rPr>
                <w:b/>
              </w:rPr>
              <w:t>Number</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w:t>
            </w:r>
          </w:p>
        </w:tc>
        <w:tc>
          <w:tcPr>
            <w:tcW w:w="9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Number</w:t>
            </w:r>
          </w:p>
        </w:tc>
        <w:tc>
          <w:tcPr>
            <w:tcW w:w="7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w:t>
            </w:r>
          </w:p>
        </w:tc>
      </w:tr>
      <w:tr>
        <w:trPr/>
        <w:tc>
          <w:tcPr>
            <w:tcW w:w="123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center"/>
              <w:rPr/>
            </w:pPr>
            <w:r>
              <w:rPr/>
              <w:t>176,020,837</w:t>
            </w:r>
          </w:p>
        </w:tc>
        <w:tc>
          <w:tcPr>
            <w:tcW w:w="87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99.338%</w:t>
            </w:r>
          </w:p>
        </w:tc>
        <w:tc>
          <w:tcPr>
            <w:tcW w:w="994"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1,173,232</w:t>
            </w:r>
          </w:p>
        </w:tc>
        <w:tc>
          <w:tcPr>
            <w:tcW w:w="781"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0.662%</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1768</Words>
  <Characters>10186</Characters>
  <CharactersWithSpaces>11982</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