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left="5140"/>
        <w:spacing w:after="0"/>
        <w:rPr>
          <w:sz w:val="20"/>
          <w:szCs w:val="20"/>
          <w:color w:val="auto"/>
        </w:rPr>
      </w:pPr>
      <w:r>
        <w:rPr>
          <w:rFonts w:ascii="Arial" w:cs="Arial" w:eastAsia="Arial" w:hAnsi="Arial"/>
          <w:sz w:val="20"/>
          <w:szCs w:val="2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October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BITFARMS LTD.</w:t>
      </w:r>
    </w:p>
    <w:p>
      <w:pPr>
        <w:spacing w:after="0" w:line="24"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70" w:right="1440" w:bottom="1440" w:gutter="0" w:footer="0" w:header="0"/>
        </w:sectPr>
      </w:pPr>
    </w:p>
    <w:bookmarkStart w:id="1" w:name="page2"/>
    <w:bookmarkEnd w:id="1"/>
    <w:p>
      <w:pPr>
        <w:jc w:val="both"/>
        <w:ind w:right="340"/>
        <w:spacing w:after="0" w:line="263" w:lineRule="auto"/>
        <w:rPr>
          <w:sz w:val="20"/>
          <w:szCs w:val="20"/>
          <w:color w:val="auto"/>
        </w:rPr>
      </w:pPr>
      <w:r>
        <w:rPr>
          <w:rFonts w:ascii="Arial" w:cs="Arial" w:eastAsia="Arial" w:hAnsi="Arial"/>
          <w:sz w:val="18"/>
          <w:szCs w:val="18"/>
          <w:color w:val="auto"/>
        </w:rPr>
        <w:t>On October 4,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0140" w:type="dxa"/>
            <w:vAlign w:val="bottom"/>
          </w:tcPr>
          <w:p>
            <w:pPr>
              <w:spacing w:after="0"/>
              <w:rPr>
                <w:sz w:val="20"/>
                <w:szCs w:val="20"/>
                <w:color w:val="auto"/>
              </w:rPr>
            </w:pP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Exhibit No.</w:t>
            </w:r>
          </w:p>
        </w:tc>
        <w:tc>
          <w:tcPr>
            <w:tcW w:w="10140" w:type="dxa"/>
            <w:vAlign w:val="bottom"/>
          </w:tcPr>
          <w:p>
            <w:pPr>
              <w:ind w:left="260"/>
              <w:spacing w:after="0"/>
              <w:rPr>
                <w:sz w:val="20"/>
                <w:szCs w:val="20"/>
                <w:color w:val="auto"/>
              </w:rPr>
            </w:pPr>
            <w:r>
              <w:rPr>
                <w:rFonts w:ascii="Arial" w:cs="Arial" w:eastAsia="Arial" w:hAnsi="Arial"/>
                <w:sz w:val="18"/>
                <w:szCs w:val="18"/>
                <w:color w:val="auto"/>
              </w:rPr>
              <w:t>Description</w:t>
            </w:r>
          </w:p>
        </w:tc>
      </w:tr>
      <w:tr>
        <w:trPr>
          <w:trHeight w:val="216"/>
        </w:trPr>
        <w:tc>
          <w:tcPr>
            <w:tcW w:w="1100" w:type="dxa"/>
            <w:vAlign w:val="bottom"/>
          </w:tcPr>
          <w:p>
            <w:pPr>
              <w:spacing w:after="0"/>
              <w:rPr>
                <w:sz w:val="18"/>
                <w:szCs w:val="18"/>
                <w:color w:val="auto"/>
              </w:rPr>
            </w:pPr>
          </w:p>
        </w:tc>
        <w:tc>
          <w:tcPr>
            <w:tcW w:w="1014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Material Change Report dated October 4, 2021</w:t>
            </w:r>
          </w:p>
        </w:tc>
      </w:tr>
      <w:tr>
        <w:trPr>
          <w:trHeight w:val="331"/>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355"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October 4, 2021.</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October 4,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355"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 &amp; Director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4" w:name="page5"/>
    <w:bookmarkEnd w:id="4"/>
    <w:p>
      <w:pPr>
        <w:jc w:val="center"/>
        <w:ind w:right="120"/>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14605</wp:posOffset>
            </wp:positionV>
            <wp:extent cx="204025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20"/>
        <w:spacing w:after="0" w:line="251" w:lineRule="auto"/>
        <w:rPr>
          <w:sz w:val="20"/>
          <w:szCs w:val="20"/>
          <w:color w:val="auto"/>
        </w:rPr>
      </w:pPr>
      <w:r>
        <w:rPr>
          <w:rFonts w:ascii="Arial" w:cs="Arial" w:eastAsia="Arial" w:hAnsi="Arial"/>
          <w:sz w:val="32"/>
          <w:szCs w:val="32"/>
          <w:b w:val="1"/>
          <w:bCs w:val="1"/>
          <w:color w:val="303030"/>
        </w:rPr>
        <w:t>Bitfarms Expands Québec Mining Operations with 13 Megawatts of Hydro Power and Exceeds 1.6 EH/s Corporate Hashrate</w:t>
      </w:r>
    </w:p>
    <w:p>
      <w:pPr>
        <w:spacing w:after="0" w:line="2" w:lineRule="exact"/>
        <w:rPr>
          <w:sz w:val="20"/>
          <w:szCs w:val="20"/>
          <w:color w:val="auto"/>
        </w:rPr>
      </w:pPr>
    </w:p>
    <w:p>
      <w:pPr>
        <w:ind w:left="3080" w:hanging="101"/>
        <w:spacing w:after="0"/>
        <w:tabs>
          <w:tab w:leader="none" w:pos="3080" w:val="left"/>
        </w:tabs>
        <w:numPr>
          <w:ilvl w:val="0"/>
          <w:numId w:val="1"/>
        </w:numPr>
        <w:rPr>
          <w:rFonts w:ascii="Arial" w:cs="Arial" w:eastAsia="Arial" w:hAnsi="Arial"/>
          <w:sz w:val="18"/>
          <w:szCs w:val="18"/>
          <w:color w:val="303030"/>
        </w:rPr>
      </w:pPr>
      <w:r>
        <w:rPr>
          <w:rFonts w:ascii="Arial" w:cs="Arial" w:eastAsia="Arial" w:hAnsi="Arial"/>
          <w:sz w:val="18"/>
          <w:szCs w:val="18"/>
          <w:b w:val="1"/>
          <w:bCs w:val="1"/>
          <w:color w:val="303030"/>
        </w:rPr>
        <w:t>Increases capacity at Cowansville, Québec, from 4 MW to 17 MW –</w:t>
      </w:r>
    </w:p>
    <w:p>
      <w:pPr>
        <w:spacing w:after="0" w:line="7" w:lineRule="exact"/>
        <w:rPr>
          <w:rFonts w:ascii="Arial" w:cs="Arial" w:eastAsia="Arial" w:hAnsi="Arial"/>
          <w:sz w:val="18"/>
          <w:szCs w:val="18"/>
          <w:color w:val="303030"/>
        </w:rPr>
      </w:pPr>
    </w:p>
    <w:p>
      <w:pPr>
        <w:ind w:left="3700" w:hanging="101"/>
        <w:spacing w:after="0"/>
        <w:tabs>
          <w:tab w:leader="none" w:pos="3700" w:val="left"/>
        </w:tabs>
        <w:numPr>
          <w:ilvl w:val="2"/>
          <w:numId w:val="1"/>
        </w:numPr>
        <w:rPr>
          <w:rFonts w:ascii="Arial" w:cs="Arial" w:eastAsia="Arial" w:hAnsi="Arial"/>
          <w:sz w:val="18"/>
          <w:szCs w:val="18"/>
          <w:color w:val="303030"/>
        </w:rPr>
      </w:pPr>
      <w:r>
        <w:rPr>
          <w:rFonts w:ascii="Arial" w:cs="Arial" w:eastAsia="Arial" w:hAnsi="Arial"/>
          <w:sz w:val="18"/>
          <w:szCs w:val="18"/>
          <w:b w:val="1"/>
          <w:bCs w:val="1"/>
          <w:color w:val="303030"/>
        </w:rPr>
        <w:t>Receives and installs 450 Bitmain S19j Pro miners -</w:t>
      </w:r>
    </w:p>
    <w:p>
      <w:pPr>
        <w:spacing w:after="0" w:line="9" w:lineRule="exact"/>
        <w:rPr>
          <w:rFonts w:ascii="Arial" w:cs="Arial" w:eastAsia="Arial" w:hAnsi="Arial"/>
          <w:sz w:val="18"/>
          <w:szCs w:val="18"/>
          <w:color w:val="303030"/>
        </w:rPr>
      </w:pPr>
    </w:p>
    <w:p>
      <w:pPr>
        <w:ind w:left="3360" w:hanging="111"/>
        <w:spacing w:after="0"/>
        <w:tabs>
          <w:tab w:leader="none" w:pos="3360" w:val="left"/>
        </w:tabs>
        <w:numPr>
          <w:ilvl w:val="1"/>
          <w:numId w:val="1"/>
        </w:numPr>
        <w:rPr>
          <w:rFonts w:ascii="Arial" w:cs="Arial" w:eastAsia="Arial" w:hAnsi="Arial"/>
          <w:sz w:val="18"/>
          <w:szCs w:val="18"/>
          <w:color w:val="303030"/>
        </w:rPr>
      </w:pPr>
      <w:r>
        <w:rPr>
          <w:rFonts w:ascii="Arial" w:cs="Arial" w:eastAsia="Arial" w:hAnsi="Arial"/>
          <w:sz w:val="18"/>
          <w:szCs w:val="18"/>
          <w:b w:val="1"/>
          <w:bCs w:val="1"/>
          <w:color w:val="303030"/>
        </w:rPr>
        <w:t>Boosts hashrate by approximately 100 Petahash per second -</w:t>
      </w:r>
    </w:p>
    <w:p>
      <w:pPr>
        <w:spacing w:after="0" w:line="21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545454"/>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(October 4,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Bitcoin mining company increased its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hashrate to over 1.6 Exahash per second (EH/s) through the expansion of operations at its Cowansville, Québec, facility and the installation of 450 newly arrived Bitmain S19j Pro miners.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“Bitfarms is committed to developing the cost-effective infrastructure to support the 55,000 new generation Bitcoin mining machines scheduled to be delivered between now and the end of 2022,” said Emiliano Grodzki, CEO of Bitfarms. “As Bitfarms upgrades its miner fleet and existing facilities while expanding into new geographies, we will continue to increase our ability to produce Bitcoin with greater efficiency across decentralized operations. Cowansville broadens our footprint in Canada and marks our first new capacity build-out in Québec in 2021. This is one of many projects that excite us about our growth opportunities and supports our goal of achieving 3 EH/s by the end of first quarter of 2022 and 8 EH/s by the end of 2022.”</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Cowansville expansion is a completely new 17 MW facility, which replaces Bitfarms first Bitcoin mining facility of 4 MW constructed in 2017. Leveraging 4 years of experience, design, and engineering advances, this facility is expected to generate greater operating efficiencies, more robust capabilities, better controls, and lower sound emissions.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Hydro Québec has commenced delivering power to the facility, effective as of October 1, 2021. The expansion increases Bitfarms’ operational mining infrastructure in Quebec approximately 19% to 82 MW. Through the redeployment of existing miners and the installation of an additional 450 Bitmain S19j Pro miners, Bitfarms has increased the corporate hashrate from approximately 1.5 EH/s to approximately 1.6 EH/s.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 owned electrical engineering and installation services to deliver high operational performance and uptime.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In addition, Bitfarms has announced new high power production facilities will be built in Québec, Paraguay, and Argentina. Bitfarms is currently the only publicly traded pure-play mining company audited by a Big Four audit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444444"/>
        </w:rPr>
        <w:t xml:space="preserve">Website: </w:t>
      </w:r>
      <w:r>
        <w:rPr>
          <w:rFonts w:ascii="Arial" w:cs="Arial" w:eastAsia="Arial" w:hAnsi="Arial"/>
          <w:sz w:val="18"/>
          <w:szCs w:val="18"/>
          <w:color w:val="489ED5"/>
        </w:rPr>
        <w:t>www.bitfarms.com</w:t>
      </w:r>
    </w:p>
    <w:p>
      <w:pPr>
        <w:spacing w:after="0" w:line="225" w:lineRule="exact"/>
        <w:rPr>
          <w:sz w:val="20"/>
          <w:szCs w:val="20"/>
          <w:color w:val="auto"/>
        </w:rPr>
      </w:pPr>
    </w:p>
    <w:p>
      <w:pPr>
        <w:ind w:right="3500"/>
        <w:spacing w:after="0" w:line="277" w:lineRule="auto"/>
        <w:rPr>
          <w:sz w:val="20"/>
          <w:szCs w:val="20"/>
          <w:color w:val="auto"/>
        </w:rPr>
      </w:pPr>
      <w:r>
        <w:rPr>
          <w:rFonts w:ascii="Arial" w:cs="Arial" w:eastAsia="Arial" w:hAnsi="Arial"/>
          <w:sz w:val="18"/>
          <w:szCs w:val="18"/>
          <w:color w:val="489ED5"/>
        </w:rPr>
        <w:t>https://www.facebook.com/bitfarms/ https://twitter.com/Bitfarms_io https://www.instagram.com/bitfarms/ https://www.linkedin.com/company/bitfarms/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444444"/>
        </w:rPr>
        <w:t>MW – Megawatt - A megawatt is a unit for measuring power that is equivalent to one million watts.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444444"/>
        </w:rPr>
        <w:t>PH – Petahash per second. EX – Exahash per second.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444"/>
        </w:rPr>
        <w:t>Cautionary Statement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444444"/>
        </w:rPr>
        <w:t xml:space="preserve">Trading in the securities of the Company should be considered highly speculative. No stock exchange, securities commission or other regulatory authority has approved or </w:t>
      </w:r>
      <w:r>
        <w:rPr>
          <w:rFonts w:ascii="Arial" w:cs="Arial" w:eastAsia="Arial" w:hAnsi="Arial"/>
          <w:sz w:val="18"/>
          <w:szCs w:val="18"/>
          <w:color w:val="444444"/>
        </w:rPr>
        <w:t>disapproved the information contained herein. Neither the TSX Venture Exchange nor its Regulation Services Provider (as that term is</w:t>
      </w:r>
      <w:r>
        <w:rPr>
          <w:rFonts w:ascii="Arial" w:cs="Arial" w:eastAsia="Arial" w:hAnsi="Arial"/>
          <w:sz w:val="18"/>
          <w:szCs w:val="18"/>
          <w:i w:val="1"/>
          <w:iCs w:val="1"/>
          <w:color w:val="444444"/>
        </w:rPr>
        <w:t xml:space="preserve"> </w:t>
      </w:r>
      <w:r>
        <w:rPr>
          <w:rFonts w:ascii="Arial" w:cs="Arial" w:eastAsia="Arial" w:hAnsi="Arial"/>
          <w:sz w:val="18"/>
          <w:szCs w:val="18"/>
          <w:color w:val="444444"/>
        </w:rPr>
        <w:t>defined in the policies of the TSX Venture Exchange), Nasdaq, or any other securities exchange or regulatory authority accepts responsibility for the adequacy or accuracy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444444"/>
        </w:rPr>
        <w:t>Forward-Looking Statements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444444"/>
        </w:rPr>
        <w:t>This news release contains certain “forward-looking information” and “forward-looking statements” (collectively, “forward-looking information”) that are based on expectations, estimates and projections as at the date of this news release. The information in this release regarding expectations in respect to investor relation services, its expansion plans,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444444"/>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444444"/>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w:t>
      </w:r>
    </w:p>
    <w:p>
      <w:pPr>
        <w:spacing w:after="0" w:line="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444444"/>
        </w:rPr>
        <w:t xml:space="preserve">deterioration impeding access to capital or increasing the cost of capital; dilution in relation to the Company’s at-the-market offering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Arial" w:cs="Arial" w:eastAsia="Arial" w:hAnsi="Arial"/>
          <w:sz w:val="16"/>
          <w:szCs w:val="16"/>
          <w:i w:val="1"/>
          <w:iCs w:val="1"/>
          <w:color w:val="0562C1"/>
        </w:rPr>
        <w:t>www.SEDAR.com</w:t>
      </w:r>
      <w:r>
        <w:rPr>
          <w:rFonts w:ascii="Arial" w:cs="Arial" w:eastAsia="Arial" w:hAnsi="Arial"/>
          <w:sz w:val="16"/>
          <w:szCs w:val="16"/>
          <w:i w:val="1"/>
          <w:iCs w:val="1"/>
          <w:color w:val="444444"/>
        </w:rPr>
        <w:t xml:space="preserve">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Relations: 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03030"/>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562C1"/>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Mia Grodsky, Account Executive </w:t>
      </w:r>
      <w:r>
        <w:rPr>
          <w:rFonts w:ascii="Arial" w:cs="Arial" w:eastAsia="Arial" w:hAnsi="Arial"/>
          <w:sz w:val="18"/>
          <w:szCs w:val="18"/>
          <w:color w:val="0562C1"/>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Valérie Pomerleau, Public Affairs and Communications </w:t>
      </w:r>
      <w:r>
        <w:rPr>
          <w:rFonts w:ascii="Arial" w:cs="Arial" w:eastAsia="Arial" w:hAnsi="Arial"/>
          <w:sz w:val="16"/>
          <w:szCs w:val="16"/>
          <w:color w:val="0562C1"/>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2021-10-04T16:10:06Z</dcterms:created>
  <dcterms:modified xsi:type="dcterms:W3CDTF">2021-10-04T16:10:06Z</dcterms:modified>
</cp:coreProperties>
</file>