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04791-6k_bitfarms.htm"/>
      <w:bookmarkStart w:id="1" w:name="ksea02047916k_bitfarms"/>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2024</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001-40370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BITFARMS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 Yonge Street, Suite 1601, Toronto, Ontario, Canada M5C 1T4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979"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INCORPORATION BY REFERENCE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2024, the Registrant filed with the Canadian Securities Regulatory Authorities on the System for Electronic Data Analysis and Retrieval (SEDAR+) a press release, a copy of which is attached hereto as Exhibit 99.1, and which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980"/>
        <w:gridCol w:w="60"/>
        <w:gridCol w:w="2765"/>
      </w:tblGrid>
      <w:tr>
        <w:trPr/>
        <w:tc>
          <w:tcPr>
            <w:tcW w:w="980" w:type="dxa"/>
            <w:tcBorders/>
            <w:vAlign w:val="center"/>
          </w:tcPr>
          <w:p>
            <w:pPr>
              <w:pStyle w:val="TableContents"/>
              <w:bidi w:val="0"/>
              <w:spacing w:before="0" w:after="283"/>
              <w:jc w:val="both"/>
              <w:rPr>
                <w:b/>
                <w:sz w:val="20"/>
              </w:rPr>
            </w:pPr>
            <w:r>
              <w:rPr>
                <w:b/>
                <w:sz w:val="20"/>
              </w:rPr>
              <w:t>Exhibits</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both"/>
              <w:rPr/>
            </w:pPr>
            <w:r>
              <w:rPr/>
              <w:t> </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both"/>
              <w:rPr/>
            </w:pPr>
            <w:r>
              <w:rPr/>
              <w:t> </w:t>
            </w:r>
          </w:p>
        </w:tc>
      </w:tr>
      <w:tr>
        <w:trPr/>
        <w:tc>
          <w:tcPr>
            <w:tcW w:w="980" w:type="dxa"/>
            <w:tcBorders>
              <w:bottom w:val="single" w:sz="12" w:space="0" w:color="000000"/>
            </w:tcBorders>
            <w:tcMar>
              <w:bottom w:w="28" w:type="dxa"/>
            </w:tcMar>
            <w:vAlign w:val="center"/>
          </w:tcPr>
          <w:p>
            <w:pPr>
              <w:pStyle w:val="TableContents"/>
              <w:bidi w:val="0"/>
              <w:spacing w:before="0" w:after="283"/>
              <w:jc w:val="both"/>
              <w:rPr>
                <w:sz w:val="20"/>
              </w:rPr>
            </w:pPr>
            <w:r>
              <w:rPr>
                <w:sz w:val="20"/>
              </w:rPr>
              <w:t>Exhibit No.</w:t>
            </w:r>
          </w:p>
        </w:tc>
        <w:tc>
          <w:tcPr>
            <w:tcW w:w="60" w:type="dxa"/>
            <w:tcBorders/>
            <w:vAlign w:val="center"/>
          </w:tcPr>
          <w:p>
            <w:pPr>
              <w:pStyle w:val="TableContents"/>
              <w:bidi w:val="0"/>
              <w:spacing w:before="0" w:after="283"/>
              <w:jc w:val="left"/>
              <w:rPr/>
            </w:pPr>
            <w:r>
              <w:rPr/>
              <w:t> </w:t>
            </w:r>
          </w:p>
        </w:tc>
        <w:tc>
          <w:tcPr>
            <w:tcW w:w="2765" w:type="dxa"/>
            <w:tcBorders>
              <w:bottom w:val="single" w:sz="12" w:space="0" w:color="000000"/>
            </w:tcBorders>
            <w:tcMar>
              <w:bottom w:w="28" w:type="dxa"/>
            </w:tcMar>
            <w:vAlign w:val="center"/>
          </w:tcPr>
          <w:p>
            <w:pPr>
              <w:pStyle w:val="TableContents"/>
              <w:bidi w:val="0"/>
              <w:spacing w:before="0" w:after="283"/>
              <w:jc w:val="both"/>
              <w:rPr>
                <w:sz w:val="20"/>
              </w:rPr>
            </w:pPr>
            <w:r>
              <w:rPr>
                <w:sz w:val="20"/>
              </w:rPr>
              <w:t>Description</w:t>
            </w:r>
          </w:p>
        </w:tc>
      </w:tr>
      <w:tr>
        <w:trPr/>
        <w:tc>
          <w:tcPr>
            <w:tcW w:w="9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both"/>
              <w:rPr/>
            </w:pPr>
            <w:r>
              <w:rPr/>
              <w:t> </w:t>
            </w:r>
          </w:p>
        </w:tc>
      </w:tr>
      <w:tr>
        <w:trPr/>
        <w:tc>
          <w:tcPr>
            <w:tcW w:w="980" w:type="dxa"/>
            <w:tcBorders/>
            <w:shd w:fill="CCEEFF" w:val="clear"/>
            <w:vAlign w:val="center"/>
          </w:tcPr>
          <w:p>
            <w:pPr>
              <w:pStyle w:val="TableContents"/>
              <w:bidi w:val="0"/>
              <w:spacing w:before="0" w:after="283"/>
              <w:jc w:val="both"/>
              <w:rPr>
                <w:sz w:val="20"/>
              </w:rPr>
            </w:pPr>
            <w:r>
              <w:rPr>
                <w:sz w:val="20"/>
              </w:rPr>
              <w:t>99.1</w:t>
            </w:r>
          </w:p>
        </w:tc>
        <w:tc>
          <w:tcPr>
            <w:tcW w:w="60" w:type="dxa"/>
            <w:tcBorders/>
            <w:shd w:fill="CCEEFF" w:val="clear"/>
            <w:vAlign w:val="center"/>
          </w:tcPr>
          <w:p>
            <w:pPr>
              <w:pStyle w:val="TableContents"/>
              <w:bidi w:val="0"/>
              <w:spacing w:before="0" w:after="283"/>
              <w:jc w:val="left"/>
              <w:rPr/>
            </w:pPr>
            <w:r>
              <w:rPr/>
              <w:t> </w:t>
            </w:r>
          </w:p>
        </w:tc>
        <w:tc>
          <w:tcPr>
            <w:tcW w:w="2765" w:type="dxa"/>
            <w:tcBorders/>
            <w:shd w:fill="CCEEFF" w:val="clear"/>
            <w:vAlign w:val="center"/>
          </w:tcPr>
          <w:p>
            <w:pPr>
              <w:pStyle w:val="TableContents"/>
              <w:bidi w:val="0"/>
              <w:spacing w:before="0" w:after="283"/>
              <w:jc w:val="both"/>
              <w:rPr/>
            </w:pPr>
            <w:hyperlink w:anchor="ea020479101ex99-1_bitfarms.htm">
              <w:r>
                <w:rPr>
                  <w:rStyle w:val="InternetLink"/>
                  <w:sz w:val="20"/>
                </w:rPr>
                <w:t>Press release dated April 26, 2024</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160" w:right="0" w:hanging="0"/>
        <w:jc w:val="lef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75"/>
        <w:gridCol w:w="365"/>
        <w:gridCol w:w="650"/>
        <w:gridCol w:w="3695"/>
      </w:tblGrid>
      <w:tr>
        <w:trPr/>
        <w:tc>
          <w:tcPr>
            <w:tcW w:w="75" w:type="dxa"/>
            <w:tcBorders/>
            <w:vAlign w:val="center"/>
          </w:tcPr>
          <w:p>
            <w:pPr>
              <w:pStyle w:val="TableContents"/>
              <w:bidi w:val="0"/>
              <w:spacing w:before="0" w:after="283"/>
              <w:jc w:val="left"/>
              <w:rPr/>
            </w:pPr>
            <w:r>
              <w:rPr/>
              <w:t> </w:t>
            </w:r>
          </w:p>
        </w:tc>
        <w:tc>
          <w:tcPr>
            <w:tcW w:w="4710" w:type="dxa"/>
            <w:gridSpan w:val="3"/>
            <w:tcBorders/>
            <w:vAlign w:val="center"/>
          </w:tcPr>
          <w:p>
            <w:pPr>
              <w:pStyle w:val="TableContents"/>
              <w:bidi w:val="0"/>
              <w:spacing w:before="0" w:after="283"/>
              <w:jc w:val="left"/>
              <w:rPr>
                <w:b/>
              </w:rPr>
            </w:pPr>
            <w:r>
              <w:rPr>
                <w:b/>
              </w:rPr>
              <w:t>BITFARMS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345" w:type="dxa"/>
            <w:gridSpan w:val="2"/>
            <w:tcBorders>
              <w:bottom w:val="single" w:sz="12" w:space="0" w:color="000000"/>
            </w:tcBorders>
            <w:tcMar>
              <w:bottom w:w="28" w:type="dxa"/>
            </w:tcMar>
            <w:vAlign w:val="center"/>
          </w:tcPr>
          <w:p>
            <w:pPr>
              <w:pStyle w:val="TableContents"/>
              <w:bidi w:val="0"/>
              <w:spacing w:before="0" w:after="283"/>
              <w:jc w:val="left"/>
              <w:rPr/>
            </w:pPr>
            <w:r>
              <w:rPr/>
              <w:t>/s/ L. Geoffrey Morphy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695" w:type="dxa"/>
            <w:tcBorders/>
            <w:vAlign w:val="center"/>
          </w:tcPr>
          <w:p>
            <w:pPr>
              <w:pStyle w:val="TableContents"/>
              <w:bidi w:val="0"/>
              <w:spacing w:before="0" w:after="283"/>
              <w:jc w:val="left"/>
              <w:rPr/>
            </w:pPr>
            <w:r>
              <w:rPr/>
              <w:t> </w:t>
            </w:r>
            <w:r>
              <w:rPr/>
              <w:t>L. Geoffrey Morphy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95" w:type="dxa"/>
            <w:tcBorders/>
            <w:vAlign w:val="center"/>
          </w:tcPr>
          <w:p>
            <w:pPr>
              <w:pStyle w:val="TableContents"/>
              <w:bidi w:val="0"/>
              <w:spacing w:before="0" w:after="283"/>
              <w:jc w:val="left"/>
              <w:rPr/>
            </w:pPr>
            <w:r>
              <w:rPr/>
              <w:t> </w:t>
            </w:r>
            <w:r>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26, 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0479101ex99-1_bitfarms.htm"/>
      <w:bookmarkStart w:id="3" w:name="ksea020479101ex991_bitfarms"/>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5742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590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Bitfarms Schedules First Quarter 2024 Conference Call on </w:t>
        <w:br/>
        <w:t>May 13, 2024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TORONTO and BROSSARD, Québec, April 26, 2024</w:t>
      </w:r>
      <w:r>
        <w:rPr>
          <w:rFonts w:ascii="Times New Roman;Times;Serif" w:hAnsi="Times New Roman;Times;Serif"/>
          <w:b w:val="false"/>
          <w:i w:val="false"/>
          <w:caps w:val="false"/>
          <w:smallCaps w:val="false"/>
          <w:sz w:val="20"/>
        </w:rPr>
        <w:t xml:space="preserve"> -- Bitfarms Ltd. (NASDAQ/TSX: BITF), a global vertically integrated Bitcoin mining company, will report its first quarter 2024 financial results on Monday May13, 2024, before the market opens. Management will host a conference call on the same day at 8:00 am EST. A presentation of the Q1 2024 results will be accessible before the call on the Investor website and can be accessed here.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Participants may join by calling 877-545-0523 (domestic) or 973-528-0016 (international) and referencing access code </w:t>
      </w:r>
      <w:r>
        <w:rPr>
          <w:rFonts w:ascii="Times New Roman;Times;Serif" w:hAnsi="Times New Roman;Times;Serif"/>
          <w:b/>
          <w:i w:val="false"/>
          <w:caps w:val="false"/>
          <w:smallCaps w:val="false"/>
          <w:sz w:val="20"/>
        </w:rPr>
        <w:t xml:space="preserve">878603. </w:t>
      </w:r>
      <w:r>
        <w:rPr>
          <w:rFonts w:ascii="Times New Roman;Times;Serif" w:hAnsi="Times New Roman;Times;Serif"/>
          <w:b w:val="false"/>
          <w:i w:val="false"/>
          <w:caps w:val="false"/>
          <w:smallCaps w:val="false"/>
          <w:sz w:val="20"/>
        </w:rPr>
        <w:t>If you do not have the code, then you may reference the Bitfarms’ Q1 2024 results conference call.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conference call will also be available through a live webcast found here.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webcast replay can be accessed in the Events section of our Investor website approximately one hour after the call. An audio replay will be available through June 3, 2024, and can be accessed at 877-481-4010 (domestic), or 919-882-2331 (international), using access code 50495.</w:t>
      </w:r>
    </w:p>
    <w:p>
      <w:pPr>
        <w:pStyle w:val="TextBody"/>
        <w:bidi w:val="0"/>
        <w:spacing w:before="0" w:after="0"/>
        <w:ind w:left="11" w:right="0" w:hanging="11"/>
        <w:jc w:val="left"/>
        <w:rPr>
          <w:caps w:val="false"/>
          <w:smallCaps w:val="false"/>
        </w:rPr>
      </w:pPr>
      <w:r>
        <w:rPr>
          <w:caps w:val="false"/>
          <w:smallCaps w:val="false"/>
        </w:rPr>
        <w:t> </w:t>
      </w:r>
    </w:p>
    <w:p>
      <w:pPr>
        <w:pStyle w:val="TextBody"/>
        <w:bidi w:val="0"/>
        <w:spacing w:before="0" w:after="0"/>
        <w:ind w:left="11" w:right="0" w:hanging="11"/>
        <w:jc w:val="left"/>
        <w:rPr>
          <w:rFonts w:ascii="Times New Roman;Times;Serif" w:hAnsi="Times New Roman;Times;Serif"/>
          <w:b/>
          <w:i w:val="false"/>
          <w:caps w:val="false"/>
          <w:smallCaps w:val="false"/>
          <w:sz w:val="20"/>
          <w:shd w:fill="FEFEFE" w:val="clear"/>
        </w:rPr>
      </w:pPr>
      <w:r>
        <w:rPr>
          <w:rFonts w:ascii="Times New Roman;Times;Serif" w:hAnsi="Times New Roman;Times;Serif"/>
          <w:b/>
          <w:i w:val="false"/>
          <w:caps w:val="false"/>
          <w:smallCaps w:val="false"/>
          <w:sz w:val="20"/>
          <w:shd w:fill="FEFEFE" w:val="clear"/>
        </w:rPr>
        <w:t>About Bitfarms Ltd.</w:t>
      </w:r>
    </w:p>
    <w:p>
      <w:pPr>
        <w:pStyle w:val="TextBody"/>
        <w:shd w:fill="FEFEFE" w:val="clear"/>
        <w:bidi w:val="0"/>
        <w:spacing w:before="0" w:after="0"/>
        <w:ind w:left="11" w:right="0" w:hanging="11"/>
        <w:jc w:val="left"/>
        <w:rPr>
          <w:caps w:val="false"/>
          <w:smallCaps w:val="false"/>
        </w:rPr>
      </w:pPr>
      <w:r>
        <w:rPr>
          <w:caps w:val="false"/>
          <w:smallCaps w:val="false"/>
        </w:rPr>
        <w:t> </w:t>
      </w:r>
    </w:p>
    <w:p>
      <w:pPr>
        <w:pStyle w:val="TextBody"/>
        <w:shd w:fill="FEFEFE" w:val="clear"/>
        <w:bidi w:val="0"/>
        <w:spacing w:before="0" w:after="0"/>
        <w:ind w:left="11" w:right="0" w:hanging="1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pStyle w:val="TextBody"/>
        <w:shd w:fill="FEFEFE" w:val="clear"/>
        <w:bidi w:val="0"/>
        <w:spacing w:before="0" w:after="0"/>
        <w:ind w:left="11" w:right="0" w:hanging="11"/>
        <w:jc w:val="both"/>
        <w:rPr>
          <w:caps w:val="false"/>
          <w:smallCaps w:val="false"/>
        </w:rPr>
      </w:pPr>
      <w:r>
        <w:rPr>
          <w:caps w:val="false"/>
          <w:smallCaps w:val="false"/>
        </w:rPr>
        <w:t> </w:t>
      </w:r>
    </w:p>
    <w:p>
      <w:pPr>
        <w:pStyle w:val="TextBody"/>
        <w:shd w:fill="FEFEFE" w:val="clear"/>
        <w:bidi w:val="0"/>
        <w:spacing w:before="0" w:after="0"/>
        <w:ind w:left="11" w:right="0" w:hanging="1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currently has 11 operating Bitcoin mining facilities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pStyle w:val="TextBody"/>
        <w:shd w:fill="FEFEFE" w:val="clear"/>
        <w:bidi w:val="0"/>
        <w:spacing w:before="0" w:after="0"/>
        <w:ind w:left="11" w:right="0" w:hanging="11"/>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Bitfarms’ events, developments, and online communities:</w:t>
      </w:r>
    </w:p>
    <w:p>
      <w:pPr>
        <w:pStyle w:val="TextBody"/>
        <w:shd w:fill="FEFEFE" w:val="clear"/>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www.bitfarms.com</w:t>
      </w:r>
    </w:p>
    <w:p>
      <w:pPr>
        <w:pStyle w:val="TextBody"/>
        <w:shd w:fill="FEFEFE"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https://www.facebook.com/bitfarms/</w:t>
      </w:r>
    </w:p>
    <w:p>
      <w:pPr>
        <w:pStyle w:val="TextBody"/>
        <w:shd w:fill="FEFEFE"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https://twitter.com/Bitfarms_io</w:t>
        <w:br/>
        <w:t>https://www.instagram.com/bitfarms/</w:t>
        <w:br/>
        <w:t>https://www.linkedin.com/company/bitfarms/</w:t>
      </w:r>
    </w:p>
    <w:p>
      <w:pPr>
        <w:pStyle w:val="TextBody"/>
        <w:shd w:fill="FEFEFE"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Krumme (Bitfarms)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+1 786-671-5638</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tkrumme@bitfarms.com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Barnard (LHA)</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+1 415-433-3777</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Investors@bitfarms.com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Agency</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Khushboo Chaudhary</w:t>
        <w:br/>
        <w:t>+1 646-373-9946</w:t>
      </w:r>
      <w:r>
        <w:rPr>
          <w:rFonts w:ascii="Times New Roman;Times;Serif" w:hAnsi="Times New Roman;Times;Serif"/>
          <w:b/>
          <w:i w:val="false"/>
          <w:caps w:val="false"/>
          <w:smallCaps w:val="false"/>
          <w:sz w:val="20"/>
        </w:rPr>
        <w:br/>
        <w:t>mediarelations@bitfarms.com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Québec Media: Tact</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Louis-Martin Leclerc</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+1 418-693-2425</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lmleclerc@tactconseil.ca</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535</Words>
  <Characters>3261</Characters>
  <CharactersWithSpaces>3823</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