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4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including the interim condensed consolidated financial statements for the three and six months ended June 30, 2024 and management’s discussion and analysis for the three and six months ended June 30, 2024, shall be deemed to be incorporated by reference as exhibits to the Registration Statement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 and to be a part thereof from the date on which this report was furnished, to the extent not superseded by documents or reports subsequently filed or furnished.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6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for the three and six months ended June 30, 2024</w:t>
            </w:r>
          </w:p>
        </w:tc>
      </w:tr>
      <w:tr>
        <w:trPr>
          <w:trHeight w:val="176"/>
        </w:trPr>
        <w:tc>
          <w:tcPr>
            <w:tcW w:w="102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75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&amp; Analysis for the three and six months ended June 30, 2024</w:t>
            </w:r>
          </w:p>
        </w:tc>
        <w:tc>
          <w:tcPr>
            <w:tcW w:w="260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CEO Certification of Interim Filings - Interim Certificate dated August 8, 2024</w:t>
            </w:r>
          </w:p>
        </w:tc>
      </w:tr>
      <w:tr>
        <w:trPr>
          <w:trHeight w:val="175"/>
        </w:trPr>
        <w:tc>
          <w:tcPr>
            <w:tcW w:w="102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CEEFF"/>
            </w:tcBorders>
          </w:tcPr>
          <w:p>
            <w:pPr>
              <w:spacing w:after="0"/>
              <w:rPr>
                <w:sz w:val="15"/>
                <w:szCs w:val="15"/>
                <w:color w:val="auto"/>
              </w:rPr>
            </w:pPr>
          </w:p>
        </w:tc>
        <w:tc>
          <w:tcPr>
            <w:tcW w:w="570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CFO Certification of Interim Filings - Interim Certificate dated August 8, 2024</w:t>
            </w:r>
          </w:p>
        </w:tc>
        <w:tc>
          <w:tcPr>
            <w:tcW w:w="4400" w:type="dxa"/>
            <w:vAlign w:val="bottom"/>
            <w:tcBorders>
              <w:top w:val="single" w:sz="8" w:color="CCEEFF"/>
            </w:tcBorders>
            <w:gridSpan w:val="3"/>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August 8, 2024</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320" w:type="dxa"/>
            <w:vAlign w:val="bottom"/>
            <w:tcBorders>
              <w:top w:val="single" w:sz="8" w:color="0000EE"/>
              <w:bottom w:val="single" w:sz="8" w:color="auto"/>
            </w:tcBorders>
          </w:tcPr>
          <w:p>
            <w:pPr>
              <w:spacing w:after="0"/>
              <w:rPr>
                <w:sz w:val="24"/>
                <w:szCs w:val="24"/>
                <w:color w:val="auto"/>
              </w:rPr>
            </w:pPr>
          </w:p>
        </w:tc>
        <w:tc>
          <w:tcPr>
            <w:tcW w:w="2380" w:type="dxa"/>
            <w:vAlign w:val="bottom"/>
            <w:tcBorders>
              <w:top w:val="single" w:sz="8" w:color="CCEEFF"/>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1665605</wp:posOffset>
            </wp:positionV>
            <wp:extent cx="257175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7175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2503170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gridSpan w:val="5"/>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4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900" w:type="dxa"/>
            <w:vAlign w:val="bottom"/>
            <w:gridSpan w:val="5"/>
          </w:tcPr>
          <w:p>
            <w:pPr>
              <w:ind w:left="800"/>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Financial Position</w:t>
            </w:r>
          </w:p>
        </w:tc>
        <w:tc>
          <w:tcPr>
            <w:tcW w:w="4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Statements of Profit or Loss and Comprehensive Profit or Loss</w:t>
            </w:r>
          </w:p>
        </w:tc>
        <w:tc>
          <w:tcPr>
            <w:tcW w:w="43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00" w:type="dxa"/>
            <w:vAlign w:val="bottom"/>
            <w:gridSpan w:val="5"/>
          </w:tcPr>
          <w:p>
            <w:pPr>
              <w:ind w:left="800"/>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Changes in Equity</w:t>
            </w:r>
          </w:p>
        </w:tc>
        <w:tc>
          <w:tcPr>
            <w:tcW w:w="4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00" w:type="dxa"/>
            <w:vAlign w:val="bottom"/>
            <w:gridSpan w:val="5"/>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w:t>
            </w:r>
          </w:p>
        </w:tc>
        <w:tc>
          <w:tcPr>
            <w:tcW w:w="4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0000EE"/>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9"/>
              </w:rPr>
              <w:t>Notes to the Interim Condensed Consolidated Financial Statements</w:t>
            </w:r>
          </w:p>
        </w:tc>
        <w:tc>
          <w:tcPr>
            <w:tcW w:w="4400" w:type="dxa"/>
            <w:vAlign w:val="bottom"/>
            <w:tcBorders>
              <w:bottom w:val="single" w:sz="8" w:color="CCEEFF"/>
              <w:right w:val="single" w:sz="8" w:color="CCEEFF"/>
            </w:tcBorders>
            <w:gridSpan w:val="3"/>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Nature of Operations</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Liquidity</w:t>
            </w:r>
          </w:p>
        </w:tc>
        <w:tc>
          <w:tcPr>
            <w:tcW w:w="8880" w:type="dxa"/>
            <w:vAlign w:val="bottom"/>
            <w:tcBorders>
              <w:bottom w:val="single" w:sz="8" w:color="CCEEFF"/>
              <w:right w:val="single" w:sz="8" w:color="CCEEFF"/>
            </w:tcBorders>
            <w:gridSpan w:val="25"/>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Basis of Presentation and Material Accounting Policy Information</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7"/>
                <w:szCs w:val="17"/>
                <w:color w:val="auto"/>
              </w:rPr>
            </w:pPr>
          </w:p>
        </w:tc>
        <w:tc>
          <w:tcPr>
            <w:tcW w:w="9560" w:type="dxa"/>
            <w:vAlign w:val="bottom"/>
            <w:tcBorders>
              <w:right w:val="single" w:sz="8" w:color="CCEEFF"/>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Judgments and Estimates</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CEEFF"/>
            </w:tcBorders>
          </w:tcPr>
          <w:p>
            <w:pPr>
              <w:spacing w:after="0"/>
              <w:rPr>
                <w:sz w:val="15"/>
                <w:szCs w:val="15"/>
                <w:color w:val="auto"/>
              </w:rPr>
            </w:pPr>
          </w:p>
        </w:tc>
        <w:tc>
          <w:tcPr>
            <w:tcW w:w="354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Other Assets</w:t>
            </w:r>
          </w:p>
        </w:tc>
        <w:tc>
          <w:tcPr>
            <w:tcW w:w="6020" w:type="dxa"/>
            <w:vAlign w:val="bottom"/>
            <w:tcBorders>
              <w:top w:val="single" w:sz="8" w:color="CCEEFF"/>
            </w:tcBorders>
            <w:gridSpan w:val="6"/>
          </w:tcPr>
          <w:p>
            <w:pPr>
              <w:spacing w:after="0"/>
              <w:rPr>
                <w:sz w:val="15"/>
                <w:szCs w:val="15"/>
                <w:color w:val="auto"/>
              </w:rPr>
            </w:pPr>
          </w:p>
        </w:tc>
        <w:tc>
          <w:tcPr>
            <w:tcW w:w="8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Digital Assets</w:t>
            </w:r>
          </w:p>
        </w:tc>
        <w:tc>
          <w:tcPr>
            <w:tcW w:w="8540" w:type="dxa"/>
            <w:vAlign w:val="bottom"/>
            <w:tcBorders>
              <w:bottom w:val="single" w:sz="8" w:color="CCEEFF"/>
              <w:right w:val="single" w:sz="8" w:color="CCEEFF"/>
            </w:tcBorders>
            <w:gridSpan w:val="20"/>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Derivative Assets and Liabilities</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Assets Held for Sale</w:t>
            </w:r>
          </w:p>
        </w:tc>
        <w:tc>
          <w:tcPr>
            <w:tcW w:w="8080" w:type="dxa"/>
            <w:vAlign w:val="bottom"/>
            <w:tcBorders>
              <w:bottom w:val="single" w:sz="8" w:color="CCEEFF"/>
              <w:right w:val="single" w:sz="8" w:color="CCEEFF"/>
            </w:tcBorders>
            <w:gridSpan w:val="15"/>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Impairment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Property, Plant and Equipment</w:t>
            </w:r>
          </w:p>
        </w:tc>
        <w:tc>
          <w:tcPr>
            <w:tcW w:w="7340" w:type="dxa"/>
            <w:vAlign w:val="bottom"/>
            <w:tcBorders>
              <w:bottom w:val="single" w:sz="8" w:color="CCEEFF"/>
              <w:right w:val="single" w:sz="8" w:color="CCEEFF"/>
            </w:tcBorders>
            <w:gridSpan w:val="10"/>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Intangible Assets</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Long-term Deposits, Equipment Prepayments, Commitments and Other</w:t>
            </w:r>
          </w:p>
        </w:tc>
        <w:tc>
          <w:tcPr>
            <w:tcW w:w="438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Trade Payables and Accrued Liabilities</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Warrant Liabilities</w:t>
            </w:r>
          </w:p>
        </w:tc>
        <w:tc>
          <w:tcPr>
            <w:tcW w:w="820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Long-term Debt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Leases</w:t>
            </w:r>
          </w:p>
        </w:tc>
        <w:tc>
          <w:tcPr>
            <w:tcW w:w="9060" w:type="dxa"/>
            <w:vAlign w:val="bottom"/>
            <w:tcBorders>
              <w:bottom w:val="single" w:sz="8" w:color="CCEEFF"/>
              <w:right w:val="single" w:sz="8" w:color="CCEEFF"/>
            </w:tcBorders>
            <w:gridSpan w:val="26"/>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Income Taxes</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 Capital</w:t>
            </w:r>
          </w:p>
        </w:tc>
        <w:tc>
          <w:tcPr>
            <w:tcW w:w="8580" w:type="dxa"/>
            <w:vAlign w:val="bottom"/>
            <w:tcBorders>
              <w:bottom w:val="single" w:sz="8" w:color="CCEEFF"/>
              <w:right w:val="single" w:sz="8" w:color="CCEEFF"/>
            </w:tcBorders>
            <w:gridSpan w:val="2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Transactions and Balances with Related Parties</w:t>
            </w:r>
          </w:p>
        </w:tc>
        <w:tc>
          <w:tcPr>
            <w:tcW w:w="6140" w:type="dxa"/>
            <w:vAlign w:val="bottom"/>
            <w:tcBorders>
              <w:bottom w:val="single" w:sz="8" w:color="CCEEFF"/>
              <w:right w:val="single" w:sz="8" w:color="CCEEFF"/>
            </w:tcBorders>
            <w:gridSpan w:val="7"/>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Net Loss Per Share</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5"/>
                <w:szCs w:val="15"/>
                <w:color w:val="auto"/>
              </w:rPr>
            </w:pPr>
          </w:p>
        </w:tc>
        <w:tc>
          <w:tcPr>
            <w:tcW w:w="9560" w:type="dxa"/>
            <w:vAlign w:val="bottom"/>
            <w:tcBorders>
              <w:right w:val="single" w:sz="8" w:color="CCEEFF"/>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Share-based Payments</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5"/>
                <w:szCs w:val="15"/>
                <w:color w:val="auto"/>
              </w:rPr>
            </w:pPr>
          </w:p>
        </w:tc>
        <w:tc>
          <w:tcPr>
            <w:tcW w:w="95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 of Profit or Loss and Comprehensive Profit or Loss</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Geographical Information</w:t>
            </w:r>
          </w:p>
        </w:tc>
        <w:tc>
          <w:tcPr>
            <w:tcW w:w="7680" w:type="dxa"/>
            <w:vAlign w:val="bottom"/>
            <w:tcBorders>
              <w:bottom w:val="single" w:sz="8" w:color="CCEEFF"/>
              <w:right w:val="single" w:sz="8" w:color="CCEEFF"/>
            </w:tcBorders>
            <w:gridSpan w:val="11"/>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9840" w:type="dxa"/>
            <w:vAlign w:val="bottom"/>
            <w:gridSpan w:val="28"/>
          </w:tcPr>
          <w:p>
            <w:pPr>
              <w:ind w:left="280"/>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7"/>
                <w:szCs w:val="17"/>
                <w:color w:val="auto"/>
              </w:rPr>
            </w:pPr>
          </w:p>
        </w:tc>
        <w:tc>
          <w:tcPr>
            <w:tcW w:w="9560" w:type="dxa"/>
            <w:vAlign w:val="bottom"/>
            <w:tcBorders>
              <w:right w:val="single" w:sz="8" w:color="CCEEFF"/>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Subsequent Events</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328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40" w:type="dxa"/>
            <w:vAlign w:val="bottom"/>
            <w:tcBorders>
              <w:right w:val="single" w:sz="8" w:color="auto"/>
            </w:tcBorders>
            <w:gridSpan w:val="28"/>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FINANCIAL POSITION </w:t>
      </w: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840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June 30,</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0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91"/>
        </w:trPr>
        <w:tc>
          <w:tcPr>
            <w:tcW w:w="59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138,619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580" w:type="dxa"/>
            <w:vAlign w:val="bottom"/>
          </w:tcPr>
          <w:p>
            <w:pPr>
              <w:spacing w:after="0"/>
              <w:rPr>
                <w:sz w:val="18"/>
                <w:szCs w:val="18"/>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735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17,627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2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10,671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2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w:t>
            </w: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1,076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580" w:type="dxa"/>
            <w:vAlign w:val="bottom"/>
          </w:tcPr>
          <w:p>
            <w:pPr>
              <w:spacing w:after="0"/>
              <w:rPr>
                <w:sz w:val="18"/>
                <w:szCs w:val="18"/>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450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w:t>
            </w: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56,748</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 pledged as collateral</w:t>
            </w:r>
          </w:p>
        </w:tc>
        <w:tc>
          <w:tcPr>
            <w:tcW w:w="2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6, 15</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2,255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w:t>
            </w: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9,108</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210"/>
        </w:trPr>
        <w:tc>
          <w:tcPr>
            <w:tcW w:w="59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237,289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129,984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10, 24</w:t>
            </w: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233,293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13,184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14,315</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2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w:t>
            </w: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47,790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44,714</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4,378</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535,934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24,230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w:t>
            </w: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164</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14, 18</w:t>
            </w: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20,032</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10"/>
        </w:trPr>
        <w:tc>
          <w:tcPr>
            <w:tcW w:w="59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46,434</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69,154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w:t>
            </w: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1,487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12,208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r>
        <w:trPr>
          <w:trHeight w:val="216"/>
        </w:trPr>
        <w:tc>
          <w:tcPr>
            <w:tcW w:w="59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5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1,928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r>
      <w:tr>
        <w:trPr>
          <w:trHeight w:val="216"/>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62,057</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83,963</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580" w:type="dxa"/>
            <w:vAlign w:val="bottom"/>
          </w:tcPr>
          <w:p>
            <w:pPr>
              <w:spacing w:after="0"/>
              <w:rPr>
                <w:sz w:val="18"/>
                <w:szCs w:val="18"/>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727,055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530,123</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59,406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56,622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580" w:type="dxa"/>
            <w:vAlign w:val="bottom"/>
          </w:tcPr>
          <w:p>
            <w:pPr>
              <w:spacing w:after="0"/>
              <w:rPr>
                <w:sz w:val="18"/>
                <w:szCs w:val="18"/>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(315,739)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(294,924)</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5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3,155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w:t>
            </w:r>
          </w:p>
        </w:tc>
      </w:tr>
      <w:tr>
        <w:trPr>
          <w:trHeight w:val="210"/>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473,877</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294,762</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5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535,934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7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August 7, 2024</w:t>
            </w:r>
          </w:p>
        </w:tc>
        <w:tc>
          <w:tcPr>
            <w:tcW w:w="14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 Nicolas Bonta</w:t>
            </w:r>
          </w:p>
        </w:tc>
        <w:tc>
          <w:tcPr>
            <w:tcW w:w="10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Ben Gagnon</w:t>
            </w:r>
          </w:p>
        </w:tc>
        <w:tc>
          <w:tcPr>
            <w:tcW w:w="120" w:type="dxa"/>
            <w:vAlign w:val="bottom"/>
          </w:tcPr>
          <w:p>
            <w:pPr>
              <w:spacing w:after="0"/>
              <w:rPr>
                <w:sz w:val="24"/>
                <w:szCs w:val="24"/>
                <w:color w:val="auto"/>
              </w:rPr>
            </w:pPr>
          </w:p>
        </w:tc>
        <w:tc>
          <w:tcPr>
            <w:tcW w:w="200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i w:val="1"/>
                <w:iCs w:val="1"/>
                <w:color w:val="auto"/>
                <w:w w:val="99"/>
              </w:rPr>
              <w:t>/s/ Jeffrey Lucas</w:t>
            </w:r>
          </w:p>
        </w:tc>
        <w:tc>
          <w:tcPr>
            <w:tcW w:w="680" w:type="dxa"/>
            <w:vAlign w:val="bottom"/>
            <w:tcBorders>
              <w:bottom w:val="single" w:sz="8" w:color="auto"/>
            </w:tcBorders>
          </w:tcPr>
          <w:p>
            <w:pPr>
              <w:spacing w:after="0"/>
              <w:rPr>
                <w:sz w:val="24"/>
                <w:szCs w:val="24"/>
                <w:color w:val="auto"/>
              </w:rPr>
            </w:pPr>
          </w:p>
        </w:tc>
      </w:tr>
      <w:tr>
        <w:trPr>
          <w:trHeight w:val="221"/>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 of approval of the financial</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Chairman of the Board of</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statements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66"/>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22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PROFIT OR LOSS AND COMPREHENSIVE PROFIT OR LOSS </w:t>
      </w:r>
      <w:r>
        <w:rPr>
          <w:rFonts w:ascii="Times New Roman" w:cs="Times New Roman" w:eastAsia="Times New Roman" w:hAnsi="Times New Roman"/>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10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2023 (restated</w:t>
            </w: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2023 (restated</w:t>
            </w: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Note 3d)</w:t>
            </w:r>
          </w:p>
        </w:tc>
        <w:tc>
          <w:tcPr>
            <w:tcW w:w="12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Note 3d)</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6, 24</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35,479</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3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65,529</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(52,823)</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(41,519)</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(113,822)</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0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(11,275)</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(6,040)</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(21,957)</w:t>
            </w:r>
          </w:p>
        </w:tc>
        <w:tc>
          <w:tcPr>
            <w:tcW w:w="38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(12,402)</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(9,155)</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(25,598)</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disposition of property, plant and equipment</w:t>
            </w:r>
          </w:p>
        </w:tc>
        <w:tc>
          <w:tcPr>
            <w:tcW w:w="10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99</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269</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and property,</w:t>
            </w:r>
          </w:p>
        </w:tc>
        <w:tc>
          <w:tcPr>
            <w:tcW w:w="10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w:t>
            </w:r>
          </w:p>
        </w:tc>
        <w:tc>
          <w:tcPr>
            <w:tcW w:w="13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(9,982)</w:t>
            </w: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right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(23,578)</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(25,170)</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(47,286)</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(1,317)</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(1,007)</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10,126</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9,960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(24,895)</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(26,177)</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(37,160)</w:t>
            </w:r>
          </w:p>
        </w:tc>
        <w:tc>
          <w:tcPr>
            <w:tcW w:w="38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(1,704)</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4,581</w:t>
            </w:r>
          </w:p>
        </w:tc>
        <w:tc>
          <w:tcPr>
            <w:tcW w:w="38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(26,599)</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(26,083)</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(32,579)</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(5,455)</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579</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11,978</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0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(32,054)</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(25,504)</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(20,601)</w:t>
            </w:r>
          </w:p>
        </w:tc>
        <w:tc>
          <w:tcPr>
            <w:tcW w:w="38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w:t>
            </w: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(0.07)</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(0.11)</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(0.09)</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w:t>
            </w: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401,239,000</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246,129,000</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369,992,000</w:t>
            </w: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239,372,000</w:t>
            </w:r>
          </w:p>
        </w:tc>
        <w:tc>
          <w:tcPr>
            <w:tcW w:w="0" w:type="dxa"/>
            <w:vAlign w:val="bottom"/>
          </w:tcPr>
          <w:p>
            <w:pPr>
              <w:spacing w:after="0"/>
              <w:rPr>
                <w:sz w:val="1"/>
                <w:szCs w:val="1"/>
                <w:color w:val="auto"/>
              </w:rPr>
            </w:pPr>
          </w:p>
        </w:tc>
      </w:tr>
      <w:tr>
        <w:trPr>
          <w:trHeight w:val="459"/>
        </w:trPr>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60"/>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INTERIM CONSOLIDATED STATEMENTS OF CHANGES IN EQUITY </w:t>
      </w:r>
      <w:r>
        <w:rPr>
          <w:rFonts w:ascii="Times New Roman" w:cs="Times New Roman" w:eastAsia="Times New Roman" w:hAnsi="Times New Roman"/>
          <w:sz w:val="17"/>
          <w:szCs w:val="17"/>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9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334,153,000</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530,123</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56,622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(294,924)</w:t>
            </w:r>
          </w:p>
        </w:tc>
        <w:tc>
          <w:tcPr>
            <w:tcW w:w="1340" w:type="dxa"/>
            <w:vAlign w:val="bottom"/>
            <w:tcBorders>
              <w:bottom w:val="single" w:sz="8" w:color="auto"/>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2,941</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294,762</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(32,579)</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(32,579)</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9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right w:val="single" w:sz="8" w:color="CCEEFF"/>
            </w:tcBorders>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11,978</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11,978</w:t>
            </w: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net of tax</w:t>
            </w:r>
          </w:p>
        </w:tc>
        <w:tc>
          <w:tcPr>
            <w:tcW w:w="9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right w:val="single" w:sz="8" w:color="CCEEFF"/>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9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(32,579)</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11,978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(20,601)</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of digital assets to accumulated deficit, net</w:t>
            </w:r>
          </w:p>
        </w:tc>
        <w:tc>
          <w:tcPr>
            <w:tcW w:w="920" w:type="dxa"/>
            <w:vAlign w:val="bottom"/>
          </w:tcPr>
          <w:p>
            <w:pPr>
              <w:spacing w:after="0"/>
              <w:rPr>
                <w:sz w:val="18"/>
                <w:szCs w:val="18"/>
                <w:color w:val="auto"/>
              </w:rPr>
            </w:pPr>
          </w:p>
        </w:tc>
        <w:tc>
          <w:tcPr>
            <w:tcW w:w="13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11,764</w:t>
            </w:r>
          </w:p>
        </w:tc>
        <w:tc>
          <w:tcPr>
            <w:tcW w:w="13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(11,764)</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9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4,769</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4,769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84,196,000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173,564</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173,564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125,000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18, 22</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7,401,000</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23,079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21,383</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9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425,875,000</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727,055</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59,406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(315,739)</w:t>
            </w:r>
          </w:p>
        </w:tc>
        <w:tc>
          <w:tcPr>
            <w:tcW w:w="1340" w:type="dxa"/>
            <w:vAlign w:val="bottom"/>
            <w:tcBorders>
              <w:bottom w:val="single" w:sz="8" w:color="auto"/>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3,155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473,877</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January 1, 2023 (restated -</w:t>
            </w:r>
          </w:p>
        </w:tc>
        <w:tc>
          <w:tcPr>
            <w:tcW w:w="9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34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 3d)</w:t>
            </w:r>
          </w:p>
        </w:tc>
        <w:tc>
          <w:tcPr>
            <w:tcW w:w="9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224,200,000</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404,934</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47,653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(197,189)</w:t>
            </w:r>
          </w:p>
        </w:tc>
        <w:tc>
          <w:tcPr>
            <w:tcW w:w="1340" w:type="dxa"/>
            <w:vAlign w:val="bottom"/>
            <w:tcBorders>
              <w:bottom w:val="single" w:sz="8" w:color="auto"/>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255,398</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net of tax</w:t>
            </w:r>
          </w:p>
        </w:tc>
        <w:tc>
          <w:tcPr>
            <w:tcW w:w="9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2,391</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9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2,391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of digital assets to accumulated deficit, net</w:t>
            </w: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92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(1,247)</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4,998</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33,551,000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37,587</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37,587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108,000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18, 22</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400,000</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87"/>
        </w:trPr>
        <w:tc>
          <w:tcPr>
            <w:tcW w:w="34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June 30, 2023 (restated -</w:t>
            </w:r>
          </w:p>
        </w:tc>
        <w:tc>
          <w:tcPr>
            <w:tcW w:w="9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34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 3d)</w:t>
            </w:r>
          </w:p>
        </w:tc>
        <w:tc>
          <w:tcPr>
            <w:tcW w:w="9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258,259,000</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443,095</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52,239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(226,312)</w:t>
            </w:r>
          </w:p>
        </w:tc>
        <w:tc>
          <w:tcPr>
            <w:tcW w:w="1340" w:type="dxa"/>
            <w:vAlign w:val="bottom"/>
            <w:tcBorders>
              <w:bottom w:val="single" w:sz="8" w:color="auto"/>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1,144</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270,166</w:t>
            </w:r>
          </w:p>
        </w:tc>
        <w:tc>
          <w:tcPr>
            <w:tcW w:w="0" w:type="dxa"/>
            <w:vAlign w:val="bottom"/>
          </w:tcPr>
          <w:p>
            <w:pPr>
              <w:spacing w:after="0"/>
              <w:rPr>
                <w:sz w:val="1"/>
                <w:szCs w:val="1"/>
                <w:color w:val="auto"/>
              </w:rPr>
            </w:pPr>
          </w:p>
        </w:tc>
      </w:tr>
      <w:tr>
        <w:trPr>
          <w:trHeight w:val="459"/>
        </w:trPr>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2023 (restated</w:t>
            </w:r>
          </w:p>
        </w:tc>
      </w:tr>
      <w:tr>
        <w:trPr>
          <w:trHeight w:val="238"/>
        </w:trPr>
        <w:tc>
          <w:tcPr>
            <w:tcW w:w="7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Note 3d)</w:t>
            </w:r>
          </w:p>
        </w:tc>
      </w:tr>
      <w:tr>
        <w:trPr>
          <w:trHeight w:val="42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(32,579)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non-cash items:</w:t>
            </w: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23, 25</w:t>
            </w:r>
          </w:p>
        </w:tc>
        <w:tc>
          <w:tcPr>
            <w:tcW w:w="154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87,554</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41,228</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short-term prepaid deposits and property, plant and equipment</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w:t>
            </w: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9,982</w:t>
            </w: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income</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w:t>
            </w:r>
          </w:p>
        </w:tc>
        <w:tc>
          <w:tcPr>
            <w:tcW w:w="15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(10,126)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earned</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(89,806)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(63,451)</w:t>
            </w: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154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w:t>
            </w: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4,769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4,998</w:t>
            </w: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w:t>
            </w:r>
          </w:p>
        </w:tc>
        <w:tc>
          <w:tcPr>
            <w:tcW w:w="15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(4,581)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w:t>
            </w:r>
          </w:p>
        </w:tc>
        <w:tc>
          <w:tcPr>
            <w:tcW w:w="1080" w:type="dxa"/>
            <w:vAlign w:val="bottom"/>
          </w:tcPr>
          <w:p>
            <w:pPr>
              <w:spacing w:after="0"/>
              <w:rPr>
                <w:sz w:val="18"/>
                <w:szCs w:val="18"/>
                <w:color w:val="auto"/>
              </w:rPr>
            </w:pP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(269)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1,559</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154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83,326</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59,370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financial income received (expenses paid)</w:t>
            </w:r>
          </w:p>
        </w:tc>
        <w:tc>
          <w:tcPr>
            <w:tcW w:w="1080" w:type="dxa"/>
            <w:vAlign w:val="bottom"/>
          </w:tcPr>
          <w:p>
            <w:pPr>
              <w:spacing w:after="0"/>
              <w:rPr>
                <w:sz w:val="18"/>
                <w:szCs w:val="18"/>
                <w:color w:val="auto"/>
              </w:rPr>
            </w:pP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2,469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w:t>
            </w: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(12,033)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10"/>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27,935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2,472</w:t>
            </w:r>
          </w:p>
        </w:tc>
      </w:tr>
      <w:tr>
        <w:trPr>
          <w:trHeight w:val="209"/>
        </w:trPr>
        <w:tc>
          <w:tcPr>
            <w:tcW w:w="7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0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80" w:type="dxa"/>
            <w:vAlign w:val="bottom"/>
          </w:tcPr>
          <w:p>
            <w:pPr>
              <w:spacing w:after="0"/>
              <w:rPr>
                <w:sz w:val="18"/>
                <w:szCs w:val="18"/>
                <w:color w:val="auto"/>
              </w:rPr>
            </w:pP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(123,119)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and assets held for sale</w:t>
            </w:r>
          </w:p>
        </w:tc>
        <w:tc>
          <w:tcPr>
            <w:tcW w:w="10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1,546</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(5,720)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(21,368)</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w:t>
            </w:r>
          </w:p>
        </w:tc>
        <w:tc>
          <w:tcPr>
            <w:tcW w:w="154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6,471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28,494</w:t>
            </w:r>
          </w:p>
        </w:tc>
      </w:tr>
      <w:tr>
        <w:trPr>
          <w:trHeight w:val="216"/>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(31,010)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(9,956)</w:t>
            </w:r>
          </w:p>
        </w:tc>
      </w:tr>
      <w:tr>
        <w:trPr>
          <w:trHeight w:val="210"/>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(151,832)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r>
      <w:tr>
        <w:trPr>
          <w:trHeight w:val="210"/>
        </w:trPr>
        <w:tc>
          <w:tcPr>
            <w:tcW w:w="7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w:t>
            </w: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173,564</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37,587</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w:t>
            </w:r>
          </w:p>
        </w:tc>
        <w:tc>
          <w:tcPr>
            <w:tcW w:w="15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w:t>
            </w: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1,695</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w:t>
            </w:r>
          </w:p>
        </w:tc>
        <w:tc>
          <w:tcPr>
            <w:tcW w:w="15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(1,363)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16"/>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18, 22</w:t>
            </w:r>
          </w:p>
        </w:tc>
        <w:tc>
          <w:tcPr>
            <w:tcW w:w="15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8,532</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178,362</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16,693</w:t>
            </w:r>
          </w:p>
        </w:tc>
      </w:tr>
      <w:tr>
        <w:trPr>
          <w:trHeight w:val="209"/>
        </w:trPr>
        <w:tc>
          <w:tcPr>
            <w:tcW w:w="7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0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54,465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80" w:type="dxa"/>
            <w:vAlign w:val="bottom"/>
          </w:tcPr>
          <w:p>
            <w:pPr>
              <w:spacing w:after="0"/>
              <w:rPr>
                <w:sz w:val="18"/>
                <w:szCs w:val="18"/>
                <w:color w:val="auto"/>
              </w:rPr>
            </w:pP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r>
      <w:tr>
        <w:trPr>
          <w:trHeight w:val="216"/>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0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116</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138,619</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30,891</w:t>
            </w:r>
          </w:p>
        </w:tc>
      </w:tr>
      <w:tr>
        <w:trPr>
          <w:trHeight w:val="45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9"/>
        </w:trPr>
        <w:tc>
          <w:tcPr>
            <w:tcW w:w="77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7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at 110 Yonge Street, Suite 1601, Toronto, Ontario, Canada, M5C 1T4.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 are mainly comprised of selling its computational power used for hashing calculations for the purpose of cryptocurrency mining in multiple jurisdictions as described in Note 24 “Geographical Information”. The Company’s operations are currently located in Canada, the United States, Argentina and Paraguay. Volta, a wholly-owned subsidiary of the Company, assists the Company in building and maintaining its data centers and provides electrician services to both commercial and residential customers in Quebec.</w:t>
      </w:r>
    </w:p>
    <w:p>
      <w:pPr>
        <w:spacing w:after="0" w:line="180" w:lineRule="exact"/>
        <w:rPr>
          <w:sz w:val="20"/>
          <w:szCs w:val="20"/>
          <w:color w:val="auto"/>
        </w:rPr>
      </w:pPr>
    </w:p>
    <w:p>
      <w:pPr>
        <w:jc w:val="both"/>
        <w:ind w:hanging="4"/>
        <w:spacing w:after="0" w:line="254" w:lineRule="auto"/>
        <w:rPr>
          <w:sz w:val="20"/>
          <w:szCs w:val="20"/>
          <w:color w:val="auto"/>
        </w:rPr>
      </w:pPr>
      <w:r>
        <w:rPr>
          <w:rFonts w:ascii="Times New Roman" w:cs="Times New Roman" w:eastAsia="Times New Roman" w:hAnsi="Times New Roman"/>
          <w:sz w:val="18"/>
          <w:szCs w:val="18"/>
          <w:color w:val="auto"/>
        </w:rPr>
        <w:t>Bitfarms owns and operates data centers housing computers (referred to as “Miners”) designed for the purpose of validating transactions on the Bitcoin Blockchain (referred to as “Mining”). Bitfarms generally operates its Miners 24 hours a day to produce computational power used for hashing calculations (measured by hashrate) that Bitfarms sells to a Mining Pool under a formula-driven rate commonly known in the industry as Full Pay Per Share (“FPPS”). Under FPPS, Mining Pools compensate Mining companies for their computational power used for hashing calculations, measured through hashrate, based on what the Mining Pool would expect to generate in revenue for a given time period if there was no randomness involved. The fee paid by a Mining Pool to Bitfarms for its computational power used for hashing calculations may be in cryptocurrency, U.S. dollars, or another currency. However, the fees are generally paid to the Company on a daily basis in BTC (as defined below). Bitfarms accumulates the cryptocurrency fees it receives or exchanges them for U.S. dollars through reputable and established cryptocurrency trading platforms.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56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09"/>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Backbone</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Volta</w:t>
            </w:r>
          </w:p>
        </w:tc>
        <w:tc>
          <w:tcPr>
            <w:tcW w:w="7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Backbone Argentina</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Backbone Paraguay</w:t>
            </w:r>
          </w:p>
        </w:tc>
        <w:tc>
          <w:tcPr>
            <w:tcW w:w="7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Backbone Mining</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BTC</w:t>
            </w:r>
          </w:p>
        </w:tc>
        <w:tc>
          <w:tcPr>
            <w:tcW w:w="7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BVVE</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CAD</w:t>
            </w:r>
          </w:p>
        </w:tc>
        <w:tc>
          <w:tcPr>
            <w:tcW w:w="7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USD</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U.S. Dollars</w:t>
            </w:r>
          </w:p>
        </w:tc>
      </w:tr>
      <w:tr>
        <w:trPr>
          <w:trHeight w:val="22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3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ARS</w:t>
            </w:r>
          </w:p>
        </w:tc>
        <w:tc>
          <w:tcPr>
            <w:tcW w:w="75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0"/>
        <w:spacing w:after="0"/>
        <w:tabs>
          <w:tab w:leader="none" w:pos="1060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Bitcoin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(“PPE”), resulting in impairment losses being recorded.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current operating budget and future estimated cash flows indicate that the Company will generate positive cash flow in excess of the Company’s cash commitments within the twelve-month period following the date these interim condensed consolidated financial statements were authorized for issuance (the “twelve-month period”). These analyses are based on BTC market factors including price, difficulty and network hashrate for the twelve-month period.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 Similar to past BTC Halvings events, the BTC price did not have an immediate favorable impact after the BTC Halving that occurred on April 19, 2024. It took approximately six months for the Company’s revenue per terahash to return to the level experienced prior to the May 2020 BTC Halving event.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sales of its BTC treasury and BTC earned may not be sufficient to fund capital investments to fully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ownership in the Company may be diluted. If the Company is unable to obtain financing, including by issuing securities, or if funds from operations and proceeds from sales of the Company’s BTC holdings are negatively impacted by the BTC price, the Company may have difficulty meeting its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200"/>
        <w:spacing w:after="0"/>
        <w:tabs>
          <w:tab w:leader="none" w:pos="1060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BASIS OF PRESENTATION AND MATERIAL ACCOUNTING POLICY INFORMATION</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measurement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(“Financial Statements”) of the Company comprise the accounts of Bitfarms Ltd. and its wholly-owned subsidiaries. These Financial Statements have been prepared in accordance with International Financial Reporting Standards as issued by the International Accounting Standards Board (“IFRS Accounting Standards”) applicable to the preparation of interim financial statements, including International Accounting Standard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These Financial Statements were approved by the Board of Directors (the “Board”) on August 7,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do not include all the information required for full annual financial statements and should be read in conjunction with the audited annual consolidated financial statements of the Company and the notes thereto for the year ended December 31,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under the same accounting policies used in the audited annual consolidated financial statements for the year ended December 31, 2023, except for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on the historical cost basis, except for the revaluation of certain financial instruments and digital assets recorded at fair value, and assets held for sale measured at the lower of their carrying amount and fair value less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200"/>
        <w:spacing w:after="0"/>
        <w:tabs>
          <w:tab w:leader="none" w:pos="1060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amendments to existing standards were adopted by the Company as of January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16,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 xml:space="preserve"> (“IFRS 16”)</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Amendments to IFRS 16 require a seller-lessee to subsequently measure lease liabilities arising from a leaseback in a manner that does not recognize any amount of the gain or loss that relates to the right-of-use retained. The new requirements do not prevent a seller-lessee from recognizing in profit or loss any gain or loss relating to the partial or full termination of a lease.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 </w:t>
      </w:r>
      <w:r>
        <w:rPr>
          <w:rFonts w:ascii="Times New Roman" w:cs="Times New Roman" w:eastAsia="Times New Roman" w:hAnsi="Times New Roman"/>
          <w:sz w:val="18"/>
          <w:szCs w:val="18"/>
          <w:b w:val="1"/>
          <w:bCs w:val="1"/>
          <w:i w:val="1"/>
          <w:iCs w:val="1"/>
          <w:color w:val="auto"/>
        </w:rPr>
        <w:t>Presentation of the Financial Statements</w:t>
      </w:r>
      <w:r>
        <w:rPr>
          <w:rFonts w:ascii="Times New Roman" w:cs="Times New Roman" w:eastAsia="Times New Roman" w:hAnsi="Times New Roman"/>
          <w:sz w:val="18"/>
          <w:szCs w:val="18"/>
          <w:b w:val="1"/>
          <w:bCs w:val="1"/>
          <w:color w:val="auto"/>
        </w:rPr>
        <w:t xml:space="preserve"> (“IAS 1”)</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Amendments to IAS 1 clarify how to classify debt and other liabilities as current or non-current. The amendments help to determine whether, in the interim consolidated statements of financial position,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by the Company of the amendments listed above did not have a significant impact on the Company’s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7, </w:t>
      </w:r>
      <w:r>
        <w:rPr>
          <w:rFonts w:ascii="Times New Roman" w:cs="Times New Roman" w:eastAsia="Times New Roman" w:hAnsi="Times New Roman"/>
          <w:sz w:val="18"/>
          <w:szCs w:val="18"/>
          <w:b w:val="1"/>
          <w:bCs w:val="1"/>
          <w:i w:val="1"/>
          <w:iCs w:val="1"/>
          <w:color w:val="auto"/>
        </w:rPr>
        <w:t>Statement of Cash Flows</w:t>
      </w:r>
      <w:r>
        <w:rPr>
          <w:rFonts w:ascii="Times New Roman" w:cs="Times New Roman" w:eastAsia="Times New Roman" w:hAnsi="Times New Roman"/>
          <w:sz w:val="18"/>
          <w:szCs w:val="18"/>
          <w:b w:val="1"/>
          <w:bCs w:val="1"/>
          <w:color w:val="auto"/>
        </w:rPr>
        <w:t xml:space="preserve"> (“IAS 7”)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Amendments to IAS 7 and IFRS 7 introduce disclosure requirements to enhance the transparency of supplier finance arrangements and their effects on an entity’s liabilities, cash flows and exposure to liquidity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the adoption of the amendments to have a significant impact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and standard issued to be adopted at a later date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amendments to existing standards have been issued and are applicable to the Company for its annual period beginning on January 1, 2025, with an earlier application permitted: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21, </w:t>
      </w:r>
      <w:r>
        <w:rPr>
          <w:rFonts w:ascii="Times New Roman" w:cs="Times New Roman" w:eastAsia="Times New Roman" w:hAnsi="Times New Roman"/>
          <w:sz w:val="18"/>
          <w:szCs w:val="18"/>
          <w:b w:val="1"/>
          <w:bCs w:val="1"/>
          <w:i w:val="1"/>
          <w:iCs w:val="1"/>
          <w:color w:val="auto"/>
        </w:rPr>
        <w:t>The Effects of Changes in Foreign Exchange Rates</w:t>
      </w:r>
      <w:r>
        <w:rPr>
          <w:rFonts w:ascii="Times New Roman" w:cs="Times New Roman" w:eastAsia="Times New Roman" w:hAnsi="Times New Roman"/>
          <w:sz w:val="18"/>
          <w:szCs w:val="18"/>
          <w:b w:val="1"/>
          <w:bCs w:val="1"/>
          <w:color w:val="auto"/>
        </w:rPr>
        <w:t xml:space="preserve"> (“IAS 21”)</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Amendments to IAS 21 require an entity to apply a consistent approach in assessing whether a currency can be exchanged into another currency and, when it cannot, in determining the exchange rate to use and the disclosures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amendments and standard issued to be adopted at a later date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right="20" w:hanging="4"/>
        <w:spacing w:after="0" w:line="282" w:lineRule="auto"/>
        <w:rPr>
          <w:sz w:val="20"/>
          <w:szCs w:val="20"/>
          <w:color w:val="auto"/>
        </w:rPr>
      </w:pPr>
      <w:r>
        <w:rPr>
          <w:rFonts w:ascii="Times New Roman" w:cs="Times New Roman" w:eastAsia="Times New Roman" w:hAnsi="Times New Roman"/>
          <w:sz w:val="18"/>
          <w:szCs w:val="18"/>
          <w:color w:val="auto"/>
        </w:rPr>
        <w:t>The following amendments to existing standards have been issued and are applicable to the Company for its annual period beginning on January 1, 2026, with an earlier application permitted:</w:t>
      </w:r>
    </w:p>
    <w:p>
      <w:pPr>
        <w:spacing w:after="0" w:line="158" w:lineRule="exact"/>
        <w:rPr>
          <w:sz w:val="20"/>
          <w:szCs w:val="20"/>
          <w:color w:val="auto"/>
        </w:rPr>
      </w:pPr>
    </w:p>
    <w:p>
      <w:pPr>
        <w:ind w:right="31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Amendments to IFRS 9, </w:t>
      </w:r>
      <w:r>
        <w:rPr>
          <w:rFonts w:ascii="Times New Roman" w:cs="Times New Roman" w:eastAsia="Times New Roman" w:hAnsi="Times New Roman"/>
          <w:sz w:val="18"/>
          <w:szCs w:val="18"/>
          <w:b w:val="1"/>
          <w:bCs w:val="1"/>
          <w:i w:val="1"/>
          <w:iCs w:val="1"/>
          <w:color w:val="auto"/>
        </w:rPr>
        <w:t>Financial Instruments</w:t>
      </w:r>
      <w:r>
        <w:rPr>
          <w:rFonts w:ascii="Times New Roman" w:cs="Times New Roman" w:eastAsia="Times New Roman" w:hAnsi="Times New Roman"/>
          <w:sz w:val="18"/>
          <w:szCs w:val="18"/>
          <w:b w:val="1"/>
          <w:bCs w:val="1"/>
          <w:color w:val="auto"/>
        </w:rPr>
        <w:t xml:space="preserve"> (“IFRS 9”)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1" w:lineRule="exact"/>
        <w:rPr>
          <w:sz w:val="20"/>
          <w:szCs w:val="20"/>
          <w:color w:val="auto"/>
        </w:rPr>
      </w:pPr>
    </w:p>
    <w:p>
      <w:pPr>
        <w:jc w:val="both"/>
        <w:ind w:right="20" w:hanging="4"/>
        <w:spacing w:after="0" w:line="255" w:lineRule="auto"/>
        <w:rPr>
          <w:sz w:val="20"/>
          <w:szCs w:val="20"/>
          <w:color w:val="auto"/>
        </w:rPr>
      </w:pPr>
      <w:r>
        <w:rPr>
          <w:rFonts w:ascii="Times New Roman" w:cs="Times New Roman" w:eastAsia="Times New Roman" w:hAnsi="Times New Roman"/>
          <w:sz w:val="18"/>
          <w:szCs w:val="18"/>
          <w:color w:val="auto"/>
        </w:rPr>
        <w:t>Amendments to IFRS 9 and IFRS 7 clarify that financial assets and financial liabilities are recognized and derecognized at settlement date except for regular way purchases or sales of financial assets and financial liabilities meeting conditions for the new exception. The new exception permits companies to elect to derecognize certain financial liabilities settled via electronic payment systems earlier than the settlement date.</w:t>
      </w:r>
    </w:p>
    <w:p>
      <w:pPr>
        <w:spacing w:after="0" w:line="186"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These amendments also provide guidelines to assess contractual cash flow characteristics of financial assets, which apply to all contingent cash flows, including those arising from environmental, social, and governance (ESG)-linked features.</w:t>
      </w:r>
    </w:p>
    <w:p>
      <w:pPr>
        <w:spacing w:after="0" w:line="162"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In addition, the amendments for investments in equity instruments reported at fair value through other comprehensive income require separately disclosing the fair value gain or loss for investments derecognized in the period and investments held. The amendments added disclosure requirements for financial instruments with contingent features that could change the timing or amount of contractual cash flows that do not relate directly to basic lending risks and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25" w:lineRule="exact"/>
        <w:rPr>
          <w:sz w:val="20"/>
          <w:szCs w:val="20"/>
          <w:color w:val="auto"/>
        </w:rPr>
      </w:pPr>
    </w:p>
    <w:p>
      <w:pPr>
        <w:jc w:val="both"/>
        <w:ind w:right="20" w:hanging="4"/>
        <w:spacing w:after="0" w:line="282" w:lineRule="auto"/>
        <w:rPr>
          <w:sz w:val="20"/>
          <w:szCs w:val="20"/>
          <w:color w:val="auto"/>
        </w:rPr>
      </w:pPr>
      <w:r>
        <w:rPr>
          <w:rFonts w:ascii="Times New Roman" w:cs="Times New Roman" w:eastAsia="Times New Roman" w:hAnsi="Times New Roman"/>
          <w:sz w:val="18"/>
          <w:szCs w:val="18"/>
          <w:color w:val="auto"/>
        </w:rPr>
        <w:t>The following new standard has been issued and is applicable to the Company for its annual period beginning on January 1, 2027, with an earlier application permitted: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r>
        <w:rPr>
          <w:rFonts w:ascii="Times New Roman" w:cs="Times New Roman" w:eastAsia="Times New Roman" w:hAnsi="Times New Roman"/>
          <w:sz w:val="18"/>
          <w:szCs w:val="18"/>
          <w:b w:val="1"/>
          <w:bCs w:val="1"/>
          <w:color w:val="auto"/>
        </w:rPr>
        <w:t xml:space="preserve"> (“IFRS 18”)</w:t>
      </w:r>
    </w:p>
    <w:p>
      <w:pPr>
        <w:spacing w:after="0" w:line="31" w:lineRule="exact"/>
        <w:rPr>
          <w:sz w:val="20"/>
          <w:szCs w:val="20"/>
          <w:color w:val="auto"/>
        </w:rPr>
      </w:pPr>
    </w:p>
    <w:p>
      <w:pPr>
        <w:jc w:val="both"/>
        <w:ind w:hanging="4"/>
        <w:spacing w:after="0" w:line="250" w:lineRule="auto"/>
        <w:rPr>
          <w:sz w:val="20"/>
          <w:szCs w:val="20"/>
          <w:color w:val="auto"/>
        </w:rPr>
      </w:pPr>
      <w:r>
        <w:rPr>
          <w:rFonts w:ascii="Times New Roman" w:cs="Times New Roman" w:eastAsia="Times New Roman" w:hAnsi="Times New Roman"/>
          <w:sz w:val="18"/>
          <w:szCs w:val="18"/>
          <w:color w:val="auto"/>
        </w:rPr>
        <w:t>On April 9, 2024, the International Accounting Standards Board issued IFRS 18, the new standard on presentation and disclosure in financial statements, which will replace IAS 1, with a focus on updates to the statement of profit or loss. The key new concepts introduced in IFRS 18 relate to:</w:t>
      </w:r>
    </w:p>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statement of profit or loss, including specified totals and subtotals;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disclosures in the financial statements for certain profit or loss performance measures that are reported outside an entity’s financial statements (i.e., management-defined performance measures);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principles on aggregation and disaggregation which apply to the primary financial statements and notes in general.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identified errors in its accounting for warrants issued in connection with certain private placement financings in 2021.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not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 on the affected financial statement line items for the prior period are as follows: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Interim consolidated statements of profit or loss and comprehensive profit or loss extract for the three and six months ended June 30, 2023 - Restatement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9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740" w:type="dxa"/>
            <w:vAlign w:val="bottom"/>
          </w:tcPr>
          <w:p>
            <w:pPr>
              <w:jc w:val="right"/>
              <w:ind w:right="570"/>
              <w:spacing w:after="0" w:line="188" w:lineRule="exact"/>
              <w:rPr>
                <w:sz w:val="20"/>
                <w:szCs w:val="20"/>
                <w:color w:val="auto"/>
              </w:rPr>
            </w:pPr>
            <w:r>
              <w:rPr>
                <w:rFonts w:ascii="Times New Roman" w:cs="Times New Roman" w:eastAsia="Times New Roman" w:hAnsi="Times New Roman"/>
                <w:sz w:val="18"/>
                <w:szCs w:val="18"/>
                <w:color w:val="auto"/>
              </w:rPr>
              <w:t>Warrant</w:t>
            </w:r>
          </w:p>
        </w:tc>
        <w:tc>
          <w:tcPr>
            <w:tcW w:w="8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48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62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color w:val="auto"/>
              </w:rPr>
              <w:t>Warrant</w:t>
            </w:r>
          </w:p>
        </w:tc>
        <w:tc>
          <w:tcPr>
            <w:tcW w:w="8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c>
          <w:tcPr>
            <w:tcW w:w="0" w:type="dxa"/>
            <w:vAlign w:val="bottom"/>
          </w:tcPr>
          <w:p>
            <w:pPr>
              <w:spacing w:after="0"/>
              <w:rPr>
                <w:sz w:val="1"/>
                <w:szCs w:val="1"/>
                <w:color w:val="auto"/>
              </w:rPr>
            </w:pPr>
          </w:p>
        </w:tc>
      </w:tr>
      <w:tr>
        <w:trPr>
          <w:trHeight w:val="238"/>
        </w:trPr>
        <w:tc>
          <w:tcPr>
            <w:tcW w:w="3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6"/>
              </w:rPr>
              <w:t>reported)</w:t>
            </w:r>
          </w:p>
        </w:tc>
        <w:tc>
          <w:tcPr>
            <w:tcW w:w="17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adjustments</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restated)</w:t>
            </w: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reported)</w:t>
            </w:r>
          </w:p>
        </w:tc>
        <w:tc>
          <w:tcPr>
            <w:tcW w:w="16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adjustments</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(25,170)</w:t>
            </w:r>
          </w:p>
        </w:tc>
        <w:tc>
          <w:tcPr>
            <w:tcW w:w="17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(25,170)</w:t>
            </w: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(40,754)</w:t>
            </w:r>
          </w:p>
        </w:tc>
        <w:tc>
          <w:tcPr>
            <w:tcW w:w="162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(40,754)</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182</w:t>
            </w: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(1,189)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12,370</w:t>
            </w:r>
          </w:p>
        </w:tc>
        <w:tc>
          <w:tcPr>
            <w:tcW w:w="1620" w:type="dxa"/>
            <w:vAlign w:val="bottom"/>
            <w:tcBorders>
              <w:bottom w:val="single" w:sz="8" w:color="auto"/>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(2,410)</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9,960</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(24,988)</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(1,189)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(26,177)</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(28,384)</w:t>
            </w:r>
          </w:p>
        </w:tc>
        <w:tc>
          <w:tcPr>
            <w:tcW w:w="1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(2,410)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(30,794)</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94</w:t>
            </w:r>
          </w:p>
        </w:tc>
        <w:tc>
          <w:tcPr>
            <w:tcW w:w="17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w:t>
            </w: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424</w:t>
            </w:r>
          </w:p>
        </w:tc>
        <w:tc>
          <w:tcPr>
            <w:tcW w:w="16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424</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(24,894)</w:t>
            </w: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(1,189)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(26,083)</w:t>
            </w: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(27,960)</w:t>
            </w:r>
          </w:p>
        </w:tc>
        <w:tc>
          <w:tcPr>
            <w:tcW w:w="1620" w:type="dxa"/>
            <w:vAlign w:val="bottom"/>
            <w:tcBorders>
              <w:bottom w:val="single" w:sz="8" w:color="auto"/>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(2,410)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(30,370)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 that will not be reclassified to profit</w:t>
            </w:r>
          </w:p>
        </w:tc>
        <w:tc>
          <w:tcPr>
            <w:tcW w:w="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or loss:</w:t>
            </w:r>
          </w:p>
        </w:tc>
        <w:tc>
          <w:tcPr>
            <w:tcW w:w="9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9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579</w:t>
            </w:r>
          </w:p>
        </w:tc>
        <w:tc>
          <w:tcPr>
            <w:tcW w:w="1480" w:type="dxa"/>
            <w:vAlign w:val="bottom"/>
            <w:shd w:val="clear" w:color="auto" w:fill="CCEEFF"/>
          </w:tcPr>
          <w:p>
            <w:pPr>
              <w:spacing w:after="0"/>
              <w:rPr>
                <w:sz w:val="17"/>
                <w:szCs w:val="17"/>
                <w:color w:val="auto"/>
              </w:rPr>
            </w:pPr>
          </w:p>
        </w:tc>
        <w:tc>
          <w:tcPr>
            <w:tcW w:w="1620" w:type="dxa"/>
            <w:vAlign w:val="bottom"/>
            <w:tcBorders>
              <w:right w:val="single" w:sz="8" w:color="CCEEFF"/>
            </w:tcBorders>
            <w:shd w:val="clear" w:color="auto" w:fill="CCEEFF"/>
          </w:tcPr>
          <w:p>
            <w:pPr>
              <w:spacing w:after="0"/>
              <w:rPr>
                <w:sz w:val="17"/>
                <w:szCs w:val="17"/>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2,391</w:t>
            </w:r>
          </w:p>
        </w:tc>
        <w:tc>
          <w:tcPr>
            <w:tcW w:w="0" w:type="dxa"/>
            <w:vAlign w:val="bottom"/>
          </w:tcPr>
          <w:p>
            <w:pPr>
              <w:spacing w:after="0"/>
              <w:rPr>
                <w:sz w:val="1"/>
                <w:szCs w:val="1"/>
                <w:color w:val="auto"/>
              </w:rPr>
            </w:pPr>
          </w:p>
        </w:tc>
      </w:tr>
      <w:tr>
        <w:trPr>
          <w:trHeight w:val="234"/>
        </w:trPr>
        <w:tc>
          <w:tcPr>
            <w:tcW w:w="3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579</w:t>
            </w:r>
          </w:p>
        </w:tc>
        <w:tc>
          <w:tcPr>
            <w:tcW w:w="17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2,391</w:t>
            </w:r>
          </w:p>
        </w:tc>
        <w:tc>
          <w:tcPr>
            <w:tcW w:w="162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(24,315)</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(1,189)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(25,504)</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(25,569)</w:t>
            </w:r>
          </w:p>
        </w:tc>
        <w:tc>
          <w:tcPr>
            <w:tcW w:w="1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(2,410)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(27,979)</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(0.10)</w:t>
            </w: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(0.12)</w:t>
            </w:r>
          </w:p>
        </w:tc>
        <w:tc>
          <w:tcPr>
            <w:tcW w:w="1620" w:type="dxa"/>
            <w:vAlign w:val="bottom"/>
            <w:tcBorders>
              <w:bottom w:val="single" w:sz="8" w:color="auto"/>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(0.01)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0" w:type="dxa"/>
            <w:vAlign w:val="bottom"/>
          </w:tcPr>
          <w:p>
            <w:pPr>
              <w:spacing w:after="0"/>
              <w:rPr>
                <w:sz w:val="1"/>
                <w:szCs w:val="1"/>
                <w:color w:val="auto"/>
              </w:rPr>
            </w:pPr>
          </w:p>
        </w:tc>
      </w:tr>
      <w:tr>
        <w:trPr>
          <w:trHeight w:val="432"/>
        </w:trPr>
        <w:tc>
          <w:tcPr>
            <w:tcW w:w="8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 extract for the six months ended June 30, 2023 - Restatement</w:t>
            </w: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2023 (as reported)   Warrant adjustments   </w:t>
            </w:r>
            <w:r>
              <w:rPr>
                <w:rFonts w:ascii="Times New Roman" w:cs="Times New Roman" w:eastAsia="Times New Roman" w:hAnsi="Times New Roman"/>
                <w:sz w:val="18"/>
                <w:szCs w:val="18"/>
                <w:b w:val="1"/>
                <w:bCs w:val="1"/>
                <w:color w:val="auto"/>
              </w:rPr>
              <w:t>2023 (as restated)</w:t>
            </w:r>
          </w:p>
        </w:tc>
        <w:tc>
          <w:tcPr>
            <w:tcW w:w="0" w:type="dxa"/>
            <w:vAlign w:val="bottom"/>
          </w:tcPr>
          <w:p>
            <w:pPr>
              <w:spacing w:after="0"/>
              <w:rPr>
                <w:sz w:val="1"/>
                <w:szCs w:val="1"/>
                <w:color w:val="auto"/>
              </w:rPr>
            </w:pPr>
          </w:p>
        </w:tc>
      </w:tr>
      <w:tr>
        <w:trPr>
          <w:trHeight w:val="425"/>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(27,960)</w:t>
            </w:r>
          </w:p>
        </w:tc>
        <w:tc>
          <w:tcPr>
            <w:tcW w:w="1620" w:type="dxa"/>
            <w:vAlign w:val="bottom"/>
            <w:tcBorders>
              <w:right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(2,410)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(30,370)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income</w:t>
            </w:r>
          </w:p>
        </w:tc>
        <w:tc>
          <w:tcPr>
            <w:tcW w:w="9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(12,370)</w:t>
            </w:r>
          </w:p>
        </w:tc>
        <w:tc>
          <w:tcPr>
            <w:tcW w:w="1620" w:type="dxa"/>
            <w:vAlign w:val="bottom"/>
            <w:tcBorders>
              <w:bottom w:val="single" w:sz="8" w:color="auto"/>
              <w:right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2,410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(9,960)</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Net change in cash related to operating activities</w:t>
            </w:r>
          </w:p>
        </w:tc>
        <w:tc>
          <w:tcPr>
            <w:tcW w:w="9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2,472</w:t>
            </w:r>
          </w:p>
        </w:tc>
        <w:tc>
          <w:tcPr>
            <w:tcW w:w="16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2,472</w:t>
            </w:r>
          </w:p>
        </w:tc>
        <w:tc>
          <w:tcPr>
            <w:tcW w:w="0" w:type="dxa"/>
            <w:vAlign w:val="bottom"/>
          </w:tcPr>
          <w:p>
            <w:pPr>
              <w:spacing w:after="0"/>
              <w:rPr>
                <w:sz w:val="1"/>
                <w:szCs w:val="1"/>
                <w:color w:val="auto"/>
              </w:rPr>
            </w:pPr>
          </w:p>
        </w:tc>
      </w:tr>
      <w:tr>
        <w:trPr>
          <w:trHeight w:val="439"/>
        </w:trPr>
        <w:tc>
          <w:tcPr>
            <w:tcW w:w="3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SIGNIFICANT ACCOUNTING JUDGMENTS AND ESTIMATES</w:t>
      </w:r>
    </w:p>
    <w:p>
      <w:pPr>
        <w:spacing w:after="0" w:line="229"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requires Bitfarms’ management team (“Management”) to undertake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2023, except for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Estimates of useful lives, residual values and methods of depreciation are reviewed annually. Any changes based on additional available information are accounted for prospectively as a change in accounting estimate.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in connection with the replacement of older Miners following the Company’s transformative fleet upgrade as described in Note 10 - Property, Plant and Equipment, the Company reviewed and adjusted the useful lives, residual values and method of depreciation of older Miners that will be replaced by the new fleet in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these Miners, the depreciation was accelerated to bring the book value to the estimated recoverable value at the time they are expected to be replaced. The residual values were adjusted to reflect the expected proceeds from the eventual sale and the depreciation method was modified from sum-of-years to straight-line method.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r>
      <w:tr>
        <w:trPr>
          <w:trHeight w:val="210"/>
        </w:trPr>
        <w:tc>
          <w:tcPr>
            <w:tcW w:w="9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receivable*</w:t>
            </w:r>
          </w:p>
        </w:tc>
        <w:tc>
          <w:tcPr>
            <w:tcW w:w="46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17,067</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5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6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560</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920" w:type="dxa"/>
            <w:vAlign w:val="bottom"/>
            <w:tcBorders>
              <w:bottom w:val="single" w:sz="8" w:color="auto"/>
            </w:tcBorders>
            <w:shd w:val="clear" w:color="auto" w:fill="CCEEFF"/>
          </w:tcPr>
          <w:p>
            <w:pPr>
              <w:spacing w:after="0"/>
              <w:rPr>
                <w:sz w:val="18"/>
                <w:szCs w:val="18"/>
                <w:color w:val="auto"/>
              </w:rPr>
            </w:pPr>
          </w:p>
        </w:tc>
        <w:tc>
          <w:tcPr>
            <w:tcW w:w="4520" w:type="dxa"/>
            <w:vAlign w:val="bottom"/>
            <w:tcBorders>
              <w:bottom w:val="single" w:sz="8" w:color="auto"/>
            </w:tcBorders>
            <w:shd w:val="clear" w:color="auto" w:fill="CCEEFF"/>
          </w:tcPr>
          <w:p>
            <w:pPr>
              <w:spacing w:after="0"/>
              <w:rPr>
                <w:sz w:val="18"/>
                <w:szCs w:val="18"/>
                <w:color w:val="auto"/>
              </w:rPr>
            </w:pPr>
          </w:p>
        </w:tc>
        <w:tc>
          <w:tcPr>
            <w:tcW w:w="466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17,627</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r>
    </w:tbl>
    <w:p>
      <w:pPr>
        <w:spacing w:after="0" w:line="198" w:lineRule="exact"/>
        <w:rPr>
          <w:sz w:val="20"/>
          <w:szCs w:val="20"/>
          <w:color w:val="auto"/>
        </w:rPr>
      </w:pPr>
    </w:p>
    <w:p>
      <w:pPr>
        <w:ind w:firstLine="3"/>
        <w:spacing w:after="0" w:line="282" w:lineRule="auto"/>
        <w:tabs>
          <w:tab w:leader="none" w:pos="1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23b for more details about the Canadian sales tax recovery and Note 23d for more details about the provision applied to the Argentine value-added tax (VAT) receivable included in sales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6" w:name="page17"/>
    <w:bookmarkEnd w:id="16"/>
    <w:p>
      <w:pPr>
        <w:ind w:left="2"/>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
        <w:spacing w:after="0"/>
        <w:tabs>
          <w:tab w:leader="none" w:pos="1101"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BTC transactions and the corresponding values for the three and six months ended June 30, 2024 and 2023 were as follows: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6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Quantity</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 April</w:t>
            </w:r>
          </w:p>
        </w:tc>
        <w:tc>
          <w:tcPr>
            <w:tcW w:w="12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806</w:t>
            </w:r>
          </w:p>
        </w:tc>
        <w:tc>
          <w:tcPr>
            <w:tcW w:w="156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57,542</w:t>
            </w:r>
          </w:p>
        </w:tc>
        <w:tc>
          <w:tcPr>
            <w:tcW w:w="1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435</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12,379</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614</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40,383</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1,223</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34,243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(515)</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(33,756)</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(1,109)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5,803</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loss on revaluation of digital assets**</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(13,224)</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87"/>
        </w:trPr>
        <w:tc>
          <w:tcPr>
            <w:tcW w:w="6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digital assets pledged as collateral as of</w:t>
            </w:r>
          </w:p>
        </w:tc>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905</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56,748</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549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16,734</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June 30,***</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187"/>
        </w:trPr>
        <w:tc>
          <w:tcPr>
            <w:tcW w:w="6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905</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56,748</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479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14,597</w:t>
            </w:r>
          </w:p>
        </w:tc>
        <w:tc>
          <w:tcPr>
            <w:tcW w:w="0" w:type="dxa"/>
            <w:vAlign w:val="bottom"/>
          </w:tcPr>
          <w:p>
            <w:pPr>
              <w:spacing w:after="0"/>
              <w:rPr>
                <w:sz w:val="1"/>
                <w:szCs w:val="1"/>
                <w:color w:val="auto"/>
              </w:rPr>
            </w:pPr>
          </w:p>
        </w:tc>
      </w:tr>
      <w:tr>
        <w:trPr>
          <w:trHeight w:val="432"/>
        </w:trPr>
        <w:tc>
          <w:tcPr>
            <w:tcW w:w="6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Quantity</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w:t>
            </w:r>
          </w:p>
        </w:tc>
        <w:tc>
          <w:tcPr>
            <w:tcW w:w="12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804</w:t>
            </w:r>
          </w:p>
        </w:tc>
        <w:tc>
          <w:tcPr>
            <w:tcW w:w="156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33,971</w:t>
            </w:r>
          </w:p>
        </w:tc>
        <w:tc>
          <w:tcPr>
            <w:tcW w:w="1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405</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1,557</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89,806</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2,520</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63,451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(1,456)</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(83,326)</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(2,376)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16,866</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(569)</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187"/>
        </w:trPr>
        <w:tc>
          <w:tcPr>
            <w:tcW w:w="6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digital assets pledged as collateral as of</w:t>
            </w:r>
          </w:p>
        </w:tc>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905</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56,748</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549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16,734</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June 30,***</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187"/>
        </w:trPr>
        <w:tc>
          <w:tcPr>
            <w:tcW w:w="6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905</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56,748</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479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14,597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 w:right="20" w:firstLine="8"/>
        <w:spacing w:after="0" w:line="282" w:lineRule="auto"/>
        <w:tabs>
          <w:tab w:leader="none" w:pos="1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estimates the fair value of BTC earned on a daily basis as the quantity of cryptocurrency received multiplied by the price quoted on Coinbase on the day it was received. Management considers the prices quoted on Coinbase to be a level 2 input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2" w:hanging="2"/>
        <w:spacing w:after="0" w:line="258" w:lineRule="auto"/>
        <w:tabs>
          <w:tab w:leader="none" w:pos="2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three and six months ended June 30, 2024, a loss of $5,455, net of $1,966 of deferred income tax recovery, and a gain of $11,978, net of $4,319 of deferred income tax expense, respectively, were presented in other comprehensive income (three and six months ended June 30, 2023: gain of $579, net of $420 of deferred income tax expense, and a gain of $2,391, net of $862 of deferred income tax expense, respectively).</w:t>
      </w:r>
    </w:p>
    <w:p>
      <w:pPr>
        <w:spacing w:after="0" w:line="183" w:lineRule="exact"/>
        <w:rPr>
          <w:rFonts w:ascii="Times New Roman" w:cs="Times New Roman" w:eastAsia="Times New Roman" w:hAnsi="Times New Roman"/>
          <w:sz w:val="18"/>
          <w:szCs w:val="18"/>
          <w:color w:val="auto"/>
        </w:rPr>
      </w:pPr>
    </w:p>
    <w:p>
      <w:pPr>
        <w:ind w:left="2" w:right="20" w:hanging="2"/>
        <w:spacing w:after="0" w:line="282" w:lineRule="auto"/>
        <w:tabs>
          <w:tab w:leader="none" w:pos="3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15 for details of the Company’s long-term debt and BTC pledged as collateral. During the first quarter of 2024, the NYDIG Loan balance was fully repaid and the BTC previously pledged as collateral thereunder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251460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122"/>
        <w:spacing w:after="0"/>
        <w:tabs>
          <w:tab w:leader="none" w:pos="10601"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2"/>
          </w:cols>
          <w:pgMar w:left="318"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that gave it the right, but not the obligation, to sell digital assets at a fixed price. Option contracts are used to reduce the risk of BTC price volatility and reduce the variability of cash flows resulting from future sales of digital assets. The Company did not apply hedge accounting on these contracts.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the fair value measurement of derivatives (Level 2):</w:t>
            </w: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5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2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5920" w:type="dxa"/>
            <w:vAlign w:val="bottom"/>
          </w:tcPr>
          <w:p>
            <w:pPr>
              <w:spacing w:after="0"/>
              <w:rPr>
                <w:sz w:val="16"/>
                <w:szCs w:val="16"/>
                <w:color w:val="auto"/>
              </w:rPr>
            </w:pPr>
          </w:p>
        </w:tc>
        <w:tc>
          <w:tcPr>
            <w:tcW w:w="13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54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3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Derivative</w:t>
            </w:r>
          </w:p>
        </w:tc>
        <w:tc>
          <w:tcPr>
            <w:tcW w:w="11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Derivative</w:t>
            </w:r>
          </w:p>
        </w:tc>
      </w:tr>
      <w:tr>
        <w:trPr>
          <w:trHeight w:val="238"/>
        </w:trPr>
        <w:tc>
          <w:tcPr>
            <w:tcW w:w="59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Liabilities</w:t>
            </w:r>
          </w:p>
        </w:tc>
      </w:tr>
      <w:tr>
        <w:trPr>
          <w:trHeight w:val="210"/>
        </w:trPr>
        <w:tc>
          <w:tcPr>
            <w:tcW w:w="5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six-month period</w:t>
            </w:r>
          </w:p>
        </w:tc>
        <w:tc>
          <w:tcPr>
            <w:tcW w:w="2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twelve-month period</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recognized in statement of profit or loss during the period</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355</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3,026</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1,253</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5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(2,407)</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7"/>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2,255</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1,281</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gain or loss on derivatives are recognized in Net financial (expenses) income in the interim consolidated statements of profit or loss and comprehensive profit or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0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2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(2,424)</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16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(296)</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(loss) on settled contracts</w:t>
            </w:r>
          </w:p>
        </w:tc>
        <w:tc>
          <w:tcPr>
            <w:tcW w:w="2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289</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651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7"/>
        </w:trPr>
        <w:tc>
          <w:tcPr>
            <w:tcW w:w="506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(2,135)</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(215)</w:t>
            </w:r>
          </w:p>
        </w:tc>
        <w:tc>
          <w:tcPr>
            <w:tcW w:w="164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355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439"/>
        </w:trPr>
        <w:tc>
          <w:tcPr>
            <w:tcW w:w="50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50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ASSETS HELD FOR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assets held for sale consisted of the following:</w:t>
      </w:r>
    </w:p>
    <w:p>
      <w:pPr>
        <w:spacing w:after="0" w:line="221" w:lineRule="exact"/>
        <w:rPr>
          <w:sz w:val="20"/>
          <w:szCs w:val="20"/>
          <w:color w:val="auto"/>
        </w:rPr>
      </w:pPr>
    </w:p>
    <w:p>
      <w:pPr>
        <w:ind w:left="840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June 30,</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8,707</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w:t>
            </w:r>
          </w:p>
        </w:tc>
      </w:tr>
      <w:tr>
        <w:trPr>
          <w:trHeight w:val="217"/>
        </w:trPr>
        <w:tc>
          <w:tcPr>
            <w:tcW w:w="58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9,108</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Miners held of sale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MicroBT</w:t>
            </w:r>
          </w:p>
        </w:tc>
        <w:tc>
          <w:tcPr>
            <w:tcW w:w="1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Innosilicon T2T &amp; T3,</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Canaan Avalon A10</w:t>
            </w:r>
          </w:p>
        </w:tc>
        <w:tc>
          <w:tcPr>
            <w:tcW w:w="70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MicroBT</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M30, M31 &amp; M50</w:t>
            </w:r>
          </w:p>
        </w:tc>
        <w:tc>
          <w:tcPr>
            <w:tcW w:w="1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and Antminer T15 &amp;</w:t>
            </w: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Bitmain S19j Pro</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S15 Miners</w:t>
            </w:r>
          </w:p>
        </w:tc>
        <w:tc>
          <w:tcPr>
            <w:tcW w:w="16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M20S Miners</w:t>
            </w: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bottom w:val="single" w:sz="8" w:color="auto"/>
            </w:tcBorders>
          </w:tcPr>
          <w:p>
            <w:pPr>
              <w:spacing w:after="0"/>
              <w:rPr>
                <w:sz w:val="20"/>
                <w:szCs w:val="20"/>
                <w:color w:val="auto"/>
              </w:rPr>
            </w:pPr>
          </w:p>
        </w:tc>
      </w:tr>
      <w:tr>
        <w:trPr>
          <w:trHeight w:val="209"/>
        </w:trPr>
        <w:tc>
          <w:tcPr>
            <w:tcW w:w="5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Qty</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Qty</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Qty</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Qty</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Qty</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1,272</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1,030</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3,784</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1,848</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2,148</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(1,781)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(3,120)</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(3,120)</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10"/>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316</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300</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205</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1,031</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w:t>
            </w: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38,302</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7,928</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2,609</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822</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40,911</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8,750</w:t>
            </w:r>
          </w:p>
        </w:tc>
      </w:tr>
      <w:tr>
        <w:trPr>
          <w:trHeight w:val="216"/>
        </w:trPr>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(205)</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(1,698)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r>
      <w:tr>
        <w:trPr>
          <w:trHeight w:val="216"/>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37,162</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7,677</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208</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2,609</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822</w:t>
            </w: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40,244</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8,707</w:t>
            </w:r>
          </w:p>
        </w:tc>
      </w:tr>
    </w:tbl>
    <w:p>
      <w:pPr>
        <w:spacing w:after="0" w:line="22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S19j Pro Bitmain Miners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2024, the Company ceased using 2,609 Bitmain S19J Pro Miners and plans to dispose of them within the next 12 months.</w:t>
      </w:r>
    </w:p>
    <w:p>
      <w:pPr>
        <w:spacing w:after="0" w:line="207"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sold 300 Bitmain S19j Pro Miners with a carrying amount of $205 and disposed of them for net proceeds of $205 resulting in no gain or loss.</w:t>
      </w:r>
    </w:p>
    <w:p>
      <w:pPr>
        <w:spacing w:after="0" w:line="160"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M30, M31 and M50 Miners</w:t>
      </w:r>
    </w:p>
    <w:p>
      <w:pPr>
        <w:spacing w:after="0" w:line="29" w:lineRule="exact"/>
        <w:rPr>
          <w:sz w:val="20"/>
          <w:szCs w:val="20"/>
          <w:color w:val="auto"/>
        </w:rPr>
      </w:pPr>
    </w:p>
    <w:p>
      <w:pPr>
        <w:ind w:right="20" w:hanging="4"/>
        <w:spacing w:after="0" w:line="260" w:lineRule="auto"/>
        <w:rPr>
          <w:sz w:val="20"/>
          <w:szCs w:val="20"/>
          <w:color w:val="auto"/>
        </w:rPr>
      </w:pPr>
      <w:r>
        <w:rPr>
          <w:rFonts w:ascii="Times New Roman" w:cs="Times New Roman" w:eastAsia="Times New Roman" w:hAnsi="Times New Roman"/>
          <w:sz w:val="18"/>
          <w:szCs w:val="18"/>
          <w:color w:val="auto"/>
        </w:rPr>
        <w:t>During the first quarter of 2024, the company ceased using 2,775 MicroBT WhatsMiner M30 Miners and 4,921 MicroBT WhatsMiner M31 Miners and plans to dispose of them within the next 12 months.</w:t>
      </w:r>
    </w:p>
    <w:p>
      <w:pPr>
        <w:spacing w:after="0" w:line="181"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ceased using 22,956 MicroBT WhatsMiner M30 Miners, 7,118 MicroBT WhatsMiner M31 Miners and 532 MicroBt WhatsMiner M50 Miners and plans to dispose of them within the next 12 months.</w:t>
      </w:r>
    </w:p>
    <w:p>
      <w:pPr>
        <w:spacing w:after="0" w:line="162"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sold an aggregate 1,140 MicroBT WhatsMiner M30 and M31 Miners with a carrying amount of $251 and disposed of them for net proceeds of $289 resulting in a gain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 xml:space="preserve">ASSETS HELD FOR SALE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Miners held of sale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M20S Miners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the Company sold 258 MicroBT WhatsMiner M20S Miners with a carrying amount of $108 and disposed of them for net proceeds of $34 resulting in a loss of $74. Management determined that the remaining MicroBT WhatsMiner M20S Miners continue to meet the criteria to be classified as held for sale as of June 30, 2024.</w:t>
      </w:r>
    </w:p>
    <w:p>
      <w:pPr>
        <w:spacing w:after="0" w:line="18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impairment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short-term prepaid deposits during the second quarter of 2023</w:t>
      </w:r>
    </w:p>
    <w:p>
      <w:pPr>
        <w:spacing w:after="0" w:line="3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statements of financial position. During the second quarter of 2023, the Company decided to terminate the importation agreements with the external brokers as of June 30, 2023.</w:t>
      </w:r>
    </w:p>
    <w:p>
      <w:pPr>
        <w:spacing w:after="0" w:line="18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The Company assumed the cost of terminating the importation agreements with the brokers in order to execute its new importation strategy, resulting in the Company forgoing a deposits balance of $6,982. Accordingly, during the second quarter of 2023, the Company impaired $6,982 of short-term prepaid deposits. This impairment is presented in the consolidated statements of profit or loss and comprehensive profit or loss under Impairment on short-term prepaid deposits, equipment and construction prepayments, property, plant and equipment and right-of-use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mineral assets during the second quarter of 2023</w:t>
      </w:r>
    </w:p>
    <w:p>
      <w:pPr>
        <w:spacing w:after="0" w:line="3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The Suni mineral asset was acquired in connection with the reverse acquisition of Bitfarms Ltd (Israel) on April 12, 2018, and its value at the time was estimated at $9,000 based on an independent appraiser’s valuation. Suni is an iron ore deposit located in Canada that was held by the acquiree. Since its acquisition, following the presence of impairment indicators, the Suni mineral asset was written down to a net book value of $3,000 as of December 31, 2022.</w:t>
      </w:r>
    </w:p>
    <w:p>
      <w:pPr>
        <w:spacing w:after="0" w:line="18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the second quarter of 2023, in connection with the planned disposal of the Suni mineral asset, Management tested the cash-generating unit for impairment, resulting in a further impairment charge of $3,000 and reducing the carrying amount to nil. This impairment charge is presented in the consolidated statements of profit or loss and comprehensive profit or loss under Impairment on short-term prepaid deposits, equipment and construction prepayments, property, plant and equipment and right-of-use assets. On July 27, 2023, the Company sold the Suni mineral asset for a nominal amount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PPE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36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 components</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354,803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5,740</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50,728</w:t>
            </w:r>
          </w:p>
        </w:tc>
        <w:tc>
          <w:tcPr>
            <w:tcW w:w="1060" w:type="dxa"/>
            <w:vAlign w:val="bottom"/>
            <w:tcBorders>
              <w:bottom w:val="single" w:sz="8" w:color="auto"/>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1,262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412,533</w:t>
            </w: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151,398</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11,231</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2,112</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164,819</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(560)</w:t>
            </w:r>
          </w:p>
        </w:tc>
        <w:tc>
          <w:tcPr>
            <w:tcW w:w="10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(168,148)</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(168,148)</w:t>
            </w:r>
          </w:p>
        </w:tc>
      </w:tr>
      <w:tr>
        <w:trPr>
          <w:trHeight w:val="216"/>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(14,763)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(657)</w:t>
            </w:r>
          </w:p>
        </w:tc>
        <w:tc>
          <w:tcPr>
            <w:tcW w:w="1060" w:type="dxa"/>
            <w:vAlign w:val="bottom"/>
            <w:tcBorders>
              <w:bottom w:val="single" w:sz="8" w:color="auto"/>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10"/>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323,183</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16,543</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51,623</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1,297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392,646</w:t>
            </w:r>
          </w:p>
        </w:tc>
      </w:tr>
      <w:tr>
        <w:trPr>
          <w:trHeight w:val="209"/>
        </w:trPr>
        <w:tc>
          <w:tcPr>
            <w:tcW w:w="3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199,794</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424</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25,656</w:t>
            </w:r>
          </w:p>
        </w:tc>
        <w:tc>
          <w:tcPr>
            <w:tcW w:w="1060" w:type="dxa"/>
            <w:vAlign w:val="bottom"/>
            <w:tcBorders>
              <w:bottom w:val="single" w:sz="8" w:color="auto"/>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647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226,521</w:t>
            </w: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92,414</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94,601</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depreciation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23, 25</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(8,624)</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(104)</w:t>
            </w:r>
          </w:p>
        </w:tc>
        <w:tc>
          <w:tcPr>
            <w:tcW w:w="10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(423)</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(159,289)</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(159,289)</w:t>
            </w:r>
          </w:p>
        </w:tc>
      </w:tr>
      <w:tr>
        <w:trPr>
          <w:trHeight w:val="21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on deposits transferred to PPE</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6,750</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6,750</w:t>
            </w:r>
          </w:p>
        </w:tc>
      </w:tr>
      <w:tr>
        <w:trPr>
          <w:trHeight w:val="210"/>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131,014</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481</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27,145</w:t>
            </w:r>
          </w:p>
        </w:tc>
        <w:tc>
          <w:tcPr>
            <w:tcW w:w="1060" w:type="dxa"/>
            <w:vAlign w:val="bottom"/>
            <w:tcBorders>
              <w:bottom w:val="single" w:sz="8" w:color="auto"/>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713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159,353</w:t>
            </w:r>
          </w:p>
        </w:tc>
      </w:tr>
      <w:tr>
        <w:trPr>
          <w:trHeight w:val="209"/>
        </w:trPr>
        <w:tc>
          <w:tcPr>
            <w:tcW w:w="3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7"/>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 as of June 30, 2024</w:t>
            </w: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192,169</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16,062</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24,478</w:t>
            </w:r>
          </w:p>
        </w:tc>
        <w:tc>
          <w:tcPr>
            <w:tcW w:w="1060" w:type="dxa"/>
            <w:vAlign w:val="bottom"/>
            <w:tcBorders>
              <w:bottom w:val="single" w:sz="8" w:color="auto"/>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584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233,293</w:t>
            </w:r>
          </w:p>
        </w:tc>
      </w:tr>
      <w:tr>
        <w:trPr>
          <w:trHeight w:val="437"/>
        </w:trPr>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36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 components</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308,205</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45,278</w:t>
            </w:r>
          </w:p>
        </w:tc>
        <w:tc>
          <w:tcPr>
            <w:tcW w:w="1060" w:type="dxa"/>
            <w:vAlign w:val="bottom"/>
            <w:tcBorders>
              <w:bottom w:val="single" w:sz="8" w:color="auto"/>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1,082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367,957</w:t>
            </w: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63,598</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5,924</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71,142</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Borders>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(7,325)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(9,688)</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1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change in discount rate</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(499)</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0"/>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354,803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50,728</w:t>
            </w:r>
          </w:p>
        </w:tc>
        <w:tc>
          <w:tcPr>
            <w:tcW w:w="1060" w:type="dxa"/>
            <w:vAlign w:val="bottom"/>
            <w:tcBorders>
              <w:bottom w:val="single" w:sz="8" w:color="auto"/>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1,262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412,533</w:t>
            </w:r>
          </w:p>
        </w:tc>
      </w:tr>
      <w:tr>
        <w:trPr>
          <w:trHeight w:val="209"/>
        </w:trPr>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r>
      <w:tr>
        <w:trPr>
          <w:trHeight w:val="209"/>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120,097</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6,000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21,636</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148,529</w:t>
            </w: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77,551</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3,556</w:t>
            </w:r>
          </w:p>
        </w:tc>
        <w:tc>
          <w:tcPr>
            <w:tcW w:w="1060" w:type="dxa"/>
            <w:vAlign w:val="bottom"/>
            <w:tcBorders>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81,455</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(5,756)</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(8,418)</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2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1,882</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r>
      <w:tr>
        <w:trPr>
          <w:trHeight w:val="216"/>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deposits transferred to PPE</w:t>
            </w: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14,438</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469</w:t>
            </w:r>
          </w:p>
        </w:tc>
        <w:tc>
          <w:tcPr>
            <w:tcW w:w="1060" w:type="dxa"/>
            <w:vAlign w:val="bottom"/>
            <w:tcBorders>
              <w:bottom w:val="single" w:sz="8" w:color="auto"/>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r>
      <w:tr>
        <w:trPr>
          <w:trHeight w:val="209"/>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199,794</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25,656</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647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226,521</w:t>
            </w:r>
          </w:p>
        </w:tc>
      </w:tr>
      <w:tr>
        <w:trPr>
          <w:trHeight w:val="209"/>
        </w:trPr>
        <w:tc>
          <w:tcPr>
            <w:tcW w:w="36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r>
      <w:tr>
        <w:trPr>
          <w:trHeight w:val="21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2023</w:t>
            </w: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155,009</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25,072</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615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186,012</w:t>
            </w:r>
          </w:p>
        </w:tc>
      </w:tr>
      <w:tr>
        <w:trPr>
          <w:trHeight w:val="466"/>
        </w:trPr>
        <w:tc>
          <w:tcPr>
            <w:tcW w:w="3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BVVE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of the quantity and models of BTC BVVE held by the Company as of June 30, 2024 and December 31, 2023 are as follows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06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T21</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S21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2024</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51,738</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16,361</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68,099</w:t>
            </w: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1,943</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35,898</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41,816</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(1,398)</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(300)</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June 30, 2024</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52,283</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16,061</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35,898</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108,217</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(37,635)</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(2,609)</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(40,244)</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14,648</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13,452</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35,898</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67,973</w:t>
            </w:r>
          </w:p>
        </w:tc>
      </w:tr>
    </w:tbl>
    <w:p>
      <w:pPr>
        <w:spacing w:after="0" w:line="198" w:lineRule="exact"/>
        <w:rPr>
          <w:sz w:val="20"/>
          <w:szCs w:val="20"/>
          <w:color w:val="auto"/>
        </w:rPr>
      </w:pPr>
    </w:p>
    <w:p>
      <w:pPr>
        <w:ind w:firstLine="3"/>
        <w:spacing w:after="0" w:line="282" w:lineRule="auto"/>
        <w:tabs>
          <w:tab w:leader="none" w:pos="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473 M20S classified as assets held for sale, 34,877 M30 of which 24,657 are classified as assets held for sale, 12,517 M31 of which 11,973 are classified as assets held for sale, 1,943 M50 of which 532 are classified as assets held for sale and 2,473 M53 Miners.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for more details on assets held for sale.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98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2023</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45,375</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7,172</w:t>
            </w:r>
          </w:p>
        </w:tc>
        <w:tc>
          <w:tcPr>
            <w:tcW w:w="1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5,711</w:t>
            </w:r>
          </w:p>
        </w:tc>
        <w:tc>
          <w:tcPr>
            <w:tcW w:w="14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58,258</w:t>
            </w: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8,281</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9,289</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17,979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(1,918)</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(5,711)</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2023</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51,738</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16,361</w:t>
            </w: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68,099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(731)</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1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51,007</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16,061</w:t>
            </w: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67,068</w:t>
            </w:r>
          </w:p>
        </w:tc>
      </w:tr>
    </w:tbl>
    <w:p>
      <w:pPr>
        <w:spacing w:after="0" w:line="198" w:lineRule="exact"/>
        <w:rPr>
          <w:sz w:val="20"/>
          <w:szCs w:val="20"/>
          <w:color w:val="auto"/>
        </w:rPr>
      </w:pPr>
    </w:p>
    <w:p>
      <w:pPr>
        <w:ind w:right="3500" w:firstLine="3"/>
        <w:spacing w:after="0" w:line="532" w:lineRule="auto"/>
        <w:tabs>
          <w:tab w:leader="none" w:pos="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731 M20S classified as assets held for sale, 36,018 M30S, 12,517 M31S and 2,473 M50 Miners. Refer to Note 8 for more details on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useful life, residual value and depreciation method of certain BVVE</w:t>
      </w:r>
    </w:p>
    <w:p>
      <w:pPr>
        <w:spacing w:after="0" w:line="3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Company exercised its purchase option for 28,000 Bitmain T21 Miners and entered into purchase agreements to acquire 19,280 Bitmain T21 Miners, 3,888 Bitmain S21 Miners and 740 Bitmain S21 hydro Miners. Refer to Note 12 for more details. The Company intends to liquidate its older Miners that are expected to be replaced with the Bitmain T21 Miners, Bitmain S21 Miners, Bitmain S21 hydro Miners and other hydro Miners.</w:t>
      </w:r>
    </w:p>
    <w:p>
      <w:pPr>
        <w:spacing w:after="0" w:line="18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Accelerated depreciation</w:t>
      </w:r>
    </w:p>
    <w:p>
      <w:pPr>
        <w:spacing w:after="0" w:line="29" w:lineRule="exact"/>
        <w:rPr>
          <w:sz w:val="20"/>
          <w:szCs w:val="20"/>
          <w:color w:val="auto"/>
        </w:rPr>
      </w:pPr>
    </w:p>
    <w:p>
      <w:pPr>
        <w:ind w:hanging="4"/>
        <w:spacing w:after="0" w:line="260" w:lineRule="auto"/>
        <w:rPr>
          <w:sz w:val="20"/>
          <w:szCs w:val="20"/>
          <w:color w:val="auto"/>
        </w:rPr>
      </w:pPr>
      <w:r>
        <w:rPr>
          <w:rFonts w:ascii="Times New Roman" w:cs="Times New Roman" w:eastAsia="Times New Roman" w:hAnsi="Times New Roman"/>
          <w:sz w:val="18"/>
          <w:szCs w:val="18"/>
          <w:color w:val="auto"/>
        </w:rPr>
        <w:t>The older Miners will remain in service until the new Miners are installed to replace them. The Company has changed the usage and the retention strategy of the older Miners and, accordingly, revised their specific useful life, residual value and depreciation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are summarized as follows:</w:t>
      </w:r>
    </w:p>
    <w:p>
      <w:pPr>
        <w:spacing w:after="0" w:line="2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specific useful life of the older Miners from five years to two years to reflect their eventual disposal in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residual values to reflect the expected proceeds from the eventual disposals;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the depreciation method from sum-of-years over five years to straight-line method over two years to represent the change in pattern in which their future economic benefits are expected to be consumed by the Company.</w:t>
      </w:r>
    </w:p>
    <w:p>
      <w:pPr>
        <w:spacing w:after="0" w:line="181"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accelerated depreciation of $46,154 and $64,657, respectively, on its older Miners. These assets are expected to be depreciated to their residual values by the end of 2024.</w:t>
      </w:r>
    </w:p>
    <w:p>
      <w:pPr>
        <w:spacing w:after="0" w:line="162"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The decision to replace the older Miners, as well as a review of the useful life, residual value and depreciation method were indicators for impairment testing during the first quarter of 2024. As a result, the Company performed evaluations of the recoverable amount of the assets for operating the data centers separately in Quebec, Washington State, Argentina and Paraguay. Based on its calculations, which were based on discounted cash flow models, the Company determined that no impairment loss should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3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0"/>
        </w:trPr>
        <w:tc>
          <w:tcPr>
            <w:tcW w:w="10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Access rights to</w:t>
            </w:r>
          </w:p>
        </w:tc>
        <w:tc>
          <w:tcPr>
            <w:tcW w:w="960" w:type="dxa"/>
            <w:vAlign w:val="bottom"/>
          </w:tcPr>
          <w:p>
            <w:pPr>
              <w:spacing w:after="0"/>
              <w:rPr>
                <w:sz w:val="24"/>
                <w:szCs w:val="24"/>
                <w:color w:val="auto"/>
              </w:rPr>
            </w:pPr>
          </w:p>
        </w:tc>
      </w:tr>
      <w:tr>
        <w:trPr>
          <w:trHeight w:val="238"/>
        </w:trPr>
        <w:tc>
          <w:tcPr>
            <w:tcW w:w="10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Systems software</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3,801</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8,951</w:t>
            </w:r>
          </w:p>
        </w:tc>
      </w:tr>
      <w:tr>
        <w:trPr>
          <w:trHeight w:val="216"/>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40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912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912</w:t>
            </w:r>
          </w:p>
        </w:tc>
      </w:tr>
      <w:tr>
        <w:trPr>
          <w:trHeight w:val="210"/>
        </w:trPr>
        <w:tc>
          <w:tcPr>
            <w:tcW w:w="50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3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4,713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9,863</w:t>
            </w:r>
          </w:p>
        </w:tc>
      </w:tr>
      <w:tr>
        <w:trPr>
          <w:trHeight w:val="209"/>
        </w:trPr>
        <w:tc>
          <w:tcPr>
            <w:tcW w:w="10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4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5,138</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113</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5,251</w:t>
            </w:r>
          </w:p>
        </w:tc>
      </w:tr>
      <w:tr>
        <w:trPr>
          <w:trHeight w:val="216"/>
        </w:trPr>
        <w:tc>
          <w:tcPr>
            <w:tcW w:w="1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0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228</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w:t>
            </w:r>
          </w:p>
        </w:tc>
      </w:tr>
      <w:tr>
        <w:trPr>
          <w:trHeight w:val="209"/>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3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5,144</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341</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5,485</w:t>
            </w:r>
          </w:p>
        </w:tc>
      </w:tr>
      <w:tr>
        <w:trPr>
          <w:trHeight w:val="210"/>
        </w:trPr>
        <w:tc>
          <w:tcPr>
            <w:tcW w:w="1060" w:type="dxa"/>
            <w:vAlign w:val="bottom"/>
            <w:tcBorders>
              <w:bottom w:val="single" w:sz="8" w:color="auto"/>
            </w:tcBorders>
            <w:shd w:val="clear" w:color="auto" w:fill="CCEEFF"/>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6"/>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 as of June 30, 2024</w:t>
            </w:r>
          </w:p>
        </w:tc>
        <w:tc>
          <w:tcPr>
            <w:tcW w:w="3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4,372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4,378</w:t>
            </w:r>
          </w:p>
        </w:tc>
      </w:tr>
      <w:tr>
        <w:trPr>
          <w:trHeight w:val="437"/>
        </w:trPr>
        <w:tc>
          <w:tcPr>
            <w:tcW w:w="10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Access rights to</w:t>
            </w:r>
          </w:p>
        </w:tc>
        <w:tc>
          <w:tcPr>
            <w:tcW w:w="960" w:type="dxa"/>
            <w:vAlign w:val="bottom"/>
          </w:tcPr>
          <w:p>
            <w:pPr>
              <w:spacing w:after="0"/>
              <w:rPr>
                <w:sz w:val="24"/>
                <w:szCs w:val="24"/>
                <w:color w:val="auto"/>
              </w:rPr>
            </w:pPr>
          </w:p>
        </w:tc>
      </w:tr>
      <w:tr>
        <w:trPr>
          <w:trHeight w:val="238"/>
        </w:trPr>
        <w:tc>
          <w:tcPr>
            <w:tcW w:w="10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Systems software</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5,150</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r>
      <w:tr>
        <w:trPr>
          <w:trHeight w:val="216"/>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3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3,801</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3,801</w:t>
            </w:r>
          </w:p>
        </w:tc>
      </w:tr>
      <w:tr>
        <w:trPr>
          <w:trHeight w:val="210"/>
        </w:trPr>
        <w:tc>
          <w:tcPr>
            <w:tcW w:w="50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5,150</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3,801</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8,951</w:t>
            </w:r>
          </w:p>
        </w:tc>
      </w:tr>
      <w:tr>
        <w:trPr>
          <w:trHeight w:val="210"/>
        </w:trPr>
        <w:tc>
          <w:tcPr>
            <w:tcW w:w="10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4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5,117</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5,117</w:t>
            </w:r>
          </w:p>
        </w:tc>
      </w:tr>
      <w:tr>
        <w:trPr>
          <w:trHeight w:val="216"/>
        </w:trPr>
        <w:tc>
          <w:tcPr>
            <w:tcW w:w="1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0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10"/>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5,138</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5,251</w:t>
            </w:r>
          </w:p>
        </w:tc>
      </w:tr>
      <w:tr>
        <w:trPr>
          <w:trHeight w:val="210"/>
        </w:trPr>
        <w:tc>
          <w:tcPr>
            <w:tcW w:w="1060" w:type="dxa"/>
            <w:vAlign w:val="bottom"/>
            <w:tcBorders>
              <w:bottom w:val="single" w:sz="8" w:color="auto"/>
            </w:tcBorders>
            <w:shd w:val="clear" w:color="auto" w:fill="CCEEFF"/>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6"/>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book value as of December 31, 2023</w:t>
            </w:r>
          </w:p>
        </w:tc>
        <w:tc>
          <w:tcPr>
            <w:tcW w:w="3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3,688</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Additions related to access rights to electricity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received approval from the power supplier in Washington State for a 6 MW expansion. During the second quarter of 2023, the Company began constructing an additional data center on Company-owned land and paid $912 to the power supplier for establishing the connection, which was capitalized as long-term deposits, equipment, prepayments and other. During the six months ended June 30, 2024, the power supplier established the electricity connection, allowing the Company to access the 6 MW of hydro power capacity. As a result, the balance of $912 was reclassified from long-term deposits, equipment, prepayments and other to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 xml:space="preserve">INTANGIBLE ASSETS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access rights to electricity: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3000" w:type="dxa"/>
            <w:vAlign w:val="bottom"/>
          </w:tcPr>
          <w:p>
            <w:pPr>
              <w:spacing w:after="0"/>
              <w:rPr>
                <w:sz w:val="18"/>
                <w:szCs w:val="18"/>
                <w:color w:val="auto"/>
              </w:rPr>
            </w:pPr>
          </w:p>
        </w:tc>
      </w:tr>
      <w:tr>
        <w:trPr>
          <w:trHeight w:val="238"/>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intangibles ($)</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09"/>
        </w:trPr>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Washington State, USA</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912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25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 termination date</w:t>
            </w:r>
          </w:p>
        </w:tc>
        <w:tc>
          <w:tcPr>
            <w:tcW w:w="30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Declining balance 4%</w:t>
            </w:r>
          </w:p>
        </w:tc>
      </w:tr>
      <w:tr>
        <w:trPr>
          <w:trHeight w:val="210"/>
        </w:trPr>
        <w:tc>
          <w:tcPr>
            <w:tcW w:w="7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912</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 MW</w:t>
            </w:r>
          </w:p>
        </w:tc>
        <w:tc>
          <w:tcPr>
            <w:tcW w:w="25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r>
      <w:tr>
        <w:trPr>
          <w:trHeight w:val="209"/>
        </w:trPr>
        <w:tc>
          <w:tcPr>
            <w:tcW w:w="7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1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Baie-Comeau, Quebec</w:t>
            </w:r>
          </w:p>
        </w:tc>
        <w:tc>
          <w:tcPr>
            <w:tcW w:w="160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2,315</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5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No termination date</w:t>
            </w:r>
          </w:p>
        </w:tc>
        <w:tc>
          <w:tcPr>
            <w:tcW w:w="30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Straight-line over the lease term of the</w:t>
            </w:r>
          </w:p>
        </w:tc>
      </w:tr>
      <w:tr>
        <w:trPr>
          <w:trHeight w:val="234"/>
        </w:trPr>
        <w:tc>
          <w:tcPr>
            <w:tcW w:w="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center</w:t>
            </w:r>
          </w:p>
        </w:tc>
      </w:tr>
      <w:tr>
        <w:trPr>
          <w:trHeight w:val="198"/>
        </w:trPr>
        <w:tc>
          <w:tcPr>
            <w:tcW w:w="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1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Paso Pe, Paraguay</w:t>
            </w:r>
          </w:p>
        </w:tc>
        <w:tc>
          <w:tcPr>
            <w:tcW w:w="1600" w:type="dxa"/>
            <w:vAlign w:val="bottom"/>
            <w:shd w:val="clear" w:color="auto" w:fill="CCEEFF"/>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1,065</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54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 Ending in December 31, 2027</w:t>
            </w:r>
          </w:p>
        </w:tc>
        <w:tc>
          <w:tcPr>
            <w:tcW w:w="30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w:t>
            </w:r>
          </w:p>
        </w:tc>
      </w:tr>
      <w:tr>
        <w:trPr>
          <w:trHeight w:val="234"/>
        </w:trPr>
        <w:tc>
          <w:tcPr>
            <w:tcW w:w="7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3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period</w:t>
            </w: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1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Yguazu, Paraguay</w:t>
            </w:r>
          </w:p>
        </w:tc>
        <w:tc>
          <w:tcPr>
            <w:tcW w:w="160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421</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54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 Ending in December 31, 2027</w:t>
            </w:r>
          </w:p>
        </w:tc>
        <w:tc>
          <w:tcPr>
            <w:tcW w:w="30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w:t>
            </w:r>
          </w:p>
        </w:tc>
      </w:tr>
      <w:tr>
        <w:trPr>
          <w:trHeight w:val="234"/>
        </w:trPr>
        <w:tc>
          <w:tcPr>
            <w:tcW w:w="7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period</w:t>
            </w:r>
          </w:p>
        </w:tc>
      </w:tr>
      <w:tr>
        <w:trPr>
          <w:trHeight w:val="209"/>
        </w:trPr>
        <w:tc>
          <w:tcPr>
            <w:tcW w:w="70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3,801</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MW</w:t>
            </w:r>
          </w:p>
        </w:tc>
        <w:tc>
          <w:tcPr>
            <w:tcW w:w="254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shd w:val="clear" w:color="auto" w:fill="CCEEFF"/>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23"/>
        </w:trPr>
        <w:tc>
          <w:tcPr>
            <w:tcW w:w="7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4,713</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MW</w:t>
            </w:r>
          </w:p>
        </w:tc>
        <w:tc>
          <w:tcPr>
            <w:tcW w:w="2540" w:type="dxa"/>
            <w:vAlign w:val="bottom"/>
            <w:tcBorders>
              <w:bottom w:val="single" w:sz="8" w:color="auto"/>
            </w:tcBorders>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19"/>
                <w:szCs w:val="19"/>
                <w:color w:val="auto"/>
              </w:rPr>
            </w:pPr>
          </w:p>
        </w:tc>
      </w:tr>
    </w:tbl>
    <w:p>
      <w:pPr>
        <w:spacing w:after="0" w:line="198" w:lineRule="exact"/>
        <w:rPr>
          <w:sz w:val="20"/>
          <w:szCs w:val="20"/>
          <w:color w:val="auto"/>
        </w:rPr>
      </w:pPr>
    </w:p>
    <w:p>
      <w:pPr>
        <w:ind w:right="20" w:firstLine="3"/>
        <w:spacing w:after="0" w:line="282" w:lineRule="auto"/>
        <w:tabs>
          <w:tab w:leader="none" w:pos="1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162" w:lineRule="exact"/>
        <w:rPr>
          <w:sz w:val="20"/>
          <w:szCs w:val="20"/>
          <w:color w:val="auto"/>
        </w:rPr>
      </w:pPr>
    </w:p>
    <w:p>
      <w:pPr>
        <w:ind w:firstLine="3"/>
        <w:spacing w:after="0" w:line="282" w:lineRule="auto"/>
        <w:tabs>
          <w:tab w:leader="none" w:pos="2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Company finalized an amendment to the existing contract for an additional 100 MW of energy capacity for a total capacity of 200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w:t>
            </w:r>
          </w:p>
        </w:tc>
        <w:tc>
          <w:tcPr>
            <w:tcW w:w="9060" w:type="dxa"/>
            <w:vAlign w:val="bottom"/>
            <w:gridSpan w:val="3"/>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LONG-TERM DEPOSITS, EQUIPMENT PREPAYMENTS, COMMITMENTS AND OTHER</w:t>
            </w:r>
          </w:p>
        </w:tc>
        <w:tc>
          <w:tcPr>
            <w:tcW w:w="1180" w:type="dxa"/>
            <w:vAlign w:val="bottom"/>
          </w:tcPr>
          <w:p>
            <w:pPr>
              <w:spacing w:after="0"/>
              <w:rPr>
                <w:sz w:val="20"/>
                <w:szCs w:val="20"/>
                <w:color w:val="auto"/>
              </w:rPr>
            </w:pPr>
          </w:p>
        </w:tc>
      </w:tr>
      <w:tr>
        <w:trPr>
          <w:trHeight w:val="432"/>
        </w:trPr>
        <w:tc>
          <w:tcPr>
            <w:tcW w:w="10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r>
      <w:tr>
        <w:trPr>
          <w:trHeight w:val="210"/>
        </w:trPr>
        <w:tc>
          <w:tcPr>
            <w:tcW w:w="10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2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a</w:t>
            </w:r>
          </w:p>
        </w:tc>
        <w:tc>
          <w:tcPr>
            <w:tcW w:w="17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12,881</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4,901</w:t>
            </w:r>
          </w:p>
        </w:tc>
      </w:tr>
      <w:tr>
        <w:trPr>
          <w:trHeight w:val="216"/>
        </w:trPr>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2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b</w:t>
            </w:r>
          </w:p>
        </w:tc>
        <w:tc>
          <w:tcPr>
            <w:tcW w:w="1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34,909</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r>
        <w:trPr>
          <w:trHeight w:val="217"/>
        </w:trPr>
        <w:tc>
          <w:tcPr>
            <w:tcW w:w="1000" w:type="dxa"/>
            <w:vAlign w:val="bottom"/>
            <w:tcBorders>
              <w:bottom w:val="single" w:sz="8" w:color="auto"/>
            </w:tcBorders>
            <w:shd w:val="clear" w:color="auto" w:fill="CCEEFF"/>
          </w:tcPr>
          <w:p>
            <w:pPr>
              <w:spacing w:after="0"/>
              <w:rPr>
                <w:sz w:val="18"/>
                <w:szCs w:val="18"/>
                <w:color w:val="auto"/>
              </w:rPr>
            </w:pPr>
          </w:p>
        </w:tc>
        <w:tc>
          <w:tcPr>
            <w:tcW w:w="474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47,790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44,714</w:t>
            </w:r>
          </w:p>
        </w:tc>
      </w:tr>
    </w:tbl>
    <w:p>
      <w:pPr>
        <w:spacing w:after="0" w:line="194"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 deposits for energy, insurance and rent</w:t>
      </w:r>
    </w:p>
    <w:p>
      <w:pPr>
        <w:spacing w:after="0" w:line="31"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As of June 30, 2024, the Company had security deposits for energy, insurance and rent in the amount of $12,881, which includes $5,930 and $3,380 of security deposits for energy consumption at its operational Paso Pe data center and at its future Yguazu data center in Paraguay, respectively. On May 13, 2024, the Company amended its power purchase agreement (“PPA”) for its Yguazu data center to increase the contracted power from 100 MW to 200 MW beginning on January 1, 2025. The Company is required to pay security deposits totaling $16,245 between June 2024 and January 2025 for future electricity consumption. The security deposits paid to the energy supplier are refundable at the end of the contract term in December 2027 assuming the Company draws power based on the agreed upon schedule and is not in breach of other clauses in the PPA.</w:t>
      </w:r>
    </w:p>
    <w:p>
      <w:pPr>
        <w:spacing w:after="0" w:line="18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and construction prepayments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equipment and construction prepayments:</w:t>
      </w:r>
    </w:p>
    <w:p>
      <w:pPr>
        <w:spacing w:after="0" w:line="203" w:lineRule="exact"/>
        <w:rPr>
          <w:sz w:val="20"/>
          <w:szCs w:val="20"/>
          <w:color w:val="auto"/>
        </w:rPr>
      </w:pPr>
    </w:p>
    <w:p>
      <w:pPr>
        <w:ind w:left="840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June 30,</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 credits</w:t>
            </w:r>
          </w:p>
        </w:tc>
        <w:tc>
          <w:tcPr>
            <w:tcW w:w="25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i.</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Bitmain T21 Miners Purchase Order and Purchase Option</w:t>
            </w:r>
          </w:p>
        </w:tc>
        <w:tc>
          <w:tcPr>
            <w:tcW w:w="2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ii.</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7,448</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16,912</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Purchase Order</w:t>
            </w:r>
          </w:p>
        </w:tc>
        <w:tc>
          <w:tcPr>
            <w:tcW w:w="25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iii.</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7,731</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BVVE and electrical components</w:t>
            </w:r>
          </w:p>
        </w:tc>
        <w:tc>
          <w:tcPr>
            <w:tcW w:w="2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iv.</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6,348</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r>
      <w:tr>
        <w:trPr>
          <w:trHeight w:val="216"/>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work and materials</w:t>
            </w:r>
          </w:p>
        </w:tc>
        <w:tc>
          <w:tcPr>
            <w:tcW w:w="25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v.</w:t>
            </w:r>
          </w:p>
        </w:tc>
        <w:tc>
          <w:tcPr>
            <w:tcW w:w="15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13,382</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7,171</w:t>
            </w:r>
          </w:p>
        </w:tc>
      </w:tr>
      <w:tr>
        <w:trPr>
          <w:trHeight w:val="216"/>
        </w:trPr>
        <w:tc>
          <w:tcPr>
            <w:tcW w:w="60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34,909</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bl>
    <w:p>
      <w:pPr>
        <w:spacing w:after="0" w:line="196"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Miner credits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In December 2022, the Company renegotiated its previous purchase agreements for 48,000 Miners by extinguishing the outstanding commitments of $45,350 without penalty and establishing a $22,376 credit for deposits previously made. The Company received $3,279 of Miners, reducing the outstanding credit balance to $19,097 at December 31, 2022, which was fully utilized during 2023 for the acquisition of hydro Miners and hydro containers. These items were received during the six months ended June 30, 2024 and the long-term deposit balance was reduced to nil upon the transfer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Equipment and construction prepayments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Bitmain T21 Miners Purchase Order and Purchase Option</w:t>
      </w:r>
    </w:p>
    <w:p>
      <w:pPr>
        <w:spacing w:after="0" w:line="9"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During the fourth quarter of 2023, the Company placed a firm purchase order for approximately 35,888 Bitmain T21 Miners (the ’‘Purchase Order’’) totaling $95,462 with deliveries scheduled from March 2024 to May 2024 and made a non-refundable deposit of $9,464. In addition, the Company secured a purchase option for approximately an additional 28,000 Bitmain T21 Miners (the ’‘Purchase Option’’) totaling $74,480 and made a non-refundable deposit of $7,448. This Purchase Option gives the Company the right, exercisable until December 31, 2024, but not the obligation, to purchase up to 28,000 additional Bitmain T21 Miners. The total hashrate from the Miners received should correspond to the total hashrate specified in the initial agreements. The quantity of Miners received may vary based on the individual specifications of each Miner.</w:t>
      </w:r>
    </w:p>
    <w:p>
      <w:pPr>
        <w:spacing w:after="0" w:line="190"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made additional deposits of $85,998 towards the Purchase Order, of which approximately 35,900 Bitmain T21 Miners with a book value of $95,462 were received or in transit. During the first quarter of 2024, the Company also fully exercised the Purchase Option with deliveries scheduled for September and October 2024. As of June 30, 2024, the deposit balance for the Purchase Order and the Purchase Option was $7,448.</w:t>
      </w:r>
    </w:p>
    <w:p>
      <w:pPr>
        <w:spacing w:after="0" w:line="178"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March 2024 Purchase Order</w:t>
      </w:r>
    </w:p>
    <w:p>
      <w:pPr>
        <w:spacing w:after="0" w:line="29"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During the first quarter of 2024, the Company purchased approximately an additional 19,280 Bitmain T21 Miners, 3,888 Bitmain S21 Miners and 740 Bitmain S21 Hydro Miners (collectively defined as the ''March 2024 Purchase Order'') for $51,285, $13,608 and $4,338, respectively, with deliveries scheduled from April 2024 to November 2024. During the six months ended June 30, 2024, the Company made deposits of $21,339 towards the March 2024 Purchase Order, of which approximately 4,000 Bitmain S21 Miners with a book value of $13,608 were received. As of June 30, 2024, the deposit balance for the March 2024 Purchase Order was $7,731. The total hashrate from the Miners received should correspond to the total hashrate specified in the initial agreements. The quantity of Miners received may vary based on the individual specifications of each Miner.</w:t>
      </w:r>
    </w:p>
    <w:p>
      <w:pPr>
        <w:spacing w:after="0" w:line="188"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BVVE and electrical components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deposits for other BVVE and electrical components in the amount of $6,348.</w:t>
      </w:r>
    </w:p>
    <w:p>
      <w:pPr>
        <w:spacing w:after="0" w:line="20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Construction work and materials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deposits for construction work and materials in the amount of $13,382, mainly for the Paraguay expansions.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remaining payment obligations in connection with the Purchase Option and the March 2024 Purchase Order are outlined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09"/>
        </w:trPr>
        <w:tc>
          <w:tcPr>
            <w:tcW w:w="654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September 30, 2024</w:t>
            </w:r>
          </w:p>
        </w:tc>
        <w:tc>
          <w:tcPr>
            <w:tcW w:w="4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84,152</w:t>
            </w:r>
          </w:p>
        </w:tc>
      </w:tr>
      <w:tr>
        <w:trPr>
          <w:trHeight w:val="216"/>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Three months ending December 31, 2024</w:t>
            </w:r>
          </w:p>
        </w:tc>
        <w:tc>
          <w:tcPr>
            <w:tcW w:w="4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30,772</w:t>
            </w:r>
          </w:p>
        </w:tc>
      </w:tr>
      <w:tr>
        <w:trPr>
          <w:trHeight w:val="217"/>
        </w:trPr>
        <w:tc>
          <w:tcPr>
            <w:tcW w:w="6540" w:type="dxa"/>
            <w:vAlign w:val="bottom"/>
            <w:tcBorders>
              <w:bottom w:val="single" w:sz="8" w:color="auto"/>
            </w:tcBorders>
            <w:shd w:val="clear" w:color="auto" w:fill="CCEEFF"/>
          </w:tcPr>
          <w:p>
            <w:pPr>
              <w:spacing w:after="0"/>
              <w:rPr>
                <w:sz w:val="18"/>
                <w:szCs w:val="18"/>
                <w:color w:val="auto"/>
              </w:rPr>
            </w:pPr>
          </w:p>
        </w:tc>
        <w:tc>
          <w:tcPr>
            <w:tcW w:w="4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114,924</w:t>
            </w:r>
          </w:p>
        </w:tc>
      </w:tr>
    </w:tbl>
    <w:p>
      <w:pPr>
        <w:spacing w:after="0" w:line="198"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 and deposits paid by the Company under the Purchase Order and remedial legal measures against the Company. This may result in damages payable by the Company and forced continuance of the contractual arrangement. Under such circumstances, the Company’s growth plans and ongoing operations could be adversely impacted.</w:t>
      </w:r>
    </w:p>
    <w:p>
      <w:pPr>
        <w:spacing w:after="0" w:line="172"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w:t>
      </w:r>
    </w:p>
    <w:p>
      <w:pPr>
        <w:spacing w:after="0" w:line="186"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June 30,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20, in March 2024, as a result of the Company’s decision to terminate the employment of the Company’s former Chief Executive Officer (“CEO”), a termination payment of $1,614 was accrued during the first quarter of 2024 and paid during the three months ended June 30, 2024 based on the terms of the former CEO’s employment agreement. On May 10, 2024, the former CEO filed a Statement of Claim in the Superior Court of Ontario against the Company claiming damages for breach of contract, wrongful dismissal and aggravated and punitive damages for a total amount of $26,676. The Company believes the claims are without merit and intends to defend itself vigorously against the claims. Such matters are inherently uncertain, and there can be no guarantee that the outcome of any such matter will be decided favorably to the Company. The loss, if any, is not estimable at this time and Management does not believe the outcome of this matter will have a material adverse impact on its results of operations, cash flows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w:t>
            </w: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r>
      <w:tr>
        <w:trPr>
          <w:trHeight w:val="210"/>
        </w:trPr>
        <w:tc>
          <w:tcPr>
            <w:tcW w:w="98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2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20,908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7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2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3,322</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11,662</w:t>
            </w:r>
          </w:p>
        </w:tc>
      </w:tr>
      <w:tr>
        <w:trPr>
          <w:trHeight w:val="217"/>
        </w:trPr>
        <w:tc>
          <w:tcPr>
            <w:tcW w:w="980" w:type="dxa"/>
            <w:vAlign w:val="bottom"/>
            <w:tcBorders>
              <w:bottom w:val="single" w:sz="8" w:color="auto"/>
            </w:tcBorders>
            <w:shd w:val="clear" w:color="auto" w:fill="CCEEFF"/>
          </w:tcPr>
          <w:p>
            <w:pPr>
              <w:spacing w:after="0"/>
              <w:rPr>
                <w:sz w:val="18"/>
                <w:szCs w:val="18"/>
                <w:color w:val="auto"/>
              </w:rPr>
            </w:pPr>
          </w:p>
        </w:tc>
        <w:tc>
          <w:tcPr>
            <w:tcW w:w="686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24,230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r>
        <w:trPr>
          <w:trHeight w:val="432"/>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Refer to Note 23b for more details about the reversal of Canadian government remittances payable.</w:t>
            </w: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 of warrant liabilities is as follows:</w:t>
            </w: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r>
      <w:tr>
        <w:trPr>
          <w:trHeight w:val="209"/>
        </w:trPr>
        <w:tc>
          <w:tcPr>
            <w:tcW w:w="98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private placement</w:t>
            </w:r>
          </w:p>
        </w:tc>
        <w:tc>
          <w:tcPr>
            <w:tcW w:w="22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19,565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34,276</w:t>
            </w:r>
          </w:p>
        </w:tc>
      </w:tr>
      <w:tr>
        <w:trPr>
          <w:trHeight w:val="216"/>
        </w:trPr>
        <w:tc>
          <w:tcPr>
            <w:tcW w:w="7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2021 private placements</w:t>
            </w:r>
          </w:p>
        </w:tc>
        <w:tc>
          <w:tcPr>
            <w:tcW w:w="2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467</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6,150</w:t>
            </w:r>
          </w:p>
        </w:tc>
      </w:tr>
      <w:tr>
        <w:trPr>
          <w:trHeight w:val="217"/>
        </w:trPr>
        <w:tc>
          <w:tcPr>
            <w:tcW w:w="980" w:type="dxa"/>
            <w:vAlign w:val="bottom"/>
            <w:tcBorders>
              <w:bottom w:val="single" w:sz="8" w:color="auto"/>
            </w:tcBorders>
            <w:shd w:val="clear" w:color="auto" w:fill="CCEEFF"/>
          </w:tcPr>
          <w:p>
            <w:pPr>
              <w:spacing w:after="0"/>
              <w:rPr>
                <w:sz w:val="18"/>
                <w:szCs w:val="18"/>
                <w:color w:val="auto"/>
              </w:rPr>
            </w:pPr>
          </w:p>
        </w:tc>
        <w:tc>
          <w:tcPr>
            <w:tcW w:w="686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20,032</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bl>
    <w:p>
      <w:pPr>
        <w:spacing w:after="0" w:line="198"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that included 22,222,000 warrants and 3,000,000 broker warrants to purchase common shares (the “2023 private placement”).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recognized in Net financial (expenses)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0" w:type="dxa"/>
            <w:vAlign w:val="bottom"/>
            <w:tcBorders>
              <w:bottom w:val="single" w:sz="8" w:color="auto"/>
            </w:tcBorders>
          </w:tcPr>
          <w:p>
            <w:pPr>
              <w:spacing w:after="0"/>
              <w:rPr>
                <w:sz w:val="20"/>
                <w:szCs w:val="20"/>
                <w:color w:val="auto"/>
              </w:rPr>
            </w:pPr>
          </w:p>
        </w:tc>
      </w:tr>
      <w:tr>
        <w:trPr>
          <w:trHeight w:val="209"/>
        </w:trPr>
        <w:tc>
          <w:tcPr>
            <w:tcW w:w="39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39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5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180" w:type="dxa"/>
            <w:vAlign w:val="bottom"/>
          </w:tcPr>
          <w:p>
            <w:pPr>
              <w:spacing w:after="0"/>
              <w:rPr>
                <w:sz w:val="16"/>
                <w:szCs w:val="16"/>
                <w:color w:val="auto"/>
              </w:rPr>
            </w:pPr>
          </w:p>
        </w:tc>
        <w:tc>
          <w:tcPr>
            <w:tcW w:w="14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3900" w:type="dxa"/>
            <w:vAlign w:val="bottom"/>
          </w:tcPr>
          <w:p>
            <w:pPr>
              <w:spacing w:after="0"/>
              <w:rPr>
                <w:sz w:val="18"/>
                <w:szCs w:val="18"/>
                <w:color w:val="auto"/>
              </w:rPr>
            </w:pPr>
          </w:p>
        </w:tc>
        <w:tc>
          <w:tcPr>
            <w:tcW w:w="3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Number of</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exercise</w:t>
            </w:r>
          </w:p>
        </w:tc>
      </w:tr>
      <w:tr>
        <w:trPr>
          <w:trHeight w:val="238"/>
        </w:trPr>
        <w:tc>
          <w:tcPr>
            <w:tcW w:w="39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price (USD)</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warrants</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(USD)</w:t>
            </w: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3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35,105,000</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2.83</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19,153,000</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(5,111,000)</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1.17</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(11,866,000)</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4.90</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June 30,</w:t>
            </w:r>
          </w:p>
        </w:tc>
        <w:tc>
          <w:tcPr>
            <w:tcW w:w="3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18,128,000</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1.94</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19,153,000</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June 30, 2024, was 1.5 years (June 30, 2023: 0.9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 xml:space="preserve">WARRANT LIABILITIES </w:t>
      </w:r>
      <w:r>
        <w:rPr>
          <w:rFonts w:ascii="Times New Roman" w:cs="Times New Roman" w:eastAsia="Times New Roman" w:hAnsi="Times New Roman"/>
          <w:sz w:val="17"/>
          <w:szCs w:val="17"/>
          <w:color w:val="auto"/>
        </w:rPr>
        <w:t>(Continued)</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7, 2024, 96,000 broker warrants from the January 7, 2021 private placement expired and were derecognized during the six months ended June 30, 2024, which resulted in a non-cash gain on revaluation of warrants of $61 included in Net financial (expenses) income.</w:t>
      </w:r>
    </w:p>
    <w:p>
      <w:pPr>
        <w:spacing w:after="0" w:line="148"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In February 2024, 5,000,000 warrants and 111,000 broker warrants related to the 2023 private placement were exercised resulting in the issuance of 5,111,000 common shares for proceeds of approximately $5,986.</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11, 2024, 25,000 warrants relating to the acquisition of the Garlock building in Sherbrooke, Quebec issued during the first quarter of 2022 expired. These warrants were recorded as equity instruments.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10,613,000 warrants and 1,132,000 broker warrants from the May 17, 2021 private placement expired and were derecognized during the three and six months ended June 30, 2024, which resulted in a non-cash gain on revaluation of warrants of $43 and $1,739, respectively, included in Net financial (expenses)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model and inputs below were used in determining the weighted average values of the warrants and broker warrants prior to their derecognition as described in Note 18 and at period end.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 warrants and broker warrants</w:t>
            </w:r>
          </w:p>
        </w:tc>
        <w:tc>
          <w:tcPr>
            <w:tcW w:w="3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0"/>
        </w:trPr>
        <w:tc>
          <w:tcPr>
            <w:tcW w:w="4900" w:type="dxa"/>
            <w:vAlign w:val="bottom"/>
          </w:tcPr>
          <w:p>
            <w:pPr>
              <w:spacing w:after="0"/>
              <w:rPr>
                <w:sz w:val="24"/>
                <w:szCs w:val="24"/>
                <w:color w:val="auto"/>
              </w:rPr>
            </w:pPr>
          </w:p>
        </w:tc>
        <w:tc>
          <w:tcPr>
            <w:tcW w:w="3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Remeasurement on</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49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settlement of warrants</w:t>
            </w:r>
          </w:p>
        </w:tc>
        <w:tc>
          <w:tcPr>
            <w:tcW w:w="26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Remeasurement at period end</w:t>
            </w:r>
          </w:p>
        </w:tc>
      </w:tr>
      <w:tr>
        <w:trPr>
          <w:trHeight w:val="187"/>
        </w:trPr>
        <w:tc>
          <w:tcPr>
            <w:tcW w:w="4900" w:type="dxa"/>
            <w:vAlign w:val="bottom"/>
          </w:tcPr>
          <w:p>
            <w:pPr>
              <w:spacing w:after="0"/>
              <w:rPr>
                <w:sz w:val="16"/>
                <w:szCs w:val="16"/>
                <w:color w:val="auto"/>
              </w:rPr>
            </w:pPr>
          </w:p>
        </w:tc>
        <w:tc>
          <w:tcPr>
            <w:tcW w:w="368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February 12 to 28,</w:t>
            </w:r>
          </w:p>
        </w:tc>
        <w:tc>
          <w:tcPr>
            <w:tcW w:w="13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30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3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2.74</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2.40</w:t>
            </w:r>
          </w:p>
        </w:tc>
        <w:tc>
          <w:tcPr>
            <w:tcW w:w="4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4.42</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3.53</w:t>
            </w: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2.51</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 (exercised)</w:t>
            </w:r>
          </w:p>
        </w:tc>
        <w:tc>
          <w:tcPr>
            <w:tcW w:w="3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(5,111,000)</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10,841,000</w:t>
            </w:r>
          </w:p>
        </w:tc>
        <w:tc>
          <w:tcPr>
            <w:tcW w:w="13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15,952,000</w:t>
            </w:r>
          </w:p>
        </w:tc>
      </w:tr>
      <w:tr>
        <w:trPr>
          <w:trHeight w:val="439"/>
        </w:trPr>
        <w:tc>
          <w:tcPr>
            <w:tcW w:w="49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49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WARRANT LIABILITIES </w:t>
            </w:r>
            <w:r>
              <w:rPr>
                <w:rFonts w:ascii="Times New Roman" w:cs="Times New Roman" w:eastAsia="Times New Roman" w:hAnsi="Times New Roman"/>
                <w:sz w:val="18"/>
                <w:szCs w:val="18"/>
                <w:color w:val="auto"/>
              </w:rPr>
              <w:t>(Continued)</w:t>
            </w:r>
          </w:p>
        </w:tc>
        <w:tc>
          <w:tcPr>
            <w:tcW w:w="3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2021 warrants and broker warrants</w:t>
            </w:r>
          </w:p>
        </w:tc>
        <w:tc>
          <w:tcPr>
            <w:tcW w:w="49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Remeasurement at period end</w:t>
            </w:r>
          </w:p>
        </w:tc>
        <w:tc>
          <w:tcPr>
            <w:tcW w:w="0" w:type="dxa"/>
            <w:vAlign w:val="bottom"/>
          </w:tcPr>
          <w:p>
            <w:pPr>
              <w:spacing w:after="0"/>
              <w:rPr>
                <w:sz w:val="1"/>
                <w:szCs w:val="1"/>
                <w:color w:val="auto"/>
              </w:rPr>
            </w:pPr>
          </w:p>
        </w:tc>
      </w:tr>
      <w:tr>
        <w:trPr>
          <w:trHeight w:val="216"/>
        </w:trPr>
        <w:tc>
          <w:tcPr>
            <w:tcW w:w="100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3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3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7,287,000</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19,128,000</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09"/>
        </w:trPr>
        <w:tc>
          <w:tcPr>
            <w:tcW w:w="100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financing</w:t>
            </w:r>
          </w:p>
        </w:tc>
        <w:tc>
          <w:tcPr>
            <w:tcW w:w="3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1,651</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3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c>
          <w:tcPr>
            <w:tcW w:w="0" w:type="dxa"/>
            <w:vAlign w:val="bottom"/>
          </w:tcPr>
          <w:p>
            <w:pPr>
              <w:spacing w:after="0"/>
              <w:rPr>
                <w:sz w:val="1"/>
                <w:szCs w:val="1"/>
                <w:color w:val="auto"/>
              </w:rPr>
            </w:pPr>
          </w:p>
        </w:tc>
      </w:tr>
      <w:tr>
        <w:trPr>
          <w:trHeight w:val="209"/>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1,651</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36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1,487</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p>
      <w:pPr>
        <w:spacing w:after="0" w:line="221" w:lineRule="exact"/>
        <w:rPr>
          <w:sz w:val="20"/>
          <w:szCs w:val="20"/>
          <w:color w:val="auto"/>
        </w:rPr>
      </w:pPr>
    </w:p>
    <w:p>
      <w:pPr>
        <w:ind w:left="8440"/>
        <w:spacing w:after="0"/>
        <w:tabs>
          <w:tab w:leader="none" w:pos="9720" w:val="left"/>
        </w:tabs>
        <w:rPr>
          <w:sz w:val="20"/>
          <w:szCs w:val="20"/>
          <w:color w:val="auto"/>
        </w:rPr>
      </w:pPr>
      <w:r>
        <w:rPr>
          <w:rFonts w:ascii="Times New Roman" w:cs="Times New Roman" w:eastAsia="Times New Roman" w:hAnsi="Times New Roman"/>
          <w:sz w:val="18"/>
          <w:szCs w:val="18"/>
          <w:b w:val="1"/>
          <w:bCs w:val="1"/>
          <w:color w:val="auto"/>
        </w:rPr>
        <w:t>As of June 30,</w:t>
      </w:r>
      <w:r>
        <w:rPr>
          <w:sz w:val="20"/>
          <w:szCs w:val="20"/>
          <w:color w:val="auto"/>
        </w:rPr>
        <w:tab/>
      </w:r>
      <w:r>
        <w:rPr>
          <w:rFonts w:ascii="Times New Roman" w:cs="Times New Roman" w:eastAsia="Times New Roman" w:hAnsi="Times New Roman"/>
          <w:sz w:val="17"/>
          <w:szCs w:val="17"/>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Borders>
              <w:top w:val="single" w:sz="8" w:color="auto"/>
              <w:bottom w:val="single" w:sz="8" w:color="auto"/>
            </w:tcBorders>
          </w:tcPr>
          <w:p>
            <w:pPr>
              <w:spacing w:after="0"/>
              <w:rPr>
                <w:sz w:val="18"/>
                <w:szCs w:val="18"/>
                <w:color w:val="auto"/>
              </w:rPr>
            </w:pPr>
          </w:p>
        </w:tc>
        <w:tc>
          <w:tcPr>
            <w:tcW w:w="3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91"/>
        </w:trPr>
        <w:tc>
          <w:tcPr>
            <w:tcW w:w="5920" w:type="dxa"/>
            <w:vAlign w:val="bottom"/>
          </w:tcPr>
          <w:p>
            <w:pPr>
              <w:spacing w:after="0"/>
              <w:rPr>
                <w:sz w:val="16"/>
                <w:szCs w:val="16"/>
                <w:color w:val="auto"/>
              </w:rPr>
            </w:pPr>
          </w:p>
        </w:tc>
        <w:tc>
          <w:tcPr>
            <w:tcW w:w="392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six-month</w:t>
            </w:r>
          </w:p>
        </w:tc>
        <w:tc>
          <w:tcPr>
            <w:tcW w:w="140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twelve-month</w:t>
            </w:r>
          </w:p>
        </w:tc>
      </w:tr>
      <w:tr>
        <w:trPr>
          <w:trHeight w:val="234"/>
        </w:trPr>
        <w:tc>
          <w:tcPr>
            <w:tcW w:w="5920" w:type="dxa"/>
            <w:vAlign w:val="bottom"/>
          </w:tcPr>
          <w:p>
            <w:pPr>
              <w:spacing w:after="0"/>
              <w:rPr>
                <w:sz w:val="20"/>
                <w:szCs w:val="20"/>
                <w:color w:val="auto"/>
              </w:rPr>
            </w:pPr>
          </w:p>
        </w:tc>
        <w:tc>
          <w:tcPr>
            <w:tcW w:w="3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period</w:t>
            </w:r>
          </w:p>
        </w:tc>
        <w:tc>
          <w:tcPr>
            <w:tcW w:w="5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period</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9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52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1,695</w:t>
            </w:r>
          </w:p>
        </w:tc>
        <w:tc>
          <w:tcPr>
            <w:tcW w:w="5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3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(4,195)</w:t>
            </w:r>
          </w:p>
        </w:tc>
        <w:tc>
          <w:tcPr>
            <w:tcW w:w="5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(33,233)</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w:t>
            </w:r>
          </w:p>
        </w:tc>
        <w:tc>
          <w:tcPr>
            <w:tcW w:w="3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9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129</w:t>
            </w:r>
          </w:p>
        </w:tc>
        <w:tc>
          <w:tcPr>
            <w:tcW w:w="52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2,688</w:t>
            </w:r>
          </w:p>
        </w:tc>
      </w:tr>
      <w:tr>
        <w:trPr>
          <w:trHeight w:val="216"/>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3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1,651</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439"/>
        </w:trPr>
        <w:tc>
          <w:tcPr>
            <w:tcW w:w="59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59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 xml:space="preserve">LONG-TERM DEBT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Building financing</w:t>
      </w:r>
    </w:p>
    <w:p>
      <w:pPr>
        <w:spacing w:after="0" w:line="31"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In March 2024, the Company sold its Garlock building in Sherbrooke, Quebec for $1,695 and immediately leased it back for 10 years. Since the lease agreement included a substantive repurchase option of the building in a form of a call option, the Company has not transferred the control of the asset to the buyer, and the transaction does not qualify as a sale. Accordingly, it is accounted for as a financing arrangement for the proceeds received from the buyer, and the building continues to be recognized as property, plant and equipment of the Company.</w:t>
      </w:r>
    </w:p>
    <w:p>
      <w:pPr>
        <w:spacing w:after="0" w:line="185" w:lineRule="exact"/>
        <w:rPr>
          <w:sz w:val="20"/>
          <w:szCs w:val="20"/>
          <w:color w:val="auto"/>
        </w:rPr>
      </w:pPr>
    </w:p>
    <w:p>
      <w:pPr>
        <w:ind w:right="8340" w:firstLine="8"/>
        <w:spacing w:after="0" w:line="263" w:lineRule="auto"/>
        <w:tabs>
          <w:tab w:leader="none" w:pos="653"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financing activity Repayment of NYDIG Loan</w:t>
      </w:r>
    </w:p>
    <w:p>
      <w:pPr>
        <w:jc w:val="both"/>
        <w:ind w:hanging="5"/>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was required to maintain in a segregated wallet an approximate quantity of BTC whose value equates to at least one month of interest and principal payments on the outstanding loan. The pledged BTC was held in a segregated Coinbase Custody account and owned by the Company unless there was an event of default under the NYDIG Loan.</w:t>
      </w:r>
    </w:p>
    <w:p>
      <w:pPr>
        <w:spacing w:after="0" w:line="187"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NYDIG Loan balance was fully repaid, and the Company’s Miners collateralizing the loan and BTC pledged as collateral became unencumbered.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of Foundry Loans #2, #3 and #4</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the loan with BlockFi Lending LLC (“BlockFi”)</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86" w:lineRule="exact"/>
        <w:rPr>
          <w:sz w:val="20"/>
          <w:szCs w:val="20"/>
          <w:color w:val="auto"/>
        </w:rPr>
      </w:pPr>
    </w:p>
    <w:p>
      <w:pPr>
        <w:jc w:val="both"/>
        <w:ind w:right="20" w:hanging="4"/>
        <w:spacing w:after="0" w:line="282" w:lineRule="auto"/>
        <w:rPr>
          <w:sz w:val="20"/>
          <w:szCs w:val="20"/>
          <w:color w:val="auto"/>
        </w:rPr>
      </w:pPr>
      <w:r>
        <w:rPr>
          <w:rFonts w:ascii="Times New Roman" w:cs="Times New Roman" w:eastAsia="Times New Roman" w:hAnsi="Times New Roman"/>
          <w:sz w:val="18"/>
          <w:szCs w:val="18"/>
          <w:color w:val="auto"/>
        </w:rPr>
        <w:t>In December 2022, Backbone Mining ceased making installment payments, which constituted a default under the loan agreement, and the BlockFi Loan was classified as current.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(expenses) income in the consolidated statements of profit or loss and comprehensive profit or loss during the six months ended June 30, 2023. Upon settlement, all of Backbone Mining’s assets, including the 6,100 Miners collateralizing the loan, were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are the carrying amounts of the Company’s right-of-use (“ROU”) assets and lease liabilities and their activity during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the year ended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6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2024</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13,762</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160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15,850</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603</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118</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721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721</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(127)</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160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(1,479)</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(373)</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(373)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583</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r>
      <w:tr>
        <w:trPr>
          <w:trHeight w:val="20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12,648</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535</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w:t>
            </w:r>
          </w:p>
        </w:tc>
        <w:tc>
          <w:tcPr>
            <w:tcW w:w="16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13,184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14,216</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216"/>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12,208</w:t>
            </w:r>
          </w:p>
        </w:tc>
      </w:tr>
      <w:tr>
        <w:trPr>
          <w:trHeight w:val="410"/>
        </w:trPr>
        <w:tc>
          <w:tcPr>
            <w:tcW w:w="4060" w:type="dxa"/>
            <w:vAlign w:val="bottom"/>
          </w:tcPr>
          <w:p>
            <w:pPr>
              <w:spacing w:after="0"/>
              <w:rPr>
                <w:sz w:val="24"/>
                <w:szCs w:val="24"/>
                <w:color w:val="auto"/>
              </w:rPr>
            </w:pP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24"/>
                <w:szCs w:val="24"/>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6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405</w:t>
            </w:r>
          </w:p>
        </w:tc>
        <w:tc>
          <w:tcPr>
            <w:tcW w:w="160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16,364</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17,864</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1,020</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534</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1,554</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to property, plant and equipment</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w:t>
            </w:r>
          </w:p>
        </w:tc>
        <w:tc>
          <w:tcPr>
            <w:tcW w:w="160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(364)</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(2,952)</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(3,197)</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lease liabilities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r>
      <w:tr>
        <w:trPr>
          <w:trHeight w:val="210"/>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13,762</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544</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14,315</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15,850</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17"/>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r>
        <w:trPr>
          <w:trHeight w:val="439"/>
        </w:trPr>
        <w:tc>
          <w:tcPr>
            <w:tcW w:w="40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40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86"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As at June 30, 2024, the Company has analyzed the recoverability of its deferred tax assets and has concluded that it is not more likely than not that sufficient taxable profit is expected to utilize these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Borders>
              <w:bottom w:val="single" w:sz="8" w:color="auto"/>
            </w:tcBorders>
          </w:tcPr>
          <w:p>
            <w:pPr>
              <w:spacing w:after="0"/>
              <w:rPr>
                <w:sz w:val="20"/>
                <w:szCs w:val="20"/>
                <w:color w:val="auto"/>
              </w:rPr>
            </w:pPr>
          </w:p>
        </w:tc>
        <w:tc>
          <w:tcPr>
            <w:tcW w:w="76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060" w:type="dxa"/>
            <w:vAlign w:val="bottom"/>
            <w:tcBorders>
              <w:bottom w:val="single" w:sz="8" w:color="auto"/>
            </w:tcBorders>
          </w:tcPr>
          <w:p>
            <w:pPr>
              <w:spacing w:after="0"/>
              <w:rPr>
                <w:sz w:val="18"/>
                <w:szCs w:val="18"/>
                <w:color w:val="auto"/>
              </w:rPr>
            </w:pPr>
          </w:p>
        </w:tc>
        <w:tc>
          <w:tcPr>
            <w:tcW w:w="6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tax recovery (expense):</w:t>
            </w: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6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15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6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262</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(182)</w:t>
            </w: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262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0"/>
        </w:trPr>
        <w:tc>
          <w:tcPr>
            <w:tcW w:w="1060" w:type="dxa"/>
            <w:vAlign w:val="bottom"/>
            <w:tcBorders>
              <w:bottom w:val="single" w:sz="8" w:color="auto"/>
            </w:tcBorders>
            <w:shd w:val="clear" w:color="auto" w:fill="CCEEFF"/>
          </w:tcPr>
          <w:p>
            <w:pPr>
              <w:spacing w:after="0"/>
              <w:rPr>
                <w:sz w:val="18"/>
                <w:szCs w:val="18"/>
                <w:color w:val="auto"/>
              </w:rPr>
            </w:pPr>
          </w:p>
        </w:tc>
        <w:tc>
          <w:tcPr>
            <w:tcW w:w="658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262</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(326)</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262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09"/>
        </w:trPr>
        <w:tc>
          <w:tcPr>
            <w:tcW w:w="10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(expense) recovery:</w:t>
            </w:r>
          </w:p>
        </w:tc>
        <w:tc>
          <w:tcPr>
            <w:tcW w:w="1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6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(1,966)</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420</w:t>
            </w:r>
          </w:p>
        </w:tc>
        <w:tc>
          <w:tcPr>
            <w:tcW w:w="15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4,319</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1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658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060" w:type="dxa"/>
            <w:vAlign w:val="bottom"/>
            <w:tcBorders>
              <w:bottom w:val="single" w:sz="8" w:color="auto"/>
            </w:tcBorders>
          </w:tcPr>
          <w:p>
            <w:pPr>
              <w:spacing w:after="0"/>
              <w:rPr>
                <w:sz w:val="18"/>
                <w:szCs w:val="18"/>
                <w:color w:val="auto"/>
              </w:rPr>
            </w:pPr>
          </w:p>
        </w:tc>
        <w:tc>
          <w:tcPr>
            <w:tcW w:w="6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(1,966)</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420</w:t>
            </w: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4,319</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r>
      <w:tr>
        <w:trPr>
          <w:trHeight w:val="217"/>
        </w:trPr>
        <w:tc>
          <w:tcPr>
            <w:tcW w:w="1060" w:type="dxa"/>
            <w:vAlign w:val="bottom"/>
            <w:tcBorders>
              <w:bottom w:val="single" w:sz="8" w:color="auto"/>
            </w:tcBorders>
            <w:shd w:val="clear" w:color="auto" w:fill="CCEEFF"/>
          </w:tcPr>
          <w:p>
            <w:pPr>
              <w:spacing w:after="0"/>
              <w:rPr>
                <w:sz w:val="18"/>
                <w:szCs w:val="18"/>
                <w:color w:val="auto"/>
              </w:rPr>
            </w:pPr>
          </w:p>
        </w:tc>
        <w:tc>
          <w:tcPr>
            <w:tcW w:w="6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(1,704)</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4,581</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w:t>
            </w:r>
          </w:p>
        </w:tc>
        <w:tc>
          <w:tcPr>
            <w:tcW w:w="6580" w:type="dxa"/>
            <w:vAlign w:val="bottom"/>
          </w:tcPr>
          <w:p>
            <w:pPr>
              <w:jc w:val="right"/>
              <w:ind w:right="489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both"/>
        <w:ind w:hanging="4"/>
        <w:spacing w:after="0" w:line="260"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As of June 30, 2024, the Company had 425,875,000 issued and outstanding common shares (December 31, 2023: 334,153,000).</w:t>
      </w:r>
    </w:p>
    <w:p>
      <w:pPr>
        <w:spacing w:after="0" w:line="179"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 (“ATM Program”)</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commenced an at-the-market equity offering program on March 11, 2024 (the “2024 ATM Program”), pursuant to which the Company may, at its discretion and from time-to-time, sell common shares of the Company, resulting in the Company receiving aggregate gross proceeds of up to $375,000.</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issued 84,196,000 common shares in the 2024 ATM Program in exchange for gross proceeds of $180,177 at an average share price of approximately $2.14. The Company received net proceeds of $174,503 after paying commissions of $5,403 to the sales agent for the 2024 ATM Program and $271 in other transaction costs. The Company capitalized $939 of professional fees and registration expenses to initiate the 2024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At-The-Market Equity Offering Program (“ATM Program”)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During the six months ended June 30, 2023, the Company issued 33,551,000 common shares in its at-the-market equity offering program that commenced on August 16, 2021 (“the 2021 ATM Program”) in exchange for gross proceeds of $38,900 at an average share price of approximately $1.16. The Company received net proceeds of $37,587 after paying commissions of $1,234 to the sales agent for the 2021 ATM Program and $79 in other transaction costs.</w:t>
      </w:r>
    </w:p>
    <w:p>
      <w:pPr>
        <w:spacing w:after="0" w:line="167"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option holders exercised stock options to acquire 2,290,000 common shares (six months ended June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400,000) resulting in proceeds of approximately $2,546 (six months ended June 30, 2023: $160) being paid to the Company.</w:t>
      </w:r>
    </w:p>
    <w:p>
      <w:pPr>
        <w:spacing w:after="0" w:line="20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Warrants</w:t>
      </w:r>
    </w:p>
    <w:p>
      <w:pPr>
        <w:spacing w:after="0" w:line="29" w:lineRule="exact"/>
        <w:rPr>
          <w:sz w:val="20"/>
          <w:szCs w:val="20"/>
          <w:color w:val="auto"/>
        </w:rPr>
      </w:pPr>
    </w:p>
    <w:p>
      <w:pPr>
        <w:ind w:hanging="4"/>
        <w:spacing w:after="0" w:line="260" w:lineRule="auto"/>
        <w:rPr>
          <w:sz w:val="20"/>
          <w:szCs w:val="20"/>
          <w:color w:val="auto"/>
        </w:rPr>
      </w:pPr>
      <w:r>
        <w:rPr>
          <w:rFonts w:ascii="Times New Roman" w:cs="Times New Roman" w:eastAsia="Times New Roman" w:hAnsi="Times New Roman"/>
          <w:sz w:val="18"/>
          <w:szCs w:val="18"/>
          <w:color w:val="auto"/>
        </w:rPr>
        <w:t>In February 2024, 5,000,000 warrants and 111,000 broker warrants related to the 2023 private placement were exercised resulting in the issuance of 5,111,000 common shares for proceeds of approximately $5,986.</w:t>
      </w:r>
    </w:p>
    <w:p>
      <w:pPr>
        <w:spacing w:after="0" w:line="181"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The Black Scholes model and the inputs described in Note 14 were used in determining the values of the warrants and broker warrants prior to their derecognition, which resulted in a non-cash loss on revaluation of warrants of $1,836 included in Net financial (expenses) income.</w:t>
      </w:r>
    </w:p>
    <w:p>
      <w:pPr>
        <w:spacing w:after="0" w:line="160"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Shareholder rights plan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is subject to the acceptance of the Toronto Stock Exchange (the “TSX”) and shareholder ratification within six months of its adoption. The TSX has notified the Company that the TSX will defer its consideration of the acceptance of the July 2024 Rights Plan until (a) such time as it is satisfied that the appropriate securities common will not intervene pursuant to National Policy 62-202 and (b) the July 2024 Rights Plan is ratified by the shareholders of the Company by no later than January 24, 2025. A deferral of acceptance of the July 2024 Rights Plan by the TSX will not affect the adoption or operation of the July 2024 Rights Plan. The Board intends to recommend the ratification of the July 2024 Rights Plan at the Company’s upcoming special meeting of shareholders to be held on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8"/>
          <w:szCs w:val="18"/>
          <w:b w:val="1"/>
          <w:bCs w:val="1"/>
          <w:color w:val="auto"/>
        </w:rPr>
        <w:t>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categories and fair value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77" w:lineRule="exact"/>
        <w:rPr>
          <w:sz w:val="20"/>
          <w:szCs w:val="20"/>
          <w:color w:val="auto"/>
        </w:rPr>
      </w:pPr>
    </w:p>
    <w:p>
      <w:pPr>
        <w:ind w:left="840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June 30,</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4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Level 1</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138,619</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Level 3</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735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Level 3</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560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57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8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Level 2</w:t>
            </w:r>
          </w:p>
        </w:tc>
        <w:tc>
          <w:tcPr>
            <w:tcW w:w="14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2,255</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10"/>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142,169</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86,722</w:t>
            </w:r>
          </w:p>
        </w:tc>
      </w:tr>
      <w:tr>
        <w:trPr>
          <w:trHeight w:val="209"/>
        </w:trPr>
        <w:tc>
          <w:tcPr>
            <w:tcW w:w="57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Level 3</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20,908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Level 2</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1,651</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57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8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Level 2</w:t>
            </w:r>
          </w:p>
        </w:tc>
        <w:tc>
          <w:tcPr>
            <w:tcW w:w="14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20,032</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10"/>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42,591</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53,525</w:t>
            </w:r>
          </w:p>
        </w:tc>
      </w:tr>
      <w:tr>
        <w:trPr>
          <w:trHeight w:val="210"/>
        </w:trPr>
        <w:tc>
          <w:tcPr>
            <w:tcW w:w="572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16"/>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carrying amount and fair value</w:t>
            </w:r>
          </w:p>
        </w:tc>
        <w:tc>
          <w:tcPr>
            <w:tcW w:w="2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99,578</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33,197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trade receivables, other receivables, trade payables and accrued liabilities and long-term debt presented in the table above are a reasonable approximation of their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option contracts is categorized as Level 2 in the fair value hierarchy and is presented under derivative assets and liabilities in the consolidated statements of financial position when there is an outstanding contract at period end. Their fair values are a recurring measurement. 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 liabilities related to the 2021 and 2023 private placements are classified as financial liabilities at fair value through profit or loss with the change in fair value recorded to Net financial (expenses) income. The fair value measurement is categorized as Level 2 in the fair value hierarchy, is a recurring measurement and is calculated using a Black-Scholes pricing model at each reporting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14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20:</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TRANSACTIONS AND BALANCES WITH RELATED PARTIES</w:t>
            </w:r>
          </w:p>
        </w:tc>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details balances payable to related parties:</w:t>
            </w: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0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r>
      <w:tr>
        <w:trPr>
          <w:trHeight w:val="209"/>
        </w:trPr>
        <w:tc>
          <w:tcPr>
            <w:tcW w:w="100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2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132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2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46</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7"/>
        </w:trPr>
        <w:tc>
          <w:tcPr>
            <w:tcW w:w="1000" w:type="dxa"/>
            <w:vAlign w:val="bottom"/>
            <w:tcBorders>
              <w:bottom w:val="single" w:sz="8" w:color="auto"/>
            </w:tcBorders>
            <w:shd w:val="clear" w:color="auto" w:fill="CCEEFF"/>
          </w:tcPr>
          <w:p>
            <w:pPr>
              <w:spacing w:after="0"/>
              <w:rPr>
                <w:sz w:val="18"/>
                <w:szCs w:val="18"/>
                <w:color w:val="auto"/>
              </w:rPr>
            </w:pPr>
          </w:p>
        </w:tc>
        <w:tc>
          <w:tcPr>
            <w:tcW w:w="638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178</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related parties are unsecured, non-interest bearing and payable on demand.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Board elected to terminate the employment agreement of the Company’s CEO. It was planned that the CEO would depart upon completion of an executive search and would lead the Company during the interim. However, on May 13, 2024, the Company announced the acceleration of the termination of the CEO effective immediately. A termination payment under the CEO’s employment agreement totaling $1,614 was accrued during the first quarter of 2024 and paid during the three months ended June 30, 2024 after the CEO’s departure. See Note 12 for more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described above occurred in the normal course of operations and recognized in profit or loss under General and administrative expenses.</w:t>
      </w:r>
    </w:p>
    <w:p>
      <w:pPr>
        <w:spacing w:after="0" w:line="22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and 2023, potentially dilutive securities have not been included in the calculation of diluted loss per share because their effect is anti-dilutive. The additional potentially dilutive securities that would have been included in the calculation of diluted earnings per share, had their effect not been anti-dilutive for the three and six months ended June 30, 2024, would have totaled approximately 11,280,000 and 13,474,000, respectively (three and six months ended June 30, 2023: 3,850,000 and 3,731,000,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share-based payment expense related to stock options and restricted stock units (“RSU”) for employees, directors, consultants and former employees received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45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4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30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1,675</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2,462</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4,769</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the Board approved stock option grants to purchase 330,000 common shares in accordance with the Long-Term Incentive Plan (the “LTIP Plan”) adopted on May 18, 2021 (six months ended June 30, 2023: 8,471,000 common shares). All options issued according to the LTIP Plan become exercisable when they vest and can be exercised for a maximum period of 5 years from the date of the grant.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09"/>
        </w:trPr>
        <w:tc>
          <w:tcPr>
            <w:tcW w:w="3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3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620" w:type="dxa"/>
            <w:vAlign w:val="bottom"/>
          </w:tcPr>
          <w:p>
            <w:pPr>
              <w:spacing w:after="0"/>
              <w:rPr>
                <w:sz w:val="16"/>
                <w:szCs w:val="16"/>
                <w:color w:val="auto"/>
              </w:rPr>
            </w:pPr>
          </w:p>
        </w:tc>
        <w:tc>
          <w:tcPr>
            <w:tcW w:w="182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38"/>
        </w:trPr>
        <w:tc>
          <w:tcPr>
            <w:tcW w:w="35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($CAD)</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Number of Options</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Exercise Price ($CAD)</w:t>
            </w:r>
          </w:p>
        </w:tc>
      </w:tr>
      <w:tr>
        <w:trPr>
          <w:trHeight w:val="209"/>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20,939,000</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2.41</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21,804,000</w:t>
            </w:r>
          </w:p>
        </w:tc>
        <w:tc>
          <w:tcPr>
            <w:tcW w:w="94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330,000</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2.55</w:t>
            </w: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8,471,000</w:t>
            </w:r>
          </w:p>
        </w:tc>
        <w:tc>
          <w:tcPr>
            <w:tcW w:w="9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(2,290,000)</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9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(1,443,000)</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2.27</w:t>
            </w: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2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(10,535,000)</w:t>
            </w:r>
          </w:p>
        </w:tc>
        <w:tc>
          <w:tcPr>
            <w:tcW w:w="9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(295,000)</w:t>
            </w: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5.60</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June 30,</w:t>
            </w:r>
          </w:p>
        </w:tc>
        <w:tc>
          <w:tcPr>
            <w:tcW w:w="2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17,241,000</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2.48</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19,000,000</w:t>
            </w:r>
          </w:p>
        </w:tc>
        <w:tc>
          <w:tcPr>
            <w:tcW w:w="940" w:type="dxa"/>
            <w:vAlign w:val="bottom"/>
            <w:tcBorders>
              <w:bottom w:val="single" w:sz="8" w:color="auto"/>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Exercisable, June 30,</w:t>
            </w:r>
          </w:p>
        </w:tc>
        <w:tc>
          <w:tcPr>
            <w:tcW w:w="2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10,230,000</w:t>
            </w: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w:t>
            </w: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5,841,000</w:t>
            </w: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432"/>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weighted average contractual life of the stock options as of June 30, 2024 was 3.7 years (June 30, 2023: 4.3 years).</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inputs used to value the option grants using the Black-Scholes model are as follows:</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87"/>
        </w:trPr>
        <w:tc>
          <w:tcPr>
            <w:tcW w:w="3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May 22,</w:t>
            </w:r>
          </w:p>
        </w:tc>
      </w:tr>
      <w:tr>
        <w:trPr>
          <w:trHeight w:val="238"/>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4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2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0.97</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24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330,000</w:t>
            </w:r>
          </w:p>
        </w:tc>
      </w:tr>
      <w:tr>
        <w:trPr>
          <w:trHeight w:val="466"/>
        </w:trPr>
        <w:tc>
          <w:tcPr>
            <w:tcW w:w="3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22:</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SHARE-BASED PAYMENTS </w:t>
            </w:r>
            <w:r>
              <w:rPr>
                <w:rFonts w:ascii="Times New Roman" w:cs="Times New Roman" w:eastAsia="Times New Roman" w:hAnsi="Times New Roman"/>
                <w:sz w:val="18"/>
                <w:szCs w:val="18"/>
                <w:color w:val="auto"/>
              </w:rPr>
              <w:t>(Continued)</w:t>
            </w:r>
          </w:p>
        </w:tc>
        <w:tc>
          <w:tcPr>
            <w:tcW w:w="2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 (’‘RSU’’)</w:t>
            </w: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the RSUs are as follows:</w:t>
            </w:r>
          </w:p>
        </w:tc>
        <w:tc>
          <w:tcPr>
            <w:tcW w:w="2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0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60" w:type="dxa"/>
            <w:vAlign w:val="bottom"/>
            <w:tcBorders>
              <w:bottom w:val="single" w:sz="8" w:color="auto"/>
            </w:tcBorders>
          </w:tcPr>
          <w:p>
            <w:pPr>
              <w:spacing w:after="0"/>
              <w:rPr>
                <w:sz w:val="24"/>
                <w:szCs w:val="24"/>
                <w:color w:val="auto"/>
              </w:rPr>
            </w:pPr>
          </w:p>
        </w:tc>
      </w:tr>
      <w:tr>
        <w:trPr>
          <w:trHeight w:val="210"/>
        </w:trPr>
        <w:tc>
          <w:tcPr>
            <w:tcW w:w="10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10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10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5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10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15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Grant</w:t>
            </w:r>
          </w:p>
        </w:tc>
      </w:tr>
      <w:tr>
        <w:trPr>
          <w:trHeight w:val="238"/>
        </w:trPr>
        <w:tc>
          <w:tcPr>
            <w:tcW w:w="10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($CAD)</w:t>
            </w: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Number of RSUs</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($CAD)</w:t>
            </w:r>
          </w:p>
        </w:tc>
      </w:tr>
      <w:tr>
        <w:trPr>
          <w:trHeight w:val="209"/>
        </w:trPr>
        <w:tc>
          <w:tcPr>
            <w:tcW w:w="5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625,000</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4.05</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080" w:type="dxa"/>
            <w:vAlign w:val="bottom"/>
          </w:tcPr>
          <w:p>
            <w:pPr>
              <w:spacing w:after="0"/>
              <w:rPr>
                <w:sz w:val="18"/>
                <w:szCs w:val="18"/>
                <w:color w:val="auto"/>
              </w:rPr>
            </w:pPr>
          </w:p>
        </w:tc>
        <w:tc>
          <w:tcPr>
            <w:tcW w:w="2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175,000</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408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(125,000)</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3.13</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(108,000)</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40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(92,000)</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4.04</w:t>
            </w: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June 30,</w:t>
            </w:r>
          </w:p>
        </w:tc>
        <w:tc>
          <w:tcPr>
            <w:tcW w:w="2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583,000</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3.92</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292,000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198"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On March 28, 2024, the Board approved the grant of 175,000 RSUs (six months ended June 30, 2023: nil) to certain members of senior management, which vest 50% after approximately one month from the grant date and an additional 25% every 6 months. The value of the RSUs on the grant date was $2.17 per RSU.</w:t>
      </w:r>
    </w:p>
    <w:p>
      <w:pPr>
        <w:spacing w:after="0" w:line="17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ADDITIONAL DETAILS TO THE STATEMENT OF PROFIT OR LOSS AND COMPREHENSIVE PROFIT OR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4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4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14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a</w:t>
            </w:r>
          </w:p>
        </w:tc>
        <w:tc>
          <w:tcPr>
            <w:tcW w:w="1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(20,390)</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(19,916)</w:t>
            </w:r>
          </w:p>
        </w:tc>
        <w:tc>
          <w:tcPr>
            <w:tcW w:w="16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(41,704)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(36,943)</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energy and infrastructure</w:t>
            </w:r>
          </w:p>
        </w:tc>
        <w:tc>
          <w:tcPr>
            <w:tcW w:w="14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b</w:t>
            </w: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(20,528)</w:t>
            </w:r>
          </w:p>
        </w:tc>
        <w:tc>
          <w:tcPr>
            <w:tcW w:w="16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(96,314)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4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b</w:t>
            </w: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46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a</w:t>
            </w:r>
          </w:p>
        </w:tc>
        <w:tc>
          <w:tcPr>
            <w:tcW w:w="17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(873)</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1640" w:type="dxa"/>
            <w:vAlign w:val="bottom"/>
            <w:tcBorders>
              <w:bottom w:val="single" w:sz="8" w:color="auto"/>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(1,581)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17"/>
        </w:trPr>
        <w:tc>
          <w:tcPr>
            <w:tcW w:w="4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(52,823)</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(41,519)</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(113,822)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(79,922)</w:t>
            </w:r>
          </w:p>
        </w:tc>
      </w:tr>
      <w:tr>
        <w:trPr>
          <w:trHeight w:val="466"/>
        </w:trPr>
        <w:tc>
          <w:tcPr>
            <w:tcW w:w="4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4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NOTE 23: 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10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(4,032)</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(2,578)</w:t>
            </w:r>
          </w:p>
        </w:tc>
        <w:tc>
          <w:tcPr>
            <w:tcW w:w="16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(10,079)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2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(1,675)</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(2,462)</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(4,769)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(5,695)</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(1,652)</w:t>
            </w:r>
          </w:p>
        </w:tc>
        <w:tc>
          <w:tcPr>
            <w:tcW w:w="16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(7,353)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1,389</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1,389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0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(2,436)</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(1,938)</w:t>
            </w:r>
          </w:p>
        </w:tc>
        <w:tc>
          <w:tcPr>
            <w:tcW w:w="16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(4,393)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02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(466)</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10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(75)</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16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(153)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02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(206)</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(281)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other general and administrative expenses</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753</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753</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(12,402)</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(9,155)</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(25,598)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(17,515)</w:t>
            </w: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(expenses) income</w:t>
            </w:r>
          </w:p>
        </w:tc>
        <w:tc>
          <w:tcPr>
            <w:tcW w:w="1020" w:type="dxa"/>
            <w:vAlign w:val="bottom"/>
          </w:tcPr>
          <w:p>
            <w:pPr>
              <w:spacing w:after="0"/>
              <w:rPr>
                <w:sz w:val="24"/>
                <w:szCs w:val="24"/>
                <w:color w:val="auto"/>
              </w:rPr>
            </w:pPr>
          </w:p>
        </w:tc>
        <w:tc>
          <w:tcPr>
            <w:tcW w:w="294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2"/>
            <w:vMerge w:val="continue"/>
          </w:tcPr>
          <w:p>
            <w:pPr>
              <w:spacing w:after="0"/>
              <w:rPr>
                <w:sz w:val="18"/>
                <w:szCs w:val="18"/>
                <w:color w:val="auto"/>
              </w:rPr>
            </w:pPr>
          </w:p>
        </w:tc>
        <w:tc>
          <w:tcPr>
            <w:tcW w:w="2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color w:val="auto"/>
              </w:rPr>
              <w:t>2023 (restated</w:t>
            </w:r>
          </w:p>
        </w:tc>
        <w:tc>
          <w:tcPr>
            <w:tcW w:w="252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2023 (restated</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Note 3d)</w:t>
            </w:r>
          </w:p>
        </w:tc>
        <w:tc>
          <w:tcPr>
            <w:tcW w:w="1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Note 3d)</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revaluation of warrants</w:t>
            </w:r>
          </w:p>
        </w:tc>
        <w:tc>
          <w:tcPr>
            <w:tcW w:w="10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(1,455)</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(1,189)</w:t>
            </w:r>
          </w:p>
        </w:tc>
        <w:tc>
          <w:tcPr>
            <w:tcW w:w="164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7,585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derivative assets and liabilities</w:t>
            </w:r>
          </w:p>
        </w:tc>
        <w:tc>
          <w:tcPr>
            <w:tcW w:w="102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(2,135)</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(215)</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355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413</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4,955</w:t>
            </w:r>
          </w:p>
        </w:tc>
        <w:tc>
          <w:tcPr>
            <w:tcW w:w="164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751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102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2,042</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177</w:t>
            </w:r>
          </w:p>
        </w:tc>
        <w:tc>
          <w:tcPr>
            <w:tcW w:w="164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2,722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102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(349)</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(1,023)</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(727)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10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(943)</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(2,719)</w:t>
            </w:r>
          </w:p>
        </w:tc>
        <w:tc>
          <w:tcPr>
            <w:tcW w:w="164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Provision income (expense) on VAT receivable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(693)</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income (expenses)</w:t>
            </w:r>
          </w:p>
        </w:tc>
        <w:tc>
          <w:tcPr>
            <w:tcW w:w="10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1,045</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640" w:type="dxa"/>
            <w:vAlign w:val="bottom"/>
            <w:tcBorders>
              <w:bottom w:val="single" w:sz="8" w:color="auto"/>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444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7"/>
        </w:trPr>
        <w:tc>
          <w:tcPr>
            <w:tcW w:w="4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(1,317)</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(1,007)</w:t>
            </w:r>
          </w:p>
        </w:tc>
        <w:tc>
          <w:tcPr>
            <w:tcW w:w="1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10,126</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9,960</w:t>
            </w:r>
          </w:p>
        </w:tc>
        <w:tc>
          <w:tcPr>
            <w:tcW w:w="0" w:type="dxa"/>
            <w:vAlign w:val="bottom"/>
          </w:tcPr>
          <w:p>
            <w:pPr>
              <w:spacing w:after="0"/>
              <w:rPr>
                <w:sz w:val="1"/>
                <w:szCs w:val="1"/>
                <w:color w:val="auto"/>
              </w:rPr>
            </w:pPr>
          </w:p>
        </w:tc>
      </w:tr>
      <w:tr>
        <w:trPr>
          <w:trHeight w:val="439"/>
        </w:trPr>
        <w:tc>
          <w:tcPr>
            <w:tcW w:w="4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right="20" w:hanging="9"/>
        <w:spacing w:after="0" w:line="263" w:lineRule="auto"/>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 xml:space="preserve"> </w:t>
      </w:r>
      <w:r>
        <w:rPr>
          <w:rFonts w:ascii="Times New Roman" w:cs="Times New Roman" w:eastAsia="Times New Roman" w:hAnsi="Times New Roman"/>
          <w:sz w:val="18"/>
          <w:szCs w:val="18"/>
          <w:b w:val="1"/>
          <w:bCs w:val="1"/>
          <w:color w:val="auto"/>
        </w:rPr>
        <w:t xml:space="preserve">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Electrical component inventory</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2024, the cost of electrical component inventory recognized as an expense and included in cost of revenues was $380 and $975, respectively (three and six months ended June 30, 2023: $450 and $840, respectively).</w:t>
      </w:r>
    </w:p>
    <w:p>
      <w:pPr>
        <w:spacing w:after="0" w:line="17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Canadian sales tax refund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2024, the Company received confirmation from the Provincial tax authorities that Canadian sales taxes paid by the Company from February 5, 2022 onwards are refundable. Between February 5, 2022, the date on which the new crypto currency sales tax legislation came into effect, and April 2024, the Company filed monthly sales tax refund claims totaling approximately $24,400 (CAD$33,000) that were not paid to the Company, pending the finalization of the aforementioned legislation. The refund of sales taxes relates to sales taxes charged on various expenditures including, but not limited to, electricity costs, cost of property, plant and equipment, professional services, etc.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not receiving its Canadian sales tax refund claims, the Company was self-assessing sales taxes payable when appropriate. During the three and six months ended June 30, 2024, the Company reversed $9,560 of government remittances previously included in PPE and accrued in trade accounts payable and accrued liabilities, as disclosed in Note 13. Of this amount, $5,360 was recorded as a decrease to cost of revenues, $520 was recorded as a decrease to general and administrative expense and $3,680 was recorded as a decrease to PPE.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sales tax recoveries of $22,200 for previous years (i.e., 2022 and 2023) and $2,200 for the period of January to April 2024 were recognized and presented as direct adjustments in their respective expense and asset categories.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$19,200 of the total $24,400 of sales tax claims were refunded by the Canadian tax authorities and the remaining $5,200 was recorded as sales tax receivable in Note 5, which was subsequently received in July 2024.</w:t>
      </w:r>
    </w:p>
    <w:p>
      <w:pPr>
        <w:spacing w:after="0" w:line="15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disposition of marketable securities</w:t>
      </w:r>
    </w:p>
    <w:p>
      <w:pPr>
        <w:spacing w:after="0" w:line="31" w:lineRule="exact"/>
        <w:rPr>
          <w:sz w:val="20"/>
          <w:szCs w:val="20"/>
          <w:color w:val="auto"/>
        </w:rPr>
      </w:pPr>
    </w:p>
    <w:p>
      <w:pPr>
        <w:jc w:val="both"/>
        <w:ind w:hanging="9"/>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funded its expansion in Argentina through the acquisition of marketable securities and the in-kind contribution of those securities to the Company’s subsidiary in Argentina. The subsequent disposition of those marketable securities in exchange for ARS gave rise to a gain as the amount received in ARS exceeded the amount of ARS the Company would have received from a direct foreign currency exchange.</w:t>
      </w:r>
    </w:p>
    <w:p>
      <w:pPr>
        <w:spacing w:after="0" w:line="18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income (expense) on VAT receivable</w:t>
      </w:r>
    </w:p>
    <w:p>
      <w:pPr>
        <w:spacing w:after="0" w:line="31"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Due to the political and economic uncertainties in Argentina, the Company is uncertain when, or if at all, the Argentine VAT receivable will be settled. As a result, the Company recorded a provision to reduce the Argentine VAT receivable to nil starting in the fourth quarter of 2023. During the three and six months ended June 30, 2024, the provision expense is classified within the respective expense and asset categories. Prior to October 1, 2023, the Argentine VAT not expected to be settled within the next 12 months was classified as a long-term receivable in Note 12 with the short-term portion included in sales tax receivable in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operating segments based on the products and services of its business units and has one material reportable segment, cryptocurrency Mining, which is the operation of data centers that support the validation and verification of transactions on the BTC blockchain, earning cryptocurrency for providing these services, as described in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36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3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28,129</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26,458</w:t>
            </w:r>
          </w:p>
        </w:tc>
        <w:tc>
          <w:tcPr>
            <w:tcW w:w="1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60,267</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49,947</w:t>
            </w:r>
          </w:p>
        </w:tc>
      </w:tr>
      <w:tr>
        <w:trPr>
          <w:trHeight w:val="216"/>
        </w:trPr>
        <w:tc>
          <w:tcPr>
            <w:tcW w:w="3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3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3,296</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4,293</w:t>
            </w: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8,183</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8,184</w:t>
            </w:r>
          </w:p>
        </w:tc>
      </w:tr>
      <w:tr>
        <w:trPr>
          <w:trHeight w:val="209"/>
        </w:trPr>
        <w:tc>
          <w:tcPr>
            <w:tcW w:w="3620" w:type="dxa"/>
            <w:vAlign w:val="bottom"/>
            <w:shd w:val="clear" w:color="auto" w:fill="CCEEFF"/>
          </w:tcPr>
          <w:p>
            <w:pPr>
              <w:spacing w:after="0"/>
              <w:rPr>
                <w:sz w:val="18"/>
                <w:szCs w:val="18"/>
                <w:color w:val="auto"/>
              </w:rPr>
            </w:pPr>
          </w:p>
        </w:tc>
        <w:tc>
          <w:tcPr>
            <w:tcW w:w="3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31,425</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30,751</w:t>
            </w:r>
          </w:p>
        </w:tc>
        <w:tc>
          <w:tcPr>
            <w:tcW w:w="1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68,450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58,131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3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7,979</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2,796</w:t>
            </w:r>
          </w:p>
        </w:tc>
        <w:tc>
          <w:tcPr>
            <w:tcW w:w="1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19,555</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4,092</w:t>
            </w:r>
          </w:p>
        </w:tc>
      </w:tr>
      <w:tr>
        <w:trPr>
          <w:trHeight w:val="216"/>
        </w:trPr>
        <w:tc>
          <w:tcPr>
            <w:tcW w:w="3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3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2,144</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1,932</w:t>
            </w: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3,860</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3,306</w:t>
            </w:r>
          </w:p>
        </w:tc>
      </w:tr>
      <w:tr>
        <w:trPr>
          <w:trHeight w:val="209"/>
        </w:trPr>
        <w:tc>
          <w:tcPr>
            <w:tcW w:w="3620" w:type="dxa"/>
            <w:vAlign w:val="bottom"/>
            <w:tcBorders>
              <w:bottom w:val="single" w:sz="8" w:color="auto"/>
            </w:tcBorders>
            <w:shd w:val="clear" w:color="auto" w:fill="CCEEFF"/>
          </w:tcPr>
          <w:p>
            <w:pPr>
              <w:spacing w:after="0"/>
              <w:rPr>
                <w:sz w:val="18"/>
                <w:szCs w:val="18"/>
                <w:color w:val="auto"/>
              </w:rPr>
            </w:pPr>
          </w:p>
        </w:tc>
        <w:tc>
          <w:tcPr>
            <w:tcW w:w="39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10,123</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4,728</w:t>
            </w:r>
          </w:p>
        </w:tc>
        <w:tc>
          <w:tcPr>
            <w:tcW w:w="1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23,415</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7,398</w:t>
            </w:r>
          </w:p>
        </w:tc>
      </w:tr>
      <w:tr>
        <w:trPr>
          <w:trHeight w:val="217"/>
        </w:trPr>
        <w:tc>
          <w:tcPr>
            <w:tcW w:w="36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35,479</w:t>
            </w: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65,529</w:t>
            </w:r>
          </w:p>
        </w:tc>
      </w:tr>
    </w:tbl>
    <w:p>
      <w:pPr>
        <w:spacing w:after="0" w:line="198" w:lineRule="exact"/>
        <w:rPr>
          <w:sz w:val="20"/>
          <w:szCs w:val="20"/>
          <w:color w:val="auto"/>
        </w:rPr>
      </w:pPr>
    </w:p>
    <w:p>
      <w:pPr>
        <w:jc w:val="both"/>
        <w:ind w:hanging="9"/>
        <w:spacing w:after="0" w:line="261" w:lineRule="auto"/>
        <w:rPr>
          <w:sz w:val="20"/>
          <w:szCs w:val="20"/>
          <w:color w:val="auto"/>
        </w:rPr>
      </w:pPr>
      <w:r>
        <w:rPr>
          <w:rFonts w:ascii="Times New Roman" w:cs="Times New Roman" w:eastAsia="Times New Roman" w:hAnsi="Times New Roman"/>
          <w:sz w:val="18"/>
          <w:szCs w:val="18"/>
          <w:color w:val="auto"/>
        </w:rPr>
        <w:t>*Revenues are presented based on the geographical contribution of computational power used for hashing calculations (measured by hashrate) or sales to external customers. During the three and six months ended June 30, 2024, the Company earned 97%% and 98% of its revenues, respectively, from one Mining pool (three and six months ended June 30, 2023: 97%% and 97%, respectively). The Company has the ability to switch Mining Pools or to mine independently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property, plant and equipment by country is as follows:</w:t>
      </w:r>
    </w:p>
    <w:p>
      <w:pPr>
        <w:spacing w:after="0" w:line="203" w:lineRule="exact"/>
        <w:rPr>
          <w:sz w:val="20"/>
          <w:szCs w:val="20"/>
          <w:color w:val="auto"/>
        </w:rPr>
      </w:pPr>
    </w:p>
    <w:p>
      <w:pPr>
        <w:ind w:left="840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June 30,</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Borders>
              <w:top w:val="single" w:sz="8" w:color="auto"/>
              <w:bottom w:val="single" w:sz="8" w:color="auto"/>
            </w:tcBorders>
          </w:tcPr>
          <w:p>
            <w:pPr>
              <w:spacing w:after="0"/>
              <w:rPr>
                <w:sz w:val="18"/>
                <w:szCs w:val="18"/>
                <w:color w:val="auto"/>
              </w:rPr>
            </w:pPr>
          </w:p>
        </w:tc>
        <w:tc>
          <w:tcPr>
            <w:tcW w:w="534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5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5340" w:type="dxa"/>
            <w:vAlign w:val="bottom"/>
            <w:tcBorders>
              <w:right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106,350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101,454</w:t>
            </w:r>
          </w:p>
        </w:tc>
      </w:tr>
      <w:tr>
        <w:trPr>
          <w:trHeight w:val="216"/>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53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14,403</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18,154</w:t>
            </w:r>
          </w:p>
        </w:tc>
      </w:tr>
      <w:tr>
        <w:trPr>
          <w:trHeight w:val="210"/>
        </w:trPr>
        <w:tc>
          <w:tcPr>
            <w:tcW w:w="5020" w:type="dxa"/>
            <w:vAlign w:val="bottom"/>
            <w:shd w:val="clear" w:color="auto" w:fill="CCEEFF"/>
          </w:tcPr>
          <w:p>
            <w:pPr>
              <w:spacing w:after="0"/>
              <w:rPr>
                <w:sz w:val="18"/>
                <w:szCs w:val="18"/>
                <w:color w:val="auto"/>
              </w:rPr>
            </w:pPr>
          </w:p>
        </w:tc>
        <w:tc>
          <w:tcPr>
            <w:tcW w:w="5340" w:type="dxa"/>
            <w:vAlign w:val="bottom"/>
            <w:tcBorders>
              <w:right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120,753</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119,608</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5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5340" w:type="dxa"/>
            <w:vAlign w:val="bottom"/>
            <w:tcBorders>
              <w:right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43,718</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54,657</w:t>
            </w:r>
          </w:p>
        </w:tc>
      </w:tr>
      <w:tr>
        <w:trPr>
          <w:trHeight w:val="216"/>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53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68,822</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11,747</w:t>
            </w:r>
          </w:p>
        </w:tc>
      </w:tr>
      <w:tr>
        <w:trPr>
          <w:trHeight w:val="210"/>
        </w:trPr>
        <w:tc>
          <w:tcPr>
            <w:tcW w:w="5020" w:type="dxa"/>
            <w:vAlign w:val="bottom"/>
            <w:tcBorders>
              <w:bottom w:val="single" w:sz="8" w:color="auto"/>
            </w:tcBorders>
            <w:shd w:val="clear" w:color="auto" w:fill="CCEEFF"/>
          </w:tcPr>
          <w:p>
            <w:pPr>
              <w:spacing w:after="0"/>
              <w:rPr>
                <w:sz w:val="18"/>
                <w:szCs w:val="18"/>
                <w:color w:val="auto"/>
              </w:rPr>
            </w:pPr>
          </w:p>
        </w:tc>
        <w:tc>
          <w:tcPr>
            <w:tcW w:w="5340" w:type="dxa"/>
            <w:vAlign w:val="bottom"/>
            <w:tcBorders>
              <w:bottom w:val="single" w:sz="8" w:color="auto"/>
              <w:right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112,540</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66,404</w:t>
            </w:r>
          </w:p>
        </w:tc>
      </w:tr>
      <w:tr>
        <w:trPr>
          <w:trHeight w:val="217"/>
        </w:trPr>
        <w:tc>
          <w:tcPr>
            <w:tcW w:w="502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233,293</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r>
      <w:tr>
        <w:trPr>
          <w:trHeight w:val="439"/>
        </w:trPr>
        <w:tc>
          <w:tcPr>
            <w:tcW w:w="50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5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25:</w:t>
            </w: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ADDITIONAL DETAILS TO THE STATEMENTS OF CASH FLOWS</w:t>
            </w:r>
          </w:p>
        </w:tc>
        <w:tc>
          <w:tcPr>
            <w:tcW w:w="2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10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100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2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receivables, net</w:t>
            </w:r>
          </w:p>
        </w:tc>
        <w:tc>
          <w:tcPr>
            <w:tcW w:w="2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(6,723)</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electrical component inventory</w:t>
            </w:r>
          </w:p>
        </w:tc>
        <w:tc>
          <w:tcPr>
            <w:tcW w:w="2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deposits</w:t>
            </w:r>
          </w:p>
        </w:tc>
        <w:tc>
          <w:tcPr>
            <w:tcW w:w="2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(1,822)</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trade payables and accrued liabilities</w:t>
            </w:r>
          </w:p>
        </w:tc>
        <w:tc>
          <w:tcPr>
            <w:tcW w:w="2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(2,588)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16"/>
        </w:trPr>
        <w:tc>
          <w:tcPr>
            <w:tcW w:w="7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Decrease in taxes payable</w:t>
            </w:r>
          </w:p>
        </w:tc>
        <w:tc>
          <w:tcPr>
            <w:tcW w:w="2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(509)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9"/>
        </w:trPr>
        <w:tc>
          <w:tcPr>
            <w:tcW w:w="1000" w:type="dxa"/>
            <w:vAlign w:val="bottom"/>
            <w:tcBorders>
              <w:bottom w:val="single" w:sz="8" w:color="auto"/>
            </w:tcBorders>
            <w:shd w:val="clear" w:color="auto" w:fill="CCEEFF"/>
          </w:tcPr>
          <w:p>
            <w:pPr>
              <w:spacing w:after="0"/>
              <w:rPr>
                <w:sz w:val="18"/>
                <w:szCs w:val="18"/>
                <w:color w:val="auto"/>
              </w:rPr>
            </w:pPr>
          </w:p>
        </w:tc>
        <w:tc>
          <w:tcPr>
            <w:tcW w:w="680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(12,033)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10"/>
        </w:trPr>
        <w:tc>
          <w:tcPr>
            <w:tcW w:w="10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 of ROU assets, property, plant and equipment and related lease liabilities</w:t>
            </w:r>
          </w:p>
        </w:tc>
        <w:tc>
          <w:tcPr>
            <w:tcW w:w="24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721</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financed by short-term credit</w:t>
            </w:r>
          </w:p>
        </w:tc>
        <w:tc>
          <w:tcPr>
            <w:tcW w:w="2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7,473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7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property, plant and equipment</w:t>
            </w:r>
          </w:p>
        </w:tc>
        <w:tc>
          <w:tcPr>
            <w:tcW w:w="2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29,756</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4,905</w:t>
            </w:r>
          </w:p>
        </w:tc>
      </w:tr>
      <w:tr>
        <w:trPr>
          <w:trHeight w:val="210"/>
        </w:trPr>
        <w:tc>
          <w:tcPr>
            <w:tcW w:w="10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85,841</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39,657</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6800" w:type="dxa"/>
            <w:vAlign w:val="bottom"/>
          </w:tcPr>
          <w:p>
            <w:pPr>
              <w:spacing w:after="0"/>
              <w:rPr>
                <w:sz w:val="18"/>
                <w:szCs w:val="18"/>
                <w:color w:val="auto"/>
              </w:rPr>
            </w:pPr>
          </w:p>
        </w:tc>
        <w:tc>
          <w:tcPr>
            <w:tcW w:w="24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1,479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1,559</w:t>
            </w:r>
          </w:p>
        </w:tc>
      </w:tr>
      <w:tr>
        <w:trPr>
          <w:trHeight w:val="216"/>
        </w:trPr>
        <w:tc>
          <w:tcPr>
            <w:tcW w:w="78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234</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87,554</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41,228</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26:</w:t>
            </w: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SUBSEQUENT EVENTS</w:t>
            </w:r>
          </w:p>
        </w:tc>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ATM Program</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from July 1, 2024 to August 7, 2024, the Company issued 25,127,000 common shares through the 2024 ATM Program in exchange for gross proceeds of $67,948 at an average share price of approximately $2.70. The Company received net proceeds of $65,828 after paying commissions of $2,120 to the sales agent. Refer to Note 18 for further details of the Company’s 2024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120"/>
        <w:spacing w:after="0"/>
        <w:tabs>
          <w:tab w:leader="none" w:pos="1060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43" w:name="page44"/>
    <w:bookmarkEnd w:id="43"/>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1536065</wp:posOffset>
            </wp:positionV>
            <wp:extent cx="2571750" cy="668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57175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Management’s Discussion &amp; Analysis</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For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Q2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Introduction</w:t>
            </w:r>
          </w:p>
        </w:tc>
        <w:tc>
          <w:tcPr>
            <w:tcW w:w="8980" w:type="dxa"/>
            <w:vAlign w:val="bottom"/>
            <w:tcBorders>
              <w:bottom w:val="single" w:sz="8" w:color="CCEEFF"/>
              <w:right w:val="single" w:sz="8" w:color="CCEEFF"/>
            </w:tcBorders>
            <w:gridSpan w:val="2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40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Second Quarter 2024 Financial Results and Operational Highlights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Production and Mining Operations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top w:val="single" w:sz="8" w:color="CCEEFF"/>
            </w:tcBorders>
          </w:tcPr>
          <w:p>
            <w:pPr>
              <w:spacing w:after="0"/>
              <w:rPr>
                <w:sz w:val="15"/>
                <w:szCs w:val="15"/>
                <w:color w:val="auto"/>
              </w:rPr>
            </w:pPr>
          </w:p>
        </w:tc>
        <w:tc>
          <w:tcPr>
            <w:tcW w:w="250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Expansion Projects</w:t>
            </w:r>
          </w:p>
        </w:tc>
        <w:tc>
          <w:tcPr>
            <w:tcW w:w="7380" w:type="dxa"/>
            <w:vAlign w:val="bottom"/>
            <w:tcBorders>
              <w:top w:val="single" w:sz="8" w:color="CCEEFF"/>
            </w:tcBorders>
            <w:gridSpan w:val="7"/>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Performance</w:t>
            </w:r>
          </w:p>
        </w:tc>
        <w:tc>
          <w:tcPr>
            <w:tcW w:w="8240" w:type="dxa"/>
            <w:vAlign w:val="bottom"/>
            <w:tcBorders>
              <w:bottom w:val="single" w:sz="8" w:color="CCEEFF"/>
              <w:right w:val="single" w:sz="8" w:color="CCEEFF"/>
            </w:tcBorders>
            <w:gridSpan w:val="1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Non-IFRS and Other Financial Measures and Ratios</w:t>
            </w:r>
          </w:p>
        </w:tc>
        <w:tc>
          <w:tcPr>
            <w:tcW w:w="6100" w:type="dxa"/>
            <w:vAlign w:val="bottom"/>
            <w:tcBorders>
              <w:bottom w:val="single" w:sz="8" w:color="CCEEFF"/>
              <w:right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5"/>
                <w:szCs w:val="15"/>
                <w:color w:val="auto"/>
              </w:rPr>
            </w:pPr>
          </w:p>
        </w:tc>
        <w:tc>
          <w:tcPr>
            <w:tcW w:w="988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Position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5"/>
                <w:szCs w:val="15"/>
                <w:color w:val="auto"/>
              </w:rPr>
            </w:pPr>
          </w:p>
        </w:tc>
        <w:tc>
          <w:tcPr>
            <w:tcW w:w="98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Related Party Transactions</w:t>
            </w:r>
          </w:p>
        </w:tc>
        <w:tc>
          <w:tcPr>
            <w:tcW w:w="7940" w:type="dxa"/>
            <w:vAlign w:val="bottom"/>
            <w:tcBorders>
              <w:bottom w:val="single" w:sz="8" w:color="CCEEFF"/>
              <w:right w:val="single" w:sz="8" w:color="CCEEFF"/>
            </w:tcBorders>
            <w:gridSpan w:val="1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Restatement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Internal Controls Over Financial Reporting</w:t>
            </w:r>
          </w:p>
        </w:tc>
        <w:tc>
          <w:tcPr>
            <w:tcW w:w="6760" w:type="dxa"/>
            <w:vAlign w:val="bottom"/>
            <w:tcBorders>
              <w:bottom w:val="single" w:sz="8" w:color="CCEEFF"/>
              <w:right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Recent and Subsequent Events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 Capital</w:t>
            </w:r>
          </w:p>
        </w:tc>
        <w:tc>
          <w:tcPr>
            <w:tcW w:w="8900" w:type="dxa"/>
            <w:vAlign w:val="bottom"/>
            <w:tcBorders>
              <w:bottom w:val="single" w:sz="8" w:color="CCEEFF"/>
              <w:right w:val="single" w:sz="8" w:color="CCEEFF"/>
            </w:tcBorders>
            <w:gridSpan w:val="2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Regulatory Compliance</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5"/>
                <w:szCs w:val="15"/>
                <w:color w:val="auto"/>
              </w:rPr>
            </w:pPr>
          </w:p>
        </w:tc>
        <w:tc>
          <w:tcPr>
            <w:tcW w:w="988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5"/>
                <w:szCs w:val="15"/>
                <w:color w:val="auto"/>
              </w:rPr>
            </w:pPr>
          </w:p>
        </w:tc>
        <w:tc>
          <w:tcPr>
            <w:tcW w:w="98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Estimates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Accounting Policy Information and New Accounting Policies</w:t>
            </w:r>
          </w:p>
        </w:tc>
        <w:tc>
          <w:tcPr>
            <w:tcW w:w="478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Non-IFRS and Other Financial Measures and Ratios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top w:val="single" w:sz="8" w:color="CCEEFF"/>
            </w:tcBorders>
          </w:tcPr>
          <w:p>
            <w:pPr>
              <w:spacing w:after="0"/>
              <w:rPr>
                <w:sz w:val="15"/>
                <w:szCs w:val="15"/>
                <w:color w:val="auto"/>
              </w:rPr>
            </w:pPr>
          </w:p>
        </w:tc>
        <w:tc>
          <w:tcPr>
            <w:tcW w:w="58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408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Glossary of Terms</w:t>
            </w:r>
          </w:p>
        </w:tc>
        <w:tc>
          <w:tcPr>
            <w:tcW w:w="8540" w:type="dxa"/>
            <w:vAlign w:val="bottom"/>
            <w:tcBorders>
              <w:bottom w:val="single" w:sz="8" w:color="CCEEFF"/>
              <w:right w:val="single" w:sz="8" w:color="CCEEFF"/>
            </w:tcBorders>
            <w:gridSpan w:val="2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auto"/>
            </w:tcBorders>
          </w:tcPr>
          <w:p>
            <w:pPr>
              <w:spacing w:after="0"/>
              <w:rPr>
                <w:sz w:val="18"/>
                <w:szCs w:val="18"/>
                <w:color w:val="auto"/>
              </w:rPr>
            </w:pPr>
          </w:p>
        </w:tc>
        <w:tc>
          <w:tcPr>
            <w:tcW w:w="10160" w:type="dxa"/>
            <w:vAlign w:val="bottom"/>
            <w:tcBorders>
              <w:top w:val="single" w:sz="8" w:color="auto"/>
              <w:right w:val="single" w:sz="8" w:color="auto"/>
            </w:tcBorders>
            <w:gridSpan w:val="25"/>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has been prepared as of August 7, 2024. This MD&amp;A should be read in conjunction with the Company’s second quarter 2024 unaudited interim condensed consolidated financial statements and its accompanying notes (the “Financial Statements”), the Company’s 2023 audited annual consolidated financial statements and its accompanying notes (the “2023 Annual Financial Statements”) and the Company’s Annual Information Form dated March 6, 2024 (the “2023 AIF”), which are available on SEDAR+ at www.sedarplus.ca and EDGAR at www.sec.gov/edgar.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International Financial Reporting Standards as issued by the International Accounting Standards Board (“IFRS Accounting Standards”) applicable to the preparation of interim financial statements, including IAS 34, Interim Financial Reporting. The Company’s Financial Statements and this MD&amp;A are reported in thousands of US dollars and US dollars, respectively, except where otherwise noted.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9 - </w:t>
      </w:r>
      <w:r>
        <w:rPr>
          <w:rFonts w:ascii="Times New Roman" w:cs="Times New Roman" w:eastAsia="Times New Roman" w:hAnsi="Times New Roman"/>
          <w:sz w:val="18"/>
          <w:szCs w:val="18"/>
          <w:i w:val="1"/>
          <w:iCs w:val="1"/>
          <w:color w:val="auto"/>
        </w:rPr>
        <w:t>Non-IFRS and Other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and Ratios </w:t>
      </w:r>
      <w:r>
        <w:rPr>
          <w:rFonts w:ascii="Times New Roman" w:cs="Times New Roman" w:eastAsia="Times New Roman" w:hAnsi="Times New Roman"/>
          <w:sz w:val="18"/>
          <w:szCs w:val="18"/>
          <w:color w:val="auto"/>
        </w:rPr>
        <w:t>and Section 23 -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2023, dated March 6, 2024 and to Section 22 -</w:t>
      </w:r>
      <w:r>
        <w:rPr>
          <w:rFonts w:ascii="Times New Roman" w:cs="Times New Roman" w:eastAsia="Times New Roman" w:hAnsi="Times New Roman"/>
          <w:sz w:val="18"/>
          <w:szCs w:val="18"/>
          <w:i w:val="1"/>
          <w:iCs w:val="1"/>
          <w:color w:val="auto"/>
        </w:rPr>
        <w:t xml:space="preserve"> 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 Company’s business and industry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Section 25 -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886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Q2 2024</w:t>
            </w:r>
          </w:p>
        </w:tc>
        <w:tc>
          <w:tcPr>
            <w:tcW w:w="88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Three months ended June 30, 2024</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Q2 2023</w:t>
            </w:r>
          </w:p>
        </w:tc>
        <w:tc>
          <w:tcPr>
            <w:tcW w:w="8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Three months ended June 30, 2023</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YTD Q2 2024</w:t>
            </w:r>
          </w:p>
        </w:tc>
        <w:tc>
          <w:tcPr>
            <w:tcW w:w="88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Six months ended June 30, 2024</w:t>
            </w:r>
          </w:p>
        </w:tc>
      </w:tr>
      <w:tr>
        <w:trPr>
          <w:trHeight w:val="223"/>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YTD Q2 2023</w:t>
            </w:r>
          </w:p>
        </w:tc>
        <w:tc>
          <w:tcPr>
            <w:tcW w:w="88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Six months ended June 30,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3</w:t>
        <w:tab/>
        <w:t>Page</w:t>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Bitcoin mining company. Bitfarms operates vertically integrated Bitcoin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owns and operates data centers housing computers (referred to as “Miners”) designed for the purpose of validating transactions on the Bitcoin Blockchain (referred to as “Mining”). Bitfarms generally operates its Miners 24 hours a day to produce computational power used for hashing calculations (measured by hashrate) that Bitfarms sells to a Mining Pool under a formula-driven rate commonly known in the industry as Full Pay Per Share (“FPPS”). Under FPPS, Mining Pools compensate Mining companies for their computational power used for hashing calculations, measured through hashrate, based on what the Mining Pool would expect to generate in revenue for a given time period if there was no randomness involved. The fee paid by a Mining Pool to Bitfarms for its computational power used for hashing calculations may be in cryptocurrency, U.S. dollars, or another currency. However, the fees are generally paid to the Company on a daily basis in bitcoin (“BTC”).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predominately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is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Borders>
              <w:top w:val="single" w:sz="8" w:color="auto"/>
            </w:tcBorders>
          </w:tcPr>
          <w:p>
            <w:pPr>
              <w:spacing w:after="0"/>
              <w:rPr>
                <w:sz w:val="18"/>
                <w:szCs w:val="18"/>
                <w:color w:val="auto"/>
              </w:rPr>
            </w:pPr>
          </w:p>
        </w:tc>
        <w:tc>
          <w:tcPr>
            <w:tcW w:w="48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b w:val="1"/>
                <w:bCs w:val="1"/>
                <w:color w:val="auto"/>
              </w:rPr>
              <w:t>Operating power as of</w:t>
            </w:r>
          </w:p>
        </w:tc>
        <w:tc>
          <w:tcPr>
            <w:tcW w:w="21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Contracted power as of</w:t>
            </w:r>
          </w:p>
        </w:tc>
      </w:tr>
      <w:tr>
        <w:trPr>
          <w:trHeight w:val="238"/>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4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b w:val="1"/>
                <w:bCs w:val="1"/>
                <w:color w:val="auto"/>
              </w:rPr>
              <w:t>August 7, 2024</w:t>
            </w:r>
          </w:p>
        </w:tc>
        <w:tc>
          <w:tcPr>
            <w:tcW w:w="21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August 7, 2024</w:t>
            </w: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15"/>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
                <w:szCs w:val="1"/>
                <w:color w:val="auto"/>
              </w:rPr>
              <w:t>Canada</w:t>
            </w:r>
          </w:p>
        </w:tc>
        <w:tc>
          <w:tcPr>
            <w:tcW w:w="4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rPr>
              <w:t>159 MW</w:t>
            </w:r>
          </w:p>
        </w:tc>
        <w:tc>
          <w:tcPr>
            <w:tcW w:w="21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
                <w:szCs w:val="1"/>
                <w:color w:val="auto"/>
              </w:rPr>
              <w:t>180 MW</w:t>
            </w:r>
          </w:p>
        </w:tc>
      </w:tr>
      <w:tr>
        <w:trPr>
          <w:trHeight w:val="201"/>
        </w:trPr>
        <w:tc>
          <w:tcPr>
            <w:tcW w:w="424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21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5"/>
                <w:szCs w:val="15"/>
                <w:color w:val="auto"/>
                <w:w w:val="88"/>
              </w:rPr>
              <w:t>1, 2</w:t>
            </w:r>
          </w:p>
        </w:tc>
      </w:tr>
      <w:tr>
        <w:trPr>
          <w:trHeight w:val="229"/>
        </w:trPr>
        <w:tc>
          <w:tcPr>
            <w:tcW w:w="4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17 MW</w:t>
            </w:r>
          </w:p>
        </w:tc>
        <w:tc>
          <w:tcPr>
            <w:tcW w:w="2120" w:type="dxa"/>
            <w:vAlign w:val="bottom"/>
            <w:tcBorders>
              <w:bottom w:val="single" w:sz="8" w:color="auto"/>
            </w:tcBorders>
          </w:tcPr>
          <w:p>
            <w:pPr>
              <w:ind w:left="1340"/>
              <w:spacing w:after="0" w:line="230" w:lineRule="exact"/>
              <w:rPr>
                <w:sz w:val="20"/>
                <w:szCs w:val="20"/>
                <w:color w:val="auto"/>
              </w:rPr>
            </w:pPr>
            <w:r>
              <w:rPr>
                <w:rFonts w:ascii="Times New Roman" w:cs="Times New Roman" w:eastAsia="Times New Roman" w:hAnsi="Times New Roman"/>
                <w:sz w:val="16"/>
                <w:szCs w:val="16"/>
                <w:color w:val="auto"/>
              </w:rPr>
              <w:t>21 MW</w:t>
            </w:r>
            <w:r>
              <w:rPr>
                <w:rFonts w:ascii="Times New Roman" w:cs="Times New Roman" w:eastAsia="Times New Roman" w:hAnsi="Times New Roman"/>
                <w:sz w:val="26"/>
                <w:szCs w:val="26"/>
                <w:color w:val="auto"/>
                <w:vertAlign w:val="superscript"/>
              </w:rPr>
              <w:t>2</w:t>
            </w:r>
          </w:p>
        </w:tc>
      </w:tr>
      <w:tr>
        <w:trPr>
          <w:trHeight w:val="210"/>
        </w:trPr>
        <w:tc>
          <w:tcPr>
            <w:tcW w:w="4240" w:type="dxa"/>
            <w:vAlign w:val="bottom"/>
            <w:shd w:val="clear" w:color="auto" w:fill="CCEEFF"/>
          </w:tcPr>
          <w:p>
            <w:pPr>
              <w:spacing w:after="0"/>
              <w:rPr>
                <w:sz w:val="18"/>
                <w:szCs w:val="18"/>
                <w:color w:val="auto"/>
              </w:rPr>
            </w:pPr>
          </w:p>
        </w:tc>
        <w:tc>
          <w:tcPr>
            <w:tcW w:w="4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176 MW</w:t>
            </w:r>
          </w:p>
        </w:tc>
        <w:tc>
          <w:tcPr>
            <w:tcW w:w="21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201 MW</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8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15"/>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
                <w:szCs w:val="1"/>
                <w:color w:val="auto"/>
              </w:rPr>
              <w:t>Paraguay</w:t>
            </w:r>
          </w:p>
        </w:tc>
        <w:tc>
          <w:tcPr>
            <w:tcW w:w="4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
                <w:szCs w:val="1"/>
                <w:color w:val="auto"/>
              </w:rPr>
              <w:t>80 MW</w:t>
            </w:r>
          </w:p>
        </w:tc>
        <w:tc>
          <w:tcPr>
            <w:tcW w:w="21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
                <w:szCs w:val="1"/>
                <w:color w:val="auto"/>
              </w:rPr>
              <w:t>280 MW</w:t>
            </w:r>
          </w:p>
        </w:tc>
      </w:tr>
      <w:tr>
        <w:trPr>
          <w:trHeight w:val="201"/>
        </w:trPr>
        <w:tc>
          <w:tcPr>
            <w:tcW w:w="424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21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5"/>
                <w:szCs w:val="15"/>
                <w:color w:val="auto"/>
              </w:rPr>
              <w:t>2</w:t>
            </w:r>
          </w:p>
        </w:tc>
      </w:tr>
      <w:tr>
        <w:trPr>
          <w:trHeight w:val="230"/>
        </w:trPr>
        <w:tc>
          <w:tcPr>
            <w:tcW w:w="4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4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54 MW</w:t>
            </w:r>
          </w:p>
        </w:tc>
        <w:tc>
          <w:tcPr>
            <w:tcW w:w="2120" w:type="dxa"/>
            <w:vAlign w:val="bottom"/>
            <w:tcBorders>
              <w:bottom w:val="single" w:sz="8" w:color="auto"/>
            </w:tcBorders>
          </w:tcPr>
          <w:p>
            <w:pPr>
              <w:ind w:left="1240"/>
              <w:spacing w:after="0" w:line="230" w:lineRule="exact"/>
              <w:rPr>
                <w:sz w:val="20"/>
                <w:szCs w:val="20"/>
                <w:color w:val="auto"/>
              </w:rPr>
            </w:pPr>
            <w:r>
              <w:rPr>
                <w:rFonts w:ascii="Times New Roman" w:cs="Times New Roman" w:eastAsia="Times New Roman" w:hAnsi="Times New Roman"/>
                <w:sz w:val="16"/>
                <w:szCs w:val="16"/>
                <w:color w:val="auto"/>
              </w:rPr>
              <w:t>210 MW</w:t>
            </w:r>
            <w:r>
              <w:rPr>
                <w:rFonts w:ascii="Times New Roman" w:cs="Times New Roman" w:eastAsia="Times New Roman" w:hAnsi="Times New Roman"/>
                <w:sz w:val="26"/>
                <w:szCs w:val="26"/>
                <w:color w:val="auto"/>
                <w:vertAlign w:val="superscript"/>
              </w:rPr>
              <w:t>2</w:t>
            </w:r>
          </w:p>
        </w:tc>
      </w:tr>
      <w:tr>
        <w:trPr>
          <w:trHeight w:val="223"/>
        </w:trPr>
        <w:tc>
          <w:tcPr>
            <w:tcW w:w="4240" w:type="dxa"/>
            <w:vAlign w:val="bottom"/>
            <w:tcBorders>
              <w:bottom w:val="single" w:sz="8" w:color="auto"/>
            </w:tcBorders>
            <w:shd w:val="clear" w:color="auto" w:fill="CCEEFF"/>
          </w:tcPr>
          <w:p>
            <w:pPr>
              <w:spacing w:after="0"/>
              <w:rPr>
                <w:sz w:val="19"/>
                <w:szCs w:val="19"/>
                <w:color w:val="auto"/>
              </w:rPr>
            </w:pPr>
          </w:p>
        </w:tc>
        <w:tc>
          <w:tcPr>
            <w:tcW w:w="4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134 MW</w:t>
            </w:r>
          </w:p>
        </w:tc>
        <w:tc>
          <w:tcPr>
            <w:tcW w:w="21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490 MW</w:t>
            </w:r>
          </w:p>
        </w:tc>
      </w:tr>
      <w:tr>
        <w:trPr>
          <w:trHeight w:val="230"/>
        </w:trPr>
        <w:tc>
          <w:tcPr>
            <w:tcW w:w="424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310 MW</w:t>
            </w:r>
          </w:p>
        </w:tc>
        <w:tc>
          <w:tcPr>
            <w:tcW w:w="21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691 MW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9" w:lineRule="exact"/>
        <w:rPr>
          <w:sz w:val="20"/>
          <w:szCs w:val="20"/>
          <w:color w:val="auto"/>
        </w:rPr>
      </w:pPr>
    </w:p>
    <w:p>
      <w:pPr>
        <w:ind w:right="20" w:firstLine="8"/>
        <w:spacing w:after="0" w:line="195" w:lineRule="auto"/>
        <w:tabs>
          <w:tab w:leader="none" w:pos="112"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10 MW of hydro-electricity in the province of Quebec but does not currently have an expansion plan for those 10 MW of power. Bitfarms is continuing its efforts to search for economically viable properties for the available 10 MW of hydro-electricity.</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Refer to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for details on the timing of the remaining MW not yet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4"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4</w:t>
        <w:tab/>
        <w:t>Page</w:t>
      </w:r>
    </w:p>
    <w:p>
      <w:pPr>
        <w:sectPr>
          <w:pgSz w:w="11900" w:h="16838" w:orient="portrait"/>
          <w:cols w:equalWidth="0" w:num="1">
            <w:col w:w="11240"/>
          </w:cols>
          <w:pgMar w:left="320" w:top="33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tc>
        <w:tc>
          <w:tcPr>
            <w:tcW w:w="2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6"/>
        </w:trPr>
        <w:tc>
          <w:tcPr>
            <w:tcW w:w="45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7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7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35,479</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65,529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27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(11,275)</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(6,040)</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(21,957)</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(14,393)</w:t>
            </w:r>
          </w:p>
        </w:tc>
      </w:tr>
      <w:tr>
        <w:trPr>
          <w:trHeight w:val="257"/>
        </w:trPr>
        <w:tc>
          <w:tcPr>
            <w:tcW w:w="4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27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7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(23,578)</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(25,170)</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(47,286)</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(40,754)</w:t>
            </w:r>
          </w:p>
        </w:tc>
      </w:tr>
      <w:tr>
        <w:trPr>
          <w:trHeight w:val="270"/>
        </w:trPr>
        <w:tc>
          <w:tcPr>
            <w:tcW w:w="4560" w:type="dxa"/>
            <w:vAlign w:val="bottom"/>
            <w:tcBorders>
              <w:bottom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27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7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7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(26,599)</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(26,083)</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(32,579)</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(30,370)</w:t>
            </w:r>
          </w:p>
        </w:tc>
      </w:tr>
      <w:tr>
        <w:trPr>
          <w:trHeight w:val="229"/>
        </w:trPr>
        <w:tc>
          <w:tcPr>
            <w:tcW w:w="4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7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(0.07)</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(0.11)</w:t>
            </w:r>
          </w:p>
        </w:tc>
        <w:tc>
          <w:tcPr>
            <w:tcW w:w="17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(0.09)</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r>
      <w:tr>
        <w:trPr>
          <w:trHeight w:val="250"/>
        </w:trPr>
        <w:tc>
          <w:tcPr>
            <w:tcW w:w="456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8"/>
                <w:szCs w:val="28"/>
                <w:color w:val="auto"/>
                <w:vertAlign w:val="superscript"/>
              </w:rPr>
              <w:t>(2)</w:t>
            </w:r>
          </w:p>
        </w:tc>
        <w:tc>
          <w:tcPr>
            <w:tcW w:w="2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20,650</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16,355</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51,990</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30,298</w:t>
            </w:r>
          </w:p>
        </w:tc>
      </w:tr>
      <w:tr>
        <w:trPr>
          <w:trHeight w:val="257"/>
        </w:trPr>
        <w:tc>
          <w:tcPr>
            <w:tcW w:w="4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27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7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7"/>
        </w:trPr>
        <w:tc>
          <w:tcPr>
            <w:tcW w:w="45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2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11,618</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9,968</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34,942</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18,343</w:t>
            </w:r>
          </w:p>
        </w:tc>
      </w:tr>
      <w:tr>
        <w:trPr>
          <w:trHeight w:val="277"/>
        </w:trPr>
        <w:tc>
          <w:tcPr>
            <w:tcW w:w="4560" w:type="dxa"/>
            <w:vAlign w:val="bottom"/>
            <w:tcBorders>
              <w:bottom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27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7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9"/>
        </w:trPr>
        <w:tc>
          <w:tcPr>
            <w:tcW w:w="4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r>
      <w:tr>
        <w:trPr>
          <w:trHeight w:val="210"/>
        </w:trPr>
        <w:tc>
          <w:tcPr>
            <w:tcW w:w="45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535,934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2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41,104</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53,525</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2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1,487</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 included in financial liabilities</w:t>
            </w:r>
          </w:p>
        </w:tc>
        <w:tc>
          <w:tcPr>
            <w:tcW w:w="2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1,651</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per share for the periods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40" w:hanging="332"/>
        <w:spacing w:after="0" w:line="187"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5</w:t>
        <w:tab/>
        <w:t>Page</w:t>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SECOND QUARTER 2024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right="20" w:hanging="332"/>
        <w:spacing w:after="0" w:line="183" w:lineRule="auto"/>
        <w:tabs>
          <w:tab w:leader="none" w:pos="340" w:val="left"/>
        </w:tabs>
        <w:numPr>
          <w:ilvl w:val="0"/>
          <w:numId w:val="50"/>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Revenues of $41.5 million, gross loss of $11.3 million (gross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27%) including non-cash depreciation and amortization expense of $57.3 million, operating loss of $23.6 million (operating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57%), and net loss of $26.6 million;</w:t>
      </w:r>
    </w:p>
    <w:p>
      <w:pPr>
        <w:spacing w:after="0" w:line="2" w:lineRule="exact"/>
        <w:rPr>
          <w:rFonts w:ascii="Times New Roman" w:cs="Times New Roman" w:eastAsia="Times New Roman" w:hAnsi="Times New Roman"/>
          <w:sz w:val="35"/>
          <w:szCs w:val="35"/>
          <w:color w:val="auto"/>
          <w:vertAlign w:val="superscript"/>
        </w:rPr>
      </w:pPr>
    </w:p>
    <w:p>
      <w:pPr>
        <w:ind w:left="340" w:hanging="332"/>
        <w:spacing w:after="0" w:line="191" w:lineRule="auto"/>
        <w:tabs>
          <w:tab w:leader="none" w:pos="340" w:val="left"/>
        </w:tabs>
        <w:numPr>
          <w:ilvl w:val="0"/>
          <w:numId w:val="5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Gross Mining profit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$20.7 million (51% Gross Mining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and</w:t>
      </w:r>
    </w:p>
    <w:p>
      <w:pPr>
        <w:ind w:left="340" w:hanging="332"/>
        <w:spacing w:after="0" w:line="195" w:lineRule="auto"/>
        <w:tabs>
          <w:tab w:leader="none" w:pos="340" w:val="left"/>
        </w:tabs>
        <w:numPr>
          <w:ilvl w:val="0"/>
          <w:numId w:val="5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$11.6 million (28% Adjusted EBITDA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 w:lineRule="exact"/>
        <w:rPr>
          <w:sz w:val="20"/>
          <w:szCs w:val="20"/>
          <w:color w:val="auto"/>
        </w:rPr>
      </w:pPr>
    </w:p>
    <w:p>
      <w:pPr>
        <w:ind w:left="340" w:hanging="332"/>
        <w:spacing w:after="0" w:line="250" w:lineRule="auto"/>
        <w:tabs>
          <w:tab w:leader="none" w:pos="34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hashrate from 6.5 EH/s at March 31, 2024 to 10.4 EH/s at June 30, 2024, an increase of 60%, through the installation of approximately 39,400 more efficient Miners;</w:t>
      </w:r>
    </w:p>
    <w:p>
      <w:pPr>
        <w:ind w:left="340" w:hanging="332"/>
        <w:spacing w:after="0" w:line="25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confirmation from the Provincial tax authorities that Canadian sales taxes paid by the Company from February 5, 2022 onwards is refundable, resulting in a sales tax recovery of approximately $24.0 million for claims between February 5, 2022 and April 2024;</w:t>
      </w:r>
    </w:p>
    <w:p>
      <w:pPr>
        <w:ind w:left="340" w:hanging="332"/>
        <w:spacing w:after="0" w:line="182" w:lineRule="auto"/>
        <w:tabs>
          <w:tab w:leader="none" w:pos="340" w:val="left"/>
        </w:tabs>
        <w:numPr>
          <w:ilvl w:val="0"/>
          <w:numId w:val="5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Earned 614 BTC at an average direct cost of $30,600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an average total cash cost of $47,300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905 BTC valued at approximately $56.7 million as of June 30, 2024; and</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515 BTC at an average price of $65,500 per BTC for total proceeds of $33.8 million, a portion of which was used to pay 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hanging="332"/>
        <w:spacing w:after="0" w:line="260"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Bitfarms’ transformative fleet upgrade with the deployment of 39,400 Miners across 9 data centers located in Canada, the US, and Paraguay, enabling the Company to achieve 10.4 EH/s at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Energized the Paso Pe data center and installed approximately 9,500 Bitmain T21 Miners and 1,800 MicroBT M53S WhatsMiner Miners;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Finalized an amendment to the existing energy contract at the Yguazu data center for an additional 100 MW of energy capacity for a total capacity of 200 MW; and</w:t>
      </w: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construction of the Yguazu data center.</w:t>
      </w:r>
    </w:p>
    <w:p>
      <w:pPr>
        <w:spacing w:after="0" w:line="207"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approximately 23,100 Bitmain T21 Miners, 3,700 Bitmain S21 Miners and 100 MicroBT WhatsMiner M53S Miners into the Company’s</w:t>
      </w:r>
    </w:p>
    <w:p>
      <w:pPr>
        <w:spacing w:after="0" w:line="27" w:lineRule="exact"/>
        <w:rPr>
          <w:sz w:val="20"/>
          <w:szCs w:val="20"/>
          <w:color w:val="auto"/>
        </w:rPr>
      </w:pPr>
    </w:p>
    <w:p>
      <w:pPr>
        <w:ind w:left="340"/>
        <w:spacing w:after="0" w:line="260" w:lineRule="auto"/>
        <w:rPr>
          <w:sz w:val="20"/>
          <w:szCs w:val="20"/>
          <w:color w:val="auto"/>
        </w:rPr>
      </w:pPr>
      <w:r>
        <w:rPr>
          <w:rFonts w:ascii="Times New Roman" w:cs="Times New Roman" w:eastAsia="Times New Roman" w:hAnsi="Times New Roman"/>
          <w:sz w:val="18"/>
          <w:szCs w:val="18"/>
          <w:color w:val="auto"/>
        </w:rPr>
        <w:t>Quebec data centers, adding a net 2.5 EH/s and improving energy efficiency of the Company’s operations at its data centers by approximately 40% across the region. The Company sold some of its older generation Miners to third parties for approximately $0.3 million.</w:t>
      </w:r>
    </w:p>
    <w:p>
      <w:pPr>
        <w:spacing w:after="0" w:line="181" w:lineRule="exact"/>
        <w:rPr>
          <w:sz w:val="20"/>
          <w:szCs w:val="20"/>
          <w:color w:val="auto"/>
        </w:rPr>
      </w:pPr>
    </w:p>
    <w:p>
      <w:pPr>
        <w:ind w:left="340" w:hanging="332"/>
        <w:spacing w:after="0" w:line="261"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agreement to lease a site in Sharon, Pennsylvania, providing the Company immediate capacity of 12 MW of electricity with up to 108 MW of additional development capacity. Upon completion, the Sharon data center is expected to support an additional 8 EH/s; and</w:t>
      </w: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approximately 1,000 Bitmain T21 and 200 Bitmain S21 Miners at the Washington data center.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$136.4 million in net proceeds through the Company’s 2024 at-the-market equity offering program (“2024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57" w:lineRule="exact"/>
        <w:rPr>
          <w:sz w:val="20"/>
          <w:szCs w:val="20"/>
          <w:color w:val="auto"/>
        </w:rPr>
      </w:pPr>
    </w:p>
    <w:p>
      <w:pPr>
        <w:ind w:left="120" w:hanging="112"/>
        <w:spacing w:after="0"/>
        <w:tabs>
          <w:tab w:leader="none" w:pos="12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right="20" w:firstLine="8"/>
        <w:spacing w:after="0" w:line="195" w:lineRule="auto"/>
        <w:tabs>
          <w:tab w:leader="none" w:pos="112"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6</w:t>
        <w:tab/>
        <w:t>Page</w:t>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right="7420" w:firstLine="8"/>
        <w:spacing w:after="0" w:line="508" w:lineRule="auto"/>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4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8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8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614</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1,223</w:t>
            </w:r>
          </w:p>
        </w:tc>
        <w:tc>
          <w:tcPr>
            <w:tcW w:w="1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1,557</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2,520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515</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1,109</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1,456</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2,376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98"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2024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Q2 2023</w:t>
      </w:r>
    </w:p>
    <w:p>
      <w:pPr>
        <w:spacing w:after="0" w:line="31" w:lineRule="exact"/>
        <w:rPr>
          <w:sz w:val="20"/>
          <w:szCs w:val="20"/>
          <w:color w:val="auto"/>
        </w:rPr>
      </w:pPr>
    </w:p>
    <w:p>
      <w:pPr>
        <w:jc w:val="both"/>
        <w:ind w:left="660" w:hanging="328"/>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614 BTC earned in Q2 2024, compared to 1,223 BTC earned in Q2 2023, representing a decrease of 50% as a result of reduced block rewards following the April 2024 halving event and a 71% increase in average network difficulty, partially offset by an increase in hashrate from the Company’s expansions and certain upgrades to its Miner fleet with higher efficiency Miners;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Company upgrading its fleet with more efficient Miners, the Company improved its ending energy efficiency to 25 Watts/TH on June 30, 2024 compared to 34 Watts/TH on March 31, 2024. This improvement resulted in a 28 average Watts/Average TH efficiency during Q2 2024, compared to 37 average Watts/Average TH efficiency during Q2 2023, representing an improvement of 24%;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 BTC sold in Q2 2024, compared to 1,109 BTC in Q2 2023. The proceeds were used in part to fund operations and to manage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2024 v. YTD Q2 2023</w:t>
      </w:r>
    </w:p>
    <w:p>
      <w:pPr>
        <w:spacing w:after="0" w:line="31" w:lineRule="exact"/>
        <w:rPr>
          <w:sz w:val="20"/>
          <w:szCs w:val="20"/>
          <w:color w:val="auto"/>
        </w:rPr>
      </w:pPr>
    </w:p>
    <w:p>
      <w:pPr>
        <w:jc w:val="both"/>
        <w:ind w:left="660" w:hanging="328"/>
        <w:spacing w:after="0" w:line="25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1,557 BTC earned during YTD Q2 2024, compared to 2,520 BTC earned during YTD Q2 2023, representing a decrease of 38% from the previous year as a result of reduced block rewards following the April 2024 halving event and a 81% increase in average network difficulty, partially offset by an increase in hashrate from the Company’s expansions and certain upgrades to its Miner fleet with higher efficiency Miners;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Company upgrading its fleet with more efficient Miners, the Company improved its ending energy efficiency to 25 Watts/TH on June 30, 2024 compared to 35 Watts/TH on December 31, 2023. This improvement resulted in a 31 average Watts/Average TH efficiency during YTD Q2 2024, compared to 37 average Watts/Average TH efficiency during YTD Q2 2023, representing an improvement of 16%;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1,456 BTC sold in YTD Q2 2024, compared to 2,376 BTC in YTD Q2 2023. The proceeds were used in part to fund operations, repay equipment financing indebtedness and to manage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7</w:t>
        <w:tab/>
        <w:t>Page</w:t>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PRODUCTION AND MINING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Key Performance Indicators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200" w:type="dxa"/>
            <w:vAlign w:val="bottom"/>
            <w:tcBorders>
              <w:bottom w:val="single" w:sz="8" w:color="auto"/>
            </w:tcBorders>
          </w:tcPr>
          <w:p>
            <w:pPr>
              <w:spacing w:after="0"/>
              <w:rPr>
                <w:sz w:val="20"/>
                <w:szCs w:val="20"/>
                <w:color w:val="auto"/>
              </w:rPr>
            </w:pPr>
          </w:p>
        </w:tc>
      </w:tr>
      <w:tr>
        <w:trPr>
          <w:trHeight w:val="209"/>
        </w:trPr>
        <w:tc>
          <w:tcPr>
            <w:tcW w:w="60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2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10.4</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2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w:t>
            </w: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capacity (MW)</w:t>
            </w:r>
          </w:p>
        </w:tc>
        <w:tc>
          <w:tcPr>
            <w:tcW w:w="2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310</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Hydro power (MW)</w:t>
            </w:r>
          </w:p>
        </w:tc>
        <w:tc>
          <w:tcPr>
            <w:tcW w:w="2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256</w:t>
            </w: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 power proportion of period-end operating capacity</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3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Watts represents the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June 30, 2024 v. as of June 30, 2023</w:t>
      </w:r>
    </w:p>
    <w:p>
      <w:pPr>
        <w:spacing w:after="0" w:line="31" w:lineRule="exact"/>
        <w:rPr>
          <w:sz w:val="20"/>
          <w:szCs w:val="20"/>
          <w:color w:val="auto"/>
        </w:rPr>
      </w:pPr>
    </w:p>
    <w:p>
      <w:pPr>
        <w:jc w:val="both"/>
        <w:ind w:left="660" w:hanging="328"/>
        <w:spacing w:after="0" w:line="250" w:lineRule="auto"/>
        <w:tabs>
          <w:tab w:leader="none" w:pos="6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 EH/s online as of June 30, 2024, compared to 5.3 EH/s online as of June 30, 2023, an increase of 96%, as a result of the Company’s expansions in Rio Cuarto (Argentina), Baie-Comeau (Quebec) and Paso Pe (Paraguay), as well as the upgrade of its Miner fleet with higher efficiency Miners;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Company upgrading its fleet with more efficient Miners, the Company improved its ending energy efficiency to 25 Watts/TH on June 30, 2024 compared to 37 Watts/TH on June 30, 2023;</w:t>
      </w:r>
    </w:p>
    <w:p>
      <w:pPr>
        <w:jc w:val="both"/>
        <w:ind w:left="66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MW operating capacity as of June 30, 2024, compared to 207 MW operating capacity as of June 30, 2023, an increase of 50%, as a result of the installation of approximately 13,400 Miners in Rio Cuarto from Q2 2023 to Q1 2024 (resulting in an additional 25 MW), the expansion in Baie-Comeau (resulting in an additional 11 MW) and the expansion in Paso Pe (resulting in an additional 70 MW);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 MW hydro power as of June 30, 2024, compared to 178 MW hydro power as of June 30, 2023, an increase of 44% as a result of the Company’s expansion in Baie-Comeau and Paso Pe and representing 83% of the Company’s total operating energy capacity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8</w:t>
        <w:tab/>
        <w:t>Page</w:t>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EXPANSION PROJECTS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described its expansion plans below under the sections entitled “Paraguay Expansion”, “United States Expansion”, “Canada Expansion”, and “Argentina Expansion”. These expansion projects only include updates for 2024. For background or historical information on these expansions, refer to the Company’s MD&amp;A for the year ended December 31, 2023, dated March 6, 2024 and the 2023 AIF.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Company operated 10.4 EH/s, an increase of 5.1 EH/s, or 96%, compared to Q2 2023, with the installation of additional Miners in Baie-Comeau, Quebec, Rio Cuarto, Argentina, and Paso Pe, Paraguay, and the Company upgrading its fleet with more efficient Miners. In July 2024, the Company achieved 11.1 EH/s. Through its expansion projects and the investment in its transformative fleet upgrade, the Company is executing towards its targets of 21 EH/s and 21 w/TH by end of 2024 and 35 EH/s by the end of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operating and targeted operating EH/s:</w:t>
            </w:r>
          </w:p>
        </w:tc>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0"/>
        </w:trPr>
        <w:tc>
          <w:tcPr>
            <w:tcW w:w="6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Target -</w:t>
            </w:r>
          </w:p>
        </w:tc>
      </w:tr>
      <w:tr>
        <w:trPr>
          <w:trHeight w:val="238"/>
        </w:trPr>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(Period-end operating hashrate in EH/s)</w:t>
            </w:r>
          </w:p>
        </w:tc>
        <w:tc>
          <w:tcPr>
            <w:tcW w:w="2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Countries</w:t>
            </w:r>
          </w:p>
        </w:tc>
        <w:tc>
          <w:tcPr>
            <w:tcW w:w="2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6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USA</w:t>
            </w:r>
          </w:p>
        </w:tc>
        <w:tc>
          <w:tcPr>
            <w:tcW w:w="2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640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2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64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6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recent BTC halving event occurred on April 19, 2024, and the Company continues to prudently explore further opportunities to expand its infrastructure and improve its Mining hardware to increase the Company’s hashrate and Miner efficiency.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cost and supply of Bitcoin Mining equipment, the ability to import equipment into countries where it operates in a cost-effective and timely manner, the supply of electrical and other supporting infrastructure equipment, the availability of construction materials, currency exchange rates and the impact of geopolitical events on the supply chains described above. Adding reliable, environmentally-friendly hydro power is an element of the Company’s strategy to expand cost-effectively its operating footprint. The Company’s expansion plans rely on a consistent supply of electricity at cost-effective rates; refer to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 Risks)</w:t>
      </w:r>
      <w:r>
        <w:rPr>
          <w:rFonts w:ascii="Times New Roman" w:cs="Times New Roman" w:eastAsia="Times New Roman" w:hAnsi="Times New Roman"/>
          <w:sz w:val="18"/>
          <w:szCs w:val="18"/>
          <w:color w:val="auto"/>
        </w:rPr>
        <w:t xml:space="preserve"> of the Company’s MD&amp;A for the year ended December 31, 2023, dated March 6, 2024 for further details, including a description of these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9</w:t>
        <w:tab/>
        <w:t>Page</w:t>
      </w:r>
    </w:p>
    <w:p>
      <w:pPr>
        <w:sectPr>
          <w:pgSz w:w="11900" w:h="16838" w:orient="portrait"/>
          <w:cols w:equalWidth="0" w:num="1">
            <w:col w:w="11240"/>
          </w:cols>
          <w:pgMar w:left="320" w:top="3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Transformative Fleet Upgrade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transformative fleet upgrade underpins the Company’s 2024 expansion strategy. Securing additional Miners is a key element of the Company’s strategy to capitalize on increasing Bitcoin prices to drive rapid and meaningful improvements across three key operating metrics: hashrate, energy efficiency and operating costs per TH.</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27, 2023, the Company placed a firm purchase order for 35,888 Bitmain T21 Miners (the “Purchase Order”) totaling $95.5 million, or $14/TH, with deliveries scheduled from March 2024 to May 2024. In addition, the Company secured a purchase option for an additional 28,000 Bitmain T21 Miners (the “Purchase Option”) for an aggregate purchase price of $74.5 million, or $14/TH.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11, 2024, the Company exercised the Purchase Option. On that date, the Company also purchased an additional 19,280 Bitmain T21 Miners for $14/TH, and 3,888 Bitmain S21 Miners and 740 Bitmain S21 hydro Miners for $17.50/TH for an aggregate purchase price of $69.2 million (collectively defined as the ’‘March 2024 Purchase Order’’). The March 2024 Purchase Order, combined with the Purchase Order and Purchase Option, is expected to enable the Company to reach 21 EH/s operating capacity and 21w/TH efficiency in 2024 without redeploying its older Miners, which the Company intends to continue liquidating to help offset the cost of new Miners. During YTD Q2 2024, the Company sold approximately 1,200 older generation Miners to third parties for approximately $0.3 million.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2024, the Company paid $124.3 million towards these new orders with remaining payments of $114.9 million to be made in 2024. The Company commenced the 2024 ATM Program on March 11, 2024, enabling the Company to access liquidity of up to $375.0 million, with the intention to use the proceeds primarily on capital expenditures to support the Company’s growth and development. Refer to Section 10A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Cash Flows from Financing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status of the new Miner orders as of July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8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220" w:type="dxa"/>
            <w:vAlign w:val="bottom"/>
            <w:tcBorders>
              <w:top w:val="single" w:sz="8" w:color="auto"/>
              <w:bottom w:val="single" w:sz="8" w:color="auto"/>
            </w:tcBorders>
          </w:tcPr>
          <w:p>
            <w:pPr>
              <w:jc w:val="right"/>
              <w:ind w:right="30"/>
              <w:spacing w:after="0" w:line="270" w:lineRule="exact"/>
              <w:rPr>
                <w:sz w:val="20"/>
                <w:szCs w:val="20"/>
                <w:color w:val="auto"/>
              </w:rPr>
            </w:pPr>
            <w:r>
              <w:rPr>
                <w:rFonts w:ascii="Times New Roman" w:cs="Times New Roman" w:eastAsia="Times New Roman" w:hAnsi="Times New Roman"/>
                <w:sz w:val="18"/>
                <w:szCs w:val="18"/>
                <w:b w:val="1"/>
                <w:bCs w:val="1"/>
                <w:color w:val="auto"/>
              </w:rPr>
              <w:t>Quantity</w:t>
            </w:r>
            <w:r>
              <w:rPr>
                <w:rFonts w:ascii="Times New Roman" w:cs="Times New Roman" w:eastAsia="Times New Roman" w:hAnsi="Times New Roman"/>
                <w:sz w:val="29"/>
                <w:szCs w:val="29"/>
                <w:b w:val="1"/>
                <w:bCs w:val="1"/>
                <w:color w:val="auto"/>
                <w:vertAlign w:val="superscript"/>
              </w:rPr>
              <w:t>1</w:t>
            </w:r>
          </w:p>
        </w:tc>
        <w:tc>
          <w:tcPr>
            <w:tcW w:w="13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Miners Energized</w:t>
            </w:r>
          </w:p>
        </w:tc>
        <w:tc>
          <w:tcPr>
            <w:tcW w:w="1540" w:type="dxa"/>
            <w:vAlign w:val="bottom"/>
            <w:tcBorders>
              <w:top w:val="single" w:sz="8" w:color="auto"/>
              <w:bottom w:val="single" w:sz="8" w:color="auto"/>
            </w:tcBorders>
          </w:tcPr>
          <w:p>
            <w:pPr>
              <w:jc w:val="right"/>
              <w:ind w:right="10"/>
              <w:spacing w:after="0" w:line="270" w:lineRule="exact"/>
              <w:rPr>
                <w:sz w:val="20"/>
                <w:szCs w:val="20"/>
                <w:color w:val="auto"/>
              </w:rPr>
            </w:pPr>
            <w:r>
              <w:rPr>
                <w:rFonts w:ascii="Times New Roman" w:cs="Times New Roman" w:eastAsia="Times New Roman" w:hAnsi="Times New Roman"/>
                <w:sz w:val="18"/>
                <w:szCs w:val="18"/>
                <w:b w:val="1"/>
                <w:bCs w:val="1"/>
                <w:color w:val="auto"/>
              </w:rPr>
              <w:t>Hashrate (EH/s)</w:t>
            </w:r>
            <w:r>
              <w:rPr>
                <w:rFonts w:ascii="Times New Roman" w:cs="Times New Roman" w:eastAsia="Times New Roman" w:hAnsi="Times New Roman"/>
                <w:sz w:val="29"/>
                <w:szCs w:val="29"/>
                <w:b w:val="1"/>
                <w:bCs w:val="1"/>
                <w:color w:val="auto"/>
                <w:vertAlign w:val="superscript"/>
              </w:rPr>
              <w:t>2</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Remaining Miners</w:t>
            </w:r>
          </w:p>
        </w:tc>
      </w:tr>
      <w:tr>
        <w:trPr>
          <w:trHeight w:val="209"/>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Q4 2023</w:t>
            </w:r>
          </w:p>
        </w:tc>
        <w:tc>
          <w:tcPr>
            <w:tcW w:w="2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 Order</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35,898</w:t>
            </w:r>
          </w:p>
        </w:tc>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Bitmain T21</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35,898</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Q1 2024</w:t>
            </w:r>
          </w:p>
        </w:tc>
        <w:tc>
          <w:tcPr>
            <w:tcW w:w="2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 Option</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28,000</w:t>
            </w:r>
          </w:p>
        </w:tc>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Bitmain T21</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28,000</w:t>
            </w:r>
          </w:p>
        </w:tc>
      </w:tr>
      <w:tr>
        <w:trPr>
          <w:trHeight w:val="23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Q1 2024</w:t>
            </w:r>
          </w:p>
        </w:tc>
        <w:tc>
          <w:tcPr>
            <w:tcW w:w="2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March 2024 Purchase Order</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19,280</w:t>
            </w:r>
          </w:p>
        </w:tc>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Bitmain T21</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19,280</w:t>
            </w:r>
          </w:p>
        </w:tc>
      </w:tr>
      <w:tr>
        <w:trPr>
          <w:trHeight w:val="216"/>
        </w:trPr>
        <w:tc>
          <w:tcPr>
            <w:tcW w:w="10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3,975</w:t>
            </w:r>
          </w:p>
        </w:tc>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Bitmain S21</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0.8</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8"/>
        </w:trPr>
        <w:tc>
          <w:tcPr>
            <w:tcW w:w="10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Bitmain S21</w:t>
            </w: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48"/>
        </w:trPr>
        <w:tc>
          <w:tcPr>
            <w:tcW w:w="1080" w:type="dxa"/>
            <w:vAlign w:val="bottom"/>
            <w:tcBorders>
              <w:bottom w:val="single" w:sz="8" w:color="auto"/>
            </w:tcBorders>
            <w:shd w:val="clear" w:color="auto" w:fill="CCEEFF"/>
          </w:tcPr>
          <w:p>
            <w:pPr>
              <w:spacing w:after="0"/>
              <w:rPr>
                <w:sz w:val="21"/>
                <w:szCs w:val="21"/>
                <w:color w:val="auto"/>
              </w:rPr>
            </w:pPr>
          </w:p>
        </w:tc>
        <w:tc>
          <w:tcPr>
            <w:tcW w:w="28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hydro</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740</w:t>
            </w:r>
          </w:p>
        </w:tc>
      </w:tr>
      <w:tr>
        <w:trPr>
          <w:trHeight w:val="230"/>
        </w:trPr>
        <w:tc>
          <w:tcPr>
            <w:tcW w:w="10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87,893</w:t>
            </w:r>
          </w:p>
        </w:tc>
        <w:tc>
          <w:tcPr>
            <w:tcW w:w="1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39,873</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9" w:lineRule="exact"/>
        <w:rPr>
          <w:sz w:val="20"/>
          <w:szCs w:val="20"/>
          <w:color w:val="auto"/>
        </w:rPr>
      </w:pPr>
    </w:p>
    <w:p>
      <w:pPr>
        <w:ind w:right="260" w:firstLine="8"/>
        <w:spacing w:after="0" w:line="195" w:lineRule="auto"/>
        <w:tabs>
          <w:tab w:leader="none" w:pos="112"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total hashrate from the Miners received should correspond to the total hashrate specified in the initial agreements. The quantity of Miners received may vary based on the individual specifications of each Miner.</w:t>
      </w:r>
    </w:p>
    <w:p>
      <w:pPr>
        <w:spacing w:after="0" w:line="129" w:lineRule="exact"/>
        <w:rPr>
          <w:sz w:val="20"/>
          <w:szCs w:val="20"/>
          <w:color w:val="auto"/>
        </w:rPr>
      </w:pPr>
    </w:p>
    <w:p>
      <w:pPr>
        <w:ind w:left="120" w:hanging="112"/>
        <w:spacing w:after="0"/>
        <w:tabs>
          <w:tab w:leader="none" w:pos="12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hashrate is based on the average Miner specifications stated in the purchase agreements and the Company’s actual realized hashrate may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10</w:t>
        <w:tab/>
        <w:t>Page</w:t>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2024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March 2024 to June 2024, construction of the Paso Pe data center and the underground cable connections were completed, the 80 MW capacity transformer was received and installed, as well as approximately 9,500 Bitmain T21 air-cooled Miners and approximately 1,800 MicroBT M53S Hydro Miners housed within a portion of the eight Hydro Containers. Following the commissioning of the substation, the Company successfully energized the 70 MW substation in June 2024 and started operating 4 of 5 air cooling warehouses and 6 of the 8 hydro containers, adding 2.5 EH/s to the Company’s operating hashrate in Q2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the Company additionally installed approximately 1,800 Bitmain T21 air-cooled Miners, completing the Paso Pe expansion and contributing to a total of approximately 2.8 EH/s at an efficiency of 22 w/TH.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developing the expanded 50 MW of air-cooled warehouse, constructing the substation capable of accommodating the total energy requirement, and the installation of the high voltage lines totaled $25.8 million, excluding the cost of the power purchase agreement guarantees required by National Electricity Administration (“ANDE”), the operator of Paraguay national electricity grid, to secure the monthly electricity purchase payment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2024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January 2024, the Company purchased the land for the initially planned 100 MW Yguazu data center to contribute sufficient infrastructure to achieve the Company’s 21.0 EH/s target.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and March 2024, the Company signed purchase agreements for major long-lead equipment and significant contracts including the engineering procurement and construction contract for the high-voltage interconnection to the ANDE substation and to the transmission line to energize the 100 MW hydro-powered component of the project.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2024, the Company amended its power purchase agreement for the Yguazu data center to increase the contracted power from 100 MW to 200 MW commencing on January 1, 2025. The Company expects to complete the build out of the infrastructure for the first 100 MW before December 31, 2024 and the additional 100 MW before June 30, 2025. In June 2024, the Company purchased land for the planned additional 100 MW capacity.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the Company started construction of the Yguazu data center. The cost of developing the 200 MW data center and the installation of the high voltage lines is estimated to range from $57.0 million to $62.0 million, excluding the cost of the power purchase agreement guarantees required by ANDE.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Electricity rate update - Paso Pe and Yguazu</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Beginning in July 2024, the Company’s sustainable hydropower will be provided at a cost of approximately 4.4 cents per kWh, before VAT, following the increase in the tariff for crypto mining activities compared to the previous rate of 3.9 cents per kWh, before VAT. Refer to section 18 -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Compliance - Paraguay </w:t>
      </w:r>
      <w:r>
        <w:rPr>
          <w:rFonts w:ascii="Times New Roman" w:cs="Times New Roman" w:eastAsia="Times New Roman" w:hAnsi="Times New Roman"/>
          <w:sz w:val="18"/>
          <w:szCs w:val="18"/>
          <w:color w:val="auto"/>
        </w:rPr>
        <w:t>for details about how the Company is challenging the tariff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11</w:t>
        <w:tab/>
        <w:t>Page</w:t>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Paraguay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position as of June 30,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the Company had placed deposits of $0.5 million and $0.2 million with suppliers for construction costs and for electrical components, respectively. As of June 30, 2024, property, plant and equipment (“PPE”) included $24.4 million related to the Paso Pe data center, for warehouse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position as of June 30, 2024</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of June 30, 2024, the Company had placed deposits of $7.1 million and $3.9 million with suppliers for construction costs and for electrical components, respectively. As of June 30, 2024, PPE included $1.5 million related to the Yguazu data center, for warehouse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expects to complete construction of its Yguazu data center by December 31, 2024, with installation of the new T21 miners starting as early as Q4 2024 and through the first quarter of 2025 which will increase the Paraguay online hashrate from 3.1 EH/s in July 2024 to 9.1 EH/s at completion.</w:t>
      </w:r>
    </w:p>
    <w:p>
      <w:pPr>
        <w:spacing w:after="0" w:line="177"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United States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expects to complete the upgrade of a portion of its current fleet of miners in Washington during Q3 2024 and Q4 2024 with new T21 Miners, which will increase the online hashrate from 0.6 EH/s to 0.7 EH/s by September 30, 2024 and 0.9 EH/s by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2024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2024, in connection with the construction of the new 6 MW data center, the Company elected to cancel the lease of a 5 MW data center in Washington State in order to transfer Miners from the leased data center to the newly constructed data center on Company-owned property. In April 2024, the cancellation of the lease was effective. In June 2024, the Company energized a 3 MW temporary data center until the new 6 MW data center is fully constructed.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power supplier established the electricity connection allowing the Company, subject to the completion of the civil work, to access the 6 MW of hydro power capacity.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approximately 1,000 Bitmain T21 Miners and 200 Bitmain S21 Miners were installed at the current operating data center.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anticipates completing construction of the 6 MW data center by the end of the third quarter of 2024. The total cost of construction is estimated to be approximately $2.1 million, including $0.9 million paid in 2023 to the power supplier for establishing the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12</w:t>
        <w:tab/>
        <w:t>Page</w:t>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Pennsylvania 2024 &amp; 2025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2024, the Company entered into an agreement to lease a site located in Sharon, Pennsylvania, and develop up to 120 MW of power capacity. The agreement includes a five-year lease in an industrialized area, including a 11,200 square feet warehouse, with options to renew for a total of seventeen years and an option to purchase at fair market value throughout the lease term. The lease has variable minimum monthly payments ranging between $33,000 and $150,000 with annual adjustments at the lesser of (i) the Consumer Price Index, (ii) 3% and (iii) the fair market value of rent adjustments throughout the lease term beginning after year 3. The Company placed a $0.2 million deposit to be applied against the lease once it commences. The Company does not have access to utilize the site until the agreement is finalized. The agreement, once finalized, will allow the Company to use 12 MW of immediate capacity, which is expected to be operational by the end of 2024, and up to 108 MW of additional development capacity.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plans to fully develop the available 120 MW for its operations. The mining operations are expected to increase the online hashrate by 0.6 EH/s in the fourth quarter of 2024 and 8.0 EH/s in total once fully energized. The cost of developing the 120 MW Bitcoin data center for computational power and the installation of the high voltage lines is estimated to range from $55.0 million to $70.0 million. A concurrent evaluation of developing the site for higher power computing and artificial intelligence are in exploratory stages and may impact estimated capital expenditures and increase in online hashrate.</w:t>
      </w:r>
    </w:p>
    <w:p>
      <w:pPr>
        <w:spacing w:after="0" w:line="179"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Miner upgrade and expansion initiatives, the Company expects to install new Miners at its data centers in Canada during 2024 with new T21 Miners and MicroBT WhatsMiner M53S Miners, which are expected to increase the online Canadian hashrate from 5.8 EH/s in July 2024 to 8.1 EH/s by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update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March and April 2024, the Company installed approximately 1,700 Bitmain T21 Miners and 100 MicroBT WhatsMiner M53S Miners at its Farnham data center, adding a net 0.2 EH/s after removing older, less efficient Miners.</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the Company entered into a sale leaseback agreement for the Garlock data center and received net proceeds of $1.7 million. Refer to Note 15 to the Financial Statements.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Between April and June 2024, approximately 26,900 new Miners were installed at the Company’s data centers in Canada, adding a net 1.6 EH/s after removing older 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13</w:t>
        <w:tab/>
        <w:t>Page</w:t>
      </w:r>
    </w:p>
    <w:p>
      <w:pPr>
        <w:sectPr>
          <w:pgSz w:w="11900" w:h="16838" w:orient="portrait"/>
          <w:cols w:equalWidth="0" w:num="1">
            <w:col w:w="11240"/>
          </w:cols>
          <w:pgMar w:left="320" w:top="33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Canada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2024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began construction of the second 11 MW data center during May 2024 and plans to commission in the second half of 2024, upon the expected completion of local grid infrastructure improvements by the third quarter of 2024. The Company expects the total cost to be approximately $9.2 million, including $3.9 million for the leasehold improvements, which will include construction of a new building and $2.5 million for the electrical infrastructure.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position as of June 30,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$7.5 million of PPE at the Baie-Comeau data center, including infrastructure equipment that was repurposed from other data centers.</w:t>
      </w:r>
    </w:p>
    <w:p>
      <w:pPr>
        <w:spacing w:after="0" w:line="203"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Argentina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expects to upgrade its current fleet of miners in Rio Cuarto during Q4 2024 with new T21 Miners, which is expected to increase the online hashrate of the Argentina operations from 1.6 EH/s to 2.5 EH/s by December 31, 2024.</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retains the option, subject to the receipt of additional government approvals, to expand the Rio Cuarto operation to the full contracted amount of 210 MW. Due to the ongoing political and economic uncertainty, the Company believes a higher expected return can be achieved from expanding and further developing its other locations. The Company will monitor general macroeconomic conditions and the evolution of the new government administration’s economic program in assessing its expansion plans in the country.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as of June 30, 2024</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of June 30, 2024, the Company had placed deposits of $3.4 million with suppliers for existing and additional construction work and had PPE with a net book value of $43.7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14</w:t>
        <w:tab/>
        <w:t>Page</w:t>
      </w:r>
    </w:p>
    <w:p>
      <w:pPr>
        <w:sectPr>
          <w:pgSz w:w="11900" w:h="16838" w:orient="portrait"/>
          <w:cols w:equalWidth="0" w:num="1">
            <w:col w:w="11240"/>
          </w:cols>
          <w:pgMar w:left="320" w:top="33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FINANCIAL PERFORMANCE</w:t>
            </w: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&amp; Operational Results</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9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15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 Change</w:t>
            </w: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15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(3)</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35,479</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6,069</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65,529</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26,336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(52,823)</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(41,519)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(113,822)</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(79,922)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(11,275)</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(6,040)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(21,957)</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3920" w:type="dxa"/>
            <w:vAlign w:val="bottom"/>
            <w:tcBorders>
              <w:bottom w:val="single" w:sz="8" w:color="auto"/>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(12,402)</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(9,155)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(25,598)</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(17,515)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(loss) on disposition of property, plant and</w:t>
            </w:r>
          </w:p>
        </w:tc>
        <w:tc>
          <w:tcPr>
            <w:tcW w:w="9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99</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9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269</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96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4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(1,559)</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8"/>
        </w:trPr>
        <w:tc>
          <w:tcPr>
            <w:tcW w:w="3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and</w:t>
            </w: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(9,982)</w:t>
            </w:r>
          </w:p>
        </w:tc>
        <w:tc>
          <w:tcPr>
            <w:tcW w:w="800" w:type="dxa"/>
            <w:vAlign w:val="bottom"/>
          </w:tcPr>
          <w:p>
            <w:pPr>
              <w:spacing w:after="0"/>
              <w:rPr>
                <w:sz w:val="17"/>
                <w:szCs w:val="17"/>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(9,982)</w:t>
            </w:r>
          </w:p>
        </w:tc>
        <w:tc>
          <w:tcPr>
            <w:tcW w:w="8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9,982</w:t>
            </w:r>
          </w:p>
        </w:tc>
        <w:tc>
          <w:tcPr>
            <w:tcW w:w="10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9,982</w:t>
            </w: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(23,578)</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(25,170)</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(47,286)</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(40,754)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0"/>
        </w:trPr>
        <w:tc>
          <w:tcPr>
            <w:tcW w:w="3920" w:type="dxa"/>
            <w:vAlign w:val="bottom"/>
            <w:tcBorders>
              <w:bottom w:val="single" w:sz="8" w:color="auto"/>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(1,317)</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10,126</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9,960</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(24,895)</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(26,177)</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(37,160)</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(30,794)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(1,704)</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4,581</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424</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(26,599)</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(26,083)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(32,579)</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(30,370)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 loss per share (in U.S. dollars)</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(0.07)</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(0.11)</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(0.09)</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(0.13)</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revaluation surplus - digital assets, net of</w:t>
            </w:r>
          </w:p>
        </w:tc>
        <w:tc>
          <w:tcPr>
            <w:tcW w:w="9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(5,455)</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11,978</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2,391</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(32,054)</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(25,504)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(20,601)</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(27,979)</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7,378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20,650</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16,355</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51,990</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30,298</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21,692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21,989</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(4,803)</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26,792</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48,399</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12,634</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35,765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11,618</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9,968</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34,942</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18,343</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16,599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7"/>
        </w:trPr>
        <w:tc>
          <w:tcPr>
            <w:tcW w:w="3920" w:type="dxa"/>
            <w:vAlign w:val="bottom"/>
            <w:tcBorders>
              <w:bottom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7" w:lineRule="exact"/>
        <w:rPr>
          <w:sz w:val="20"/>
          <w:szCs w:val="20"/>
          <w:color w:val="auto"/>
        </w:rPr>
      </w:pPr>
    </w:p>
    <w:p>
      <w:pPr>
        <w:ind w:left="120" w:hanging="112"/>
        <w:spacing w:after="0"/>
        <w:tabs>
          <w:tab w:leader="none" w:pos="12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firstLine="8"/>
        <w:spacing w:after="0" w:line="195" w:lineRule="auto"/>
        <w:tabs>
          <w:tab w:leader="none" w:pos="126"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20" w:hanging="112"/>
        <w:spacing w:after="0"/>
        <w:tabs>
          <w:tab w:leader="none" w:pos="120"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15</w:t>
        <w:tab/>
        <w:t>Page</w:t>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2024 v. Q2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$41.5 million in Q2 2024 compared to $35.5 million in Q2 2023, an increase of $6.0 million, or 17%.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Q2 2024, compared to Q2 2023, are presented in the table below. Revenues increased mostly due to an increase in the Company’s average BTC hashrate and average BTC price, partially offset by lower BTC earned resulting from lower block rewards following the BTC halving event that occurred on April 19, 2024 and the increase in network difficulty.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3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BTC</w:t>
            </w: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three months ended June 30, 2023</w:t>
            </w:r>
          </w:p>
        </w:tc>
        <w:tc>
          <w:tcPr>
            <w:tcW w:w="1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1,223</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35,479</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earned during Q2 2024</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(362)</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Q2 2024 as compared to Q2</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(704)</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(44,763)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Q2 2024 as</w:t>
            </w: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compared to Q2 2023</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457</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28,635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Q2 2024 as compared to Q2 2023</w:t>
            </w: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43,139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Mining variance and change in Volta</w:t>
            </w:r>
          </w:p>
        </w:tc>
        <w:tc>
          <w:tcPr>
            <w:tcW w:w="1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three months ended June 30, 2024</w:t>
            </w:r>
          </w:p>
        </w:tc>
        <w:tc>
          <w:tcPr>
            <w:tcW w:w="1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614</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6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theoretical BTC earned based on Bitfarms’ actual hashrate during Q2 2024 assuming the BTC halving event did not occur, compared to actual BTC earned during the same period multiplied by average BTC price</w:t>
      </w:r>
    </w:p>
    <w:p>
      <w:pPr>
        <w:spacing w:after="0" w:line="162" w:lineRule="exact"/>
        <w:rPr>
          <w:sz w:val="20"/>
          <w:szCs w:val="20"/>
          <w:color w:val="auto"/>
        </w:rPr>
      </w:pPr>
    </w:p>
    <w:p>
      <w:pPr>
        <w:ind w:left="660" w:right="2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Q2 2024 compared to Q2 2023, based on the change in network difficulty, multiplied by Q2 2024 average BTC price</w:t>
      </w:r>
    </w:p>
    <w:p>
      <w:pPr>
        <w:spacing w:after="0" w:line="162" w:lineRule="exact"/>
        <w:rPr>
          <w:sz w:val="20"/>
          <w:szCs w:val="20"/>
          <w:color w:val="auto"/>
        </w:rPr>
      </w:pPr>
    </w:p>
    <w:p>
      <w:pPr>
        <w:ind w:left="660" w:right="2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Q2 2024 compared to Q2 2023, based on the change in Bitfarms’ average BTC hashrate, multiplied by Q2 2024 average BTC price</w:t>
      </w:r>
    </w:p>
    <w:p>
      <w:pPr>
        <w:spacing w:after="0" w:line="189"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Q2 2024 compared to Q2 2023 multiplied by BTC earned in Q2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16</w:t>
        <w:tab/>
        <w:t>Page</w:t>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Q2 2024 v. Q2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Q2 2024 and Q2 2023 by country: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20" w:type="dxa"/>
            <w:vAlign w:val="bottom"/>
            <w:tcBorders>
              <w:bottom w:val="single" w:sz="8" w:color="auto"/>
            </w:tcBorders>
          </w:tcPr>
          <w:p>
            <w:pPr>
              <w:spacing w:after="0"/>
              <w:rPr>
                <w:sz w:val="20"/>
                <w:szCs w:val="20"/>
                <w:color w:val="auto"/>
              </w:rPr>
            </w:pPr>
          </w:p>
        </w:tc>
      </w:tr>
      <w:tr>
        <w:trPr>
          <w:trHeight w:val="223"/>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28,129</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26,458</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1,671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3,296</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4,293</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(997)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5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31,425</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30,751</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2,144</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1,932</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7,979</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2,796</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5,183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5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10,123</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4,728</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5,395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5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35,479</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6,069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46"/>
        </w:trPr>
        <w:tc>
          <w:tcPr>
            <w:tcW w:w="5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20" w:type="dxa"/>
            <w:vAlign w:val="bottom"/>
            <w:tcBorders>
              <w:bottom w:val="single" w:sz="8" w:color="auto"/>
            </w:tcBorders>
          </w:tcPr>
          <w:p>
            <w:pPr>
              <w:spacing w:after="0"/>
              <w:rPr>
                <w:sz w:val="24"/>
                <w:szCs w:val="24"/>
                <w:color w:val="auto"/>
              </w:rPr>
            </w:pPr>
          </w:p>
        </w:tc>
      </w:tr>
      <w:tr>
        <w:trPr>
          <w:trHeight w:val="223"/>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0.5</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5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0.4</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5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0.7</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earned the majority of its revenues during Q2 2024 from its Canadian operations, which accounted for 68% of total revenues, compared to 75% in Q2 2023. The Company’s operations in Argentina, USA and Paraguay accounted for 19%, 8% and 5% of total revenues in Q2 2024, respectively, compared to 8%, 12% and 5% in Q2 2023,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Q2 2024, revenues from the Company’s operations in Canada, Argentina and Paraguay increased by $1.6 million, $5.2 million and $0.2 million, respectively, compared to Q2 2023. The increases are due to the average hashrate increase of the Canada, Argentina, and Paraguay operations of 0.9 EH/s or 25%, 0.9 EH/s or 225% and 0.1 EH/s or 33%, respectively, and the increase in average BTC price, partially offset by the decrease in BTC block rewards following the BTC halving event that occurred on April 19, 2024 and the increase in network difficulty. Revenues from the US operations decreased by $1.0 million in Q2 2024 as compared to Q2 2023 due to its average hashrate decrease and the factors mentioned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17</w:t>
        <w:tab/>
        <w:t>Page</w:t>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2024 v. YTD Q2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$91.9 million in YTD Q2 2024 compared to $65.5 million in YTD Q2 2023, an increase of $26.4 million, or 40%.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YTD Q2 2024, compared to YTD Q2 2023, are presented in the table below. Revenues increased mostly due to the increase in average BTC price and the increase in average Bitfarms’ hashrate, partially offset by the fewer BTC earned resulting from lower BTC block rewards following the BTC halving event that occurred on April 19, 2024 and the increase in network difficulty.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BTC</w:t>
            </w: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six months ended June 30, 2023</w:t>
            </w: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2,520</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65,529</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earned during YTD Q2 2024</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(362)</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YTD Q2 2024 as compared to</w:t>
            </w:r>
          </w:p>
        </w:tc>
        <w:tc>
          <w:tcPr>
            <w:tcW w:w="1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YTD Q2 2023</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(1,498)</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(86,414)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198"/>
        </w:trPr>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YTD Q2 2024 as</w:t>
            </w: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compared to YTD Q2 2023</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897</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51,718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difference in average BTC price in YTD Q2 2024 as compared to</w:t>
            </w:r>
          </w:p>
        </w:tc>
        <w:tc>
          <w:tcPr>
            <w:tcW w:w="1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YTD Q2 2023</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81,922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Mining variance and change in Volta</w:t>
            </w: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six months ended June 30, 2024</w:t>
            </w: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1,557</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theoretical BTC earned based on Bitfarms’ actual hashrate during YTD Q2 2024 assuming the BTC halving event did not occur, compared to actual BTC earned during the same period multiplied by average BTC price</w:t>
      </w:r>
    </w:p>
    <w:p>
      <w:pPr>
        <w:spacing w:after="0" w:line="162" w:lineRule="exact"/>
        <w:rPr>
          <w:sz w:val="20"/>
          <w:szCs w:val="20"/>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YTD Q2 2024 compared to YTD Q2 2023, based on the change in network difficulty, multiplied by YTD Q2 2024 average BTC price</w:t>
      </w:r>
    </w:p>
    <w:p>
      <w:pPr>
        <w:spacing w:after="0" w:line="162" w:lineRule="exact"/>
        <w:rPr>
          <w:sz w:val="20"/>
          <w:szCs w:val="20"/>
          <w:color w:val="auto"/>
        </w:rPr>
      </w:pPr>
    </w:p>
    <w:p>
      <w:pPr>
        <w:ind w:left="66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YTD Q2 2024 compared to YTD Q2 2023, based on the change in Bitfarms’ average BTC hashrate, multiplied by YTD Q2 2024 average BTC price</w:t>
      </w:r>
    </w:p>
    <w:p>
      <w:pPr>
        <w:spacing w:after="0" w:line="162"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YTD Q2 2024 compared to YTD Q2 2023 multiplied by BTC earned in YTD Q2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18</w:t>
        <w:tab/>
        <w:t>Page</w:t>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YTD Q2 2024 v. YTD Q2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YTD Q2 2024 and YTD Q2 2023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60" w:type="dxa"/>
            <w:vAlign w:val="bottom"/>
            <w:tcBorders>
              <w:bottom w:val="single" w:sz="8" w:color="auto"/>
            </w:tcBorders>
          </w:tcPr>
          <w:p>
            <w:pPr>
              <w:spacing w:after="0"/>
              <w:rPr>
                <w:sz w:val="20"/>
                <w:szCs w:val="20"/>
                <w:color w:val="auto"/>
              </w:rPr>
            </w:pPr>
          </w:p>
        </w:tc>
      </w:tr>
      <w:tr>
        <w:trPr>
          <w:trHeight w:val="209"/>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60,267</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49,947</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10,320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8,183</w:t>
            </w: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8,184</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4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68,450</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58,131</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10,319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3,860</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3,306</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554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19,555</w:t>
            </w: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4,092</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15,463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09"/>
        </w:trPr>
        <w:tc>
          <w:tcPr>
            <w:tcW w:w="514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23,415</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7,398</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16,017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7"/>
        </w:trPr>
        <w:tc>
          <w:tcPr>
            <w:tcW w:w="5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65,529</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26,336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51"/>
        </w:trPr>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nm: not meaningful</w:t>
            </w:r>
          </w:p>
        </w:tc>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5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60" w:type="dxa"/>
            <w:vAlign w:val="bottom"/>
            <w:tcBorders>
              <w:bottom w:val="single" w:sz="8" w:color="auto"/>
            </w:tcBorders>
          </w:tcPr>
          <w:p>
            <w:pPr>
              <w:spacing w:after="0"/>
              <w:rPr>
                <w:sz w:val="24"/>
                <w:szCs w:val="24"/>
                <w:color w:val="auto"/>
              </w:rPr>
            </w:pPr>
          </w:p>
        </w:tc>
      </w:tr>
      <w:tr>
        <w:trPr>
          <w:trHeight w:val="209"/>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Change</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0.6</w:t>
            </w: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4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0.3</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w:t>
            </w: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0"/>
        </w:trPr>
        <w:tc>
          <w:tcPr>
            <w:tcW w:w="514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5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w:t>
            </w: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Canadian operations accounted for a smaller proportion of total revenues in YTD Q2 2024 largely due to the expansion of operations in Argentina. Bitfarms earned the majority of its revenues from its Canadian operations in YTD Q2 2024, which accounted for 66% of total revenues, compared to 76% in YTD Q2 2023. The Company’s operations in Argentina, USA and Paraguay accounted for 21%, 9% and 4% of total revenues in YTD Q2 2024, respectively, compared to 6%, 13% and 5% in YTD Q2 2023,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Company’s Canadian operations, the impact of the increase in average BTC price and the average hashrate increase of 0.6 EH/s, or 17%, was partially offset by the increase in network difficulty and decrease in block rewards following the BTC halving event that occurred on April 19, 2024 which resulted in revenues increasing by $10.4 million during YTD Q2 2024 as compared to YTD Q2 2023. The average hashrate increase of the Argentina and Paraguay operations of 1.0 EH/s, or 333%, and 0.1 EH/s, or 50%, respectively, resulted in YTD Q2 2024 revenues increasing by $15.5 million and $0.6 million, respectively, compared to YTD Q2 2023. Revenues from the Company’s USA operations remained similar during YTD Q2 2024 as compared to YTD Q2 2023 due to the increase in average BTC price, offset by the increase in network difficulty and the decrease in block rewards following the BTC halving event that occurred on April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19</w:t>
        <w:tab/>
        <w:t>Page</w:t>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7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(20,390)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(41,704)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tax recovery - energy and infrastructure</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17,017</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(96,314)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7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(1,581)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4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(52,823)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(113,822)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2024 v. Q2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cost of revenues for Q2 2024 was $52.8 million, compared to $41.5 million for Q2 2023. The increase in cost of revenues was mainly attributable to:</w:t>
      </w:r>
    </w:p>
    <w:p>
      <w:pPr>
        <w:jc w:val="both"/>
        <w:ind w:left="340" w:hanging="332"/>
        <w:spacing w:after="0" w:line="250" w:lineRule="auto"/>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$36.8 million increase in non-cash depreciation and amortization expense mainly due to accelerated depreciation of the older Miners that are expected to be replaced through the transformative fleet upgrade as the Company progressively installs new Miners in 2024. Refer to Note 10 - </w:t>
      </w: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to the Financial Statements.</w:t>
      </w:r>
    </w:p>
    <w:p>
      <w:pPr>
        <w:spacing w:after="0" w:line="1"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$0.5 million, or 2%, increase in energy and infrastructure expenses, mainly due to Company adding new and more efficient Miners, which increased energy utilization to an average of 199 MW during Q2 2024 versus 186 MW for the same period in 2023, partially offset by Canadian sales taxes on its energy and infrastructure expenses no longer being expensed as explained below, resulting in a net increase in total electricity costs of $0.4 million.</w:t>
      </w:r>
    </w:p>
    <w:p>
      <w:pPr>
        <w:spacing w:after="0" w:line="186" w:lineRule="exact"/>
        <w:rPr>
          <w:sz w:val="20"/>
          <w:szCs w:val="20"/>
          <w:color w:val="auto"/>
        </w:rPr>
      </w:pPr>
    </w:p>
    <w:p>
      <w:pPr>
        <w:jc w:val="both"/>
        <w:ind w:left="340" w:hanging="332"/>
        <w:spacing w:after="0" w:line="266" w:lineRule="auto"/>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$25.8 million sales tax recovery due to the Company receiving confirmation from the Provincial tax authorities that Canadian sales taxes paid by the Company from February 5, 2022 onwards are refundable. Refer to Note 23b - </w:t>
      </w:r>
      <w:r>
        <w:rPr>
          <w:rFonts w:ascii="Times New Roman" w:cs="Times New Roman" w:eastAsia="Times New Roman" w:hAnsi="Times New Roman"/>
          <w:sz w:val="18"/>
          <w:szCs w:val="18"/>
          <w:i w:val="1"/>
          <w:iCs w:val="1"/>
          <w:color w:val="auto"/>
        </w:rPr>
        <w:t>Additional Details to the Statement of Profit or Loss and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(Canadian sales tax refund) </w:t>
      </w:r>
      <w:r>
        <w:rPr>
          <w:rFonts w:ascii="Times New Roman" w:cs="Times New Roman" w:eastAsia="Times New Roman" w:hAnsi="Times New Roman"/>
          <w:sz w:val="18"/>
          <w:szCs w:val="18"/>
          <w:color w:val="auto"/>
        </w:rPr>
        <w:t>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20</w:t>
        <w:tab/>
        <w:t>Page</w:t>
      </w:r>
    </w:p>
    <w:p>
      <w:pPr>
        <w:sectPr>
          <w:pgSz w:w="11900" w:h="16838" w:orient="portrait"/>
          <w:cols w:equalWidth="0" w:num="1">
            <w:col w:w="11240"/>
          </w:cols>
          <w:pgMar w:left="320" w:top="33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2024 v. YTD Q2 2023</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Bitfarms’ cost of revenues was $113.8 million for YTD Q2 2024 compared to $79.9 million for YTD Q2 2023. The increase in cost of revenues was mainly due to:</w:t>
      </w: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$55.1 million increase in non-cash depreciation and amortization expense as explained in the Q2 2024 v. Q2 2023 section above.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$4.7 million, or 13%, increase in energy and infrastructure expenses, mainly due to the Company adding new and more efficient Miners, which increased energy utilization to an average of 206 MW during YTD Q2 2024 versus 178 MW for the same period in 2023, partially offset by Canadian sales taxes on its energy and infrastructure expenses no longer being expensed as explained in the Q2 2024 v. Q2 2023 section above, resulting in a net increase in total electricity costs of $3.5 million.</w:t>
      </w:r>
    </w:p>
    <w:p>
      <w:pPr>
        <w:spacing w:after="0" w:line="1"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55" w:lineRule="auto"/>
        <w:tabs>
          <w:tab w:leader="none" w:pos="340" w:val="left"/>
        </w:tabs>
        <w:numPr>
          <w:ilvl w:val="0"/>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$1.4 million assessment, which the Company is challenging, on Washington State Business &amp; Occupancy tax on gross receipts covering the periods between the fourth quarter of 2021 and Q1 2024, included in energy and infrastructure expenses, during YTD Q2 2024 compared to nil in YTD Q2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340" w:hanging="332"/>
        <w:spacing w:after="0" w:line="250" w:lineRule="auto"/>
        <w:tabs>
          <w:tab w:leader="none" w:pos="3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$25.8 million sales tax recovery due to the Company receiving confirmation from the Provincial tax authorities that Canadian sales taxes paid by the Company from February 5, 2022 onwards are refundable as explained in the Q2 2024 v. Q2 2023 section above.</w:t>
      </w: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rent expense of $0.2 million, mainly due to the capitalization of the leased Washington data center which was cancelled in Q2 2024.</w:t>
      </w:r>
    </w:p>
    <w:p>
      <w:pPr>
        <w:spacing w:after="0" w:line="203"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19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Change   % Change</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(10,079)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36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(4,880)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(1,675)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787</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(4,769)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(5,695)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245%</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36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(3,823)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1,389</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1,389</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1,389</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1,389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(4,393)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36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(1,481)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(466)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(712)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360" w:type="dxa"/>
            <w:vAlign w:val="bottom"/>
            <w:tcBorders>
              <w:right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other general and</w:t>
            </w:r>
          </w:p>
        </w:tc>
        <w:tc>
          <w:tcPr>
            <w:tcW w:w="120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753</w:t>
            </w: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753</w:t>
            </w:r>
          </w:p>
        </w:tc>
        <w:tc>
          <w:tcPr>
            <w:tcW w:w="840" w:type="dxa"/>
            <w:vAlign w:val="bottom"/>
            <w:shd w:val="clear" w:color="auto" w:fill="CCEEFF"/>
          </w:tcPr>
          <w:p>
            <w:pPr>
              <w:spacing w:after="0"/>
              <w:rPr>
                <w:sz w:val="17"/>
                <w:szCs w:val="17"/>
                <w:color w:val="auto"/>
              </w:rPr>
            </w:pPr>
          </w:p>
        </w:tc>
        <w:tc>
          <w:tcPr>
            <w:tcW w:w="13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753</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753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(12,402)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(25,598)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(8,083)</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39"/>
        </w:trPr>
        <w:tc>
          <w:tcPr>
            <w:tcW w:w="3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&amp; Administrative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2024 v. Q2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general and administrative (“G&amp;A”) expenses were $12.4 million in Q2 2024, compared to $9.2 million for Q2 2023. The increase of $3.2 million, or 35%, in G&amp;A expense was largely due to:</w:t>
      </w:r>
    </w:p>
    <w:p>
      <w:pPr>
        <w:spacing w:after="0" w:line="162" w:lineRule="exact"/>
        <w:rPr>
          <w:sz w:val="20"/>
          <w:szCs w:val="20"/>
          <w:color w:val="auto"/>
        </w:rPr>
      </w:pPr>
    </w:p>
    <w:p>
      <w:pPr>
        <w:jc w:val="both"/>
        <w:ind w:left="340" w:hanging="332"/>
        <w:spacing w:after="0" w:line="255"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million increase in professional services mainly related to legal fees incurred in connection with (i) the Strategic Alternatives Review Process, including engagement with and response to a significant shareholder/competitor of the Company, and the implementation and defense of the Company’s June 10, 2024 shareholder rights plan put in place to protect the Strategic Alternatives Review Process and (ii) the employment agreement dispute with the former Chief Executive Officer’s (“CEO”).</w:t>
      </w:r>
    </w:p>
    <w:p>
      <w:pPr>
        <w:spacing w:after="0" w:line="2"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increase in salaries and wages due to the increase in the Company’s headcount in Q2 2024 compared to Q2 2023 to support global expansion as well as merit, market-based adjustments and cost of living salary increases.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were partially offset by:</w:t>
      </w:r>
    </w:p>
    <w:p>
      <w:pPr>
        <w:spacing w:after="0" w:line="27" w:lineRule="exact"/>
        <w:rPr>
          <w:sz w:val="20"/>
          <w:szCs w:val="20"/>
          <w:color w:val="auto"/>
        </w:rPr>
      </w:pPr>
    </w:p>
    <w:p>
      <w:pPr>
        <w:ind w:left="340" w:hanging="332"/>
        <w:spacing w:after="0" w:line="260" w:lineRule="auto"/>
        <w:tabs>
          <w:tab w:leader="none" w:pos="3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$2.1 million sales tax recovery due to the Company receiving confirmation from the Provincial tax authorities that Canadian sales taxes paid by the Company from February 5, 2022 onwards are refundable as explained in Section 7b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2024 v. YTD Q2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YTD Q2 2024, Bitfarms’ G&amp;A expenses were $25.6 million, compared to $17.5 million for the same period in 2023. The increase of $8.1 million, or 46%, in G&amp;A expenses was mainly due to:</w:t>
      </w:r>
    </w:p>
    <w:p>
      <w:pPr>
        <w:spacing w:after="0" w:line="162" w:lineRule="exact"/>
        <w:rPr>
          <w:sz w:val="20"/>
          <w:szCs w:val="20"/>
          <w:color w:val="auto"/>
        </w:rPr>
      </w:pPr>
    </w:p>
    <w:p>
      <w:pPr>
        <w:jc w:val="both"/>
        <w:ind w:left="340" w:hanging="332"/>
        <w:spacing w:after="0" w:line="257"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 million increase in salaries and wages due to the increase in the Company’s headcount in YTD Q2 2024 compared to YTD Q2 2023 to support the global expansion as well as merit, market-based adjustments and cost of living salary increases, and the termination payment under the former CEO’s employment agreement totaling $1.6 million which was paid in Q2 2024 after the former CEO’s departure.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 million increase in professional services mainly related to legal fees incurred in connection with (i) the Strategic Alternatives Review Process, including engagement with and response to a significant shareholder/competitor of the Company, and the implementation and defense of the Company’s June 10, 2024 shareholder rights plan put in place to protect the Strategic Alternatives Review Process and (ii) the employment agreement dispute with the former CEO.</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 million increase in insurance, duties and other due to increases in property and liability insurance expense as a result of expanded infrastructure and a larger number of Miners deployed as well as increases in property taxes, taxes and permits and software and licenses to support the global expansion.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were partially offset by:</w:t>
      </w:r>
    </w:p>
    <w:p>
      <w:pPr>
        <w:spacing w:after="0" w:line="27" w:lineRule="exact"/>
        <w:rPr>
          <w:sz w:val="20"/>
          <w:szCs w:val="20"/>
          <w:color w:val="auto"/>
        </w:rPr>
      </w:pPr>
    </w:p>
    <w:p>
      <w:pPr>
        <w:ind w:left="340" w:hanging="332"/>
        <w:spacing w:after="0" w:line="260" w:lineRule="auto"/>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$2.1 million sales tax recovery due to the Company receiving a confirmation from the Provincial tax authorities that Canadian sales taxes paid by the Company from February 5, 2022 onwards are refundable as explained in Section 7b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22</w:t>
        <w:tab/>
        <w:t>Page</w:t>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financial (expenses) income</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5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5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5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revaluation of warrants</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7,585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9,995</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derivative assets and liabilities</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893%</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535</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413</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4,955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751</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 debt and lease</w:t>
            </w:r>
          </w:p>
        </w:tc>
        <w:tc>
          <w:tcPr>
            <w:tcW w:w="8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20" w:type="dxa"/>
            <w:vAlign w:val="bottom"/>
            <w:vMerge w:val="continue"/>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continue"/>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12,835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2,042</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1,865</w:t>
            </w:r>
          </w:p>
        </w:tc>
        <w:tc>
          <w:tcPr>
            <w:tcW w:w="11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nm</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2,722</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443</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2,279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674</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1,776</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(65)%</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1,985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income (expense) on VAT receivable</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758</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nm</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income (expenses)</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1,045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1,345</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nm</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964</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10,126</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9,960</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2024 v. Q2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net financial expenses was $1.3 million for Q2 2024, compared to $1.0 million for Q2 2023. The $0.3 million increase was primarily related to:</w:t>
      </w:r>
    </w:p>
    <w:p>
      <w:pPr>
        <w:spacing w:after="0" w:line="225" w:lineRule="exact"/>
        <w:rPr>
          <w:sz w:val="20"/>
          <w:szCs w:val="20"/>
          <w:color w:val="auto"/>
        </w:rPr>
      </w:pPr>
    </w:p>
    <w:p>
      <w:pPr>
        <w:jc w:val="both"/>
        <w:ind w:left="340" w:hanging="332"/>
        <w:spacing w:after="0" w:line="253"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decrease in the gain on disposition of marketable securities due to less funds being sent to Argentina in Q2 2024 compared to Q2 2023 as the capital expenditures related to the first data center were mostly paid in 2022 and 2023. Since Q3 2021, the Company has been utilizing a mechanism to fund its Argentina expansion through the acquisition of marketable securities and in-kind contribution of those securities to its wholly-owned Argentinian subsidiary that it controls. The subsequent disposition of those marketable securities in exchange for Argentine Pesos gave rise to a gain as the equivalent amount received in Argentine Pesos exceeded the amount of Argentine Pesos the Company would have received from a direct foreign currency exchange.</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77" w:lineRule="auto"/>
        <w:tabs>
          <w:tab w:leader="none" w:pos="34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A $1.9 million increase in loss on derivative assets and liabilities mainly due to the unrealized change in fair value of outstanding BTC option contracts under the Synthetic HODL program of digital assets which began in October 2023. The related loss is attributable to the decrease in the BTC price during Q2 2024. Refer to Section 10B - </w:t>
      </w:r>
      <w:r>
        <w:rPr>
          <w:rFonts w:ascii="Times New Roman" w:cs="Times New Roman" w:eastAsia="Times New Roman" w:hAnsi="Times New Roman"/>
          <w:sz w:val="17"/>
          <w:szCs w:val="17"/>
          <w:i w:val="1"/>
          <w:iCs w:val="1"/>
          <w:color w:val="auto"/>
        </w:rPr>
        <w:t>Liquidity and Capital Resources (Synthetic HODL program for digital assets management)</w:t>
      </w:r>
      <w:r>
        <w:rPr>
          <w:rFonts w:ascii="Times New Roman" w:cs="Times New Roman" w:eastAsia="Times New Roman" w:hAnsi="Times New Roman"/>
          <w:sz w:val="17"/>
          <w:szCs w:val="17"/>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830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23</w:t>
        <w:tab/>
        <w:t>Page</w:t>
      </w:r>
    </w:p>
    <w:p>
      <w:pPr>
        <w:sectPr>
          <w:pgSz w:w="11900" w:h="16838" w:orient="portrait"/>
          <w:cols w:equalWidth="0" w:num="1">
            <w:col w:w="11240"/>
          </w:cols>
          <w:pgMar w:left="320" w:top="33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(expenses) income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340" w:right="20" w:hanging="332"/>
        <w:spacing w:after="0" w:line="250"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$1.9 million increase in interest income due to the Company’s higher average cash balance during Q2 2024 compared to Q2 2023. Refer to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for details of the Company’s cash flows.</w:t>
      </w:r>
    </w:p>
    <w:p>
      <w:pPr>
        <w:ind w:left="340" w:hanging="332"/>
        <w:spacing w:after="0" w:line="250"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decrease in loss on foreign exchange due to the revaluation of the Company’s net monetary assets denominated in foreign currencies, following the weakening Argentine Pesos at the end of Q2 2023 compared to the end of Q2 2024.</w:t>
      </w:r>
    </w:p>
    <w:p>
      <w:pPr>
        <w:ind w:left="340" w:hanging="332"/>
        <w:spacing w:after="0" w:line="250"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$1.3 million favorable increase in other financial income (expenses) mainly due to the interest earned on the refund of Canadian sales taxes from prior periods. See Section 7b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above.</w:t>
      </w:r>
    </w:p>
    <w:p>
      <w:pPr>
        <w:jc w:val="both"/>
        <w:ind w:left="340" w:hanging="332"/>
        <w:spacing w:after="0" w:line="255"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in provision expense on VAT receivable due to the Company writing off the Argentine VAT receivable balance to nil as a result of the political and economic uncertainties in Argentina during the fourth quarter of 2023. During Q2 2024, the Argentine VAT receivable provision expenses were classified within the respective expense and asset categories.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2024 v. YTD Q2 2023</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Bitfarms’ net financial income was $10.1 million for YTD Q2 2024, compared to $10.0 million for YTD Q2 2023. The $0.2 million increase was mainly due to:</w:t>
      </w:r>
    </w:p>
    <w:p>
      <w:pPr>
        <w:spacing w:after="0" w:line="162" w:lineRule="exact"/>
        <w:rPr>
          <w:sz w:val="20"/>
          <w:szCs w:val="20"/>
          <w:color w:val="auto"/>
        </w:rPr>
      </w:pPr>
    </w:p>
    <w:p>
      <w:pPr>
        <w:jc w:val="both"/>
        <w:ind w:left="340" w:hanging="332"/>
        <w:spacing w:after="0" w:line="257"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million change in (loss) gain on revaluation of warrants due to the decrease in the fair value of the warrant liabilities for the 2021 and 2023 private placements in YTD Q2 2024 compared to the increase in the fair value of the warrant liabilities for the 2021 private placements in YTD Q2 2023.</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increase in interest income due to the same factors explained in the Q2 2024 v. Q2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decrease in loss on foreign exchange due to the same factors explained in the Q2 2024 v. Q2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 million decrease in interest expense due to (i) the extinguishment in February 2023 of the BlockFi Loan that commenced on February 18, 2022 as described below and (ii) the NYDIG ABL LLC (“NYDIG”) Loan that commenced on June 15, 2022 and was fully repaid in February 2024.</w:t>
      </w: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decrease in provision expense on VAT receivable due to the same factors explained in the Q2 2024 v. Q2 2023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24</w:t>
        <w:tab/>
        <w:t>Page</w:t>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(expenses)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YTD Q2 2024 v. YTD Q2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offset by:</w:t>
      </w:r>
    </w:p>
    <w:p>
      <w:pPr>
        <w:spacing w:after="0" w:line="27"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$12.8 million gain on extinguishment of long-term debt and lease liabilities during YTD Q2 2023. In February 2023:</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BlockFi Lending LLC (“BlockFi”) and the Company negotiated a settlement of the loan in its entirety for cash consideration of $7.8 million, resulting in a gain on extinguishment of long-term debt of $12.6 million; and</w:t>
      </w:r>
    </w:p>
    <w:p>
      <w:pPr>
        <w:jc w:val="both"/>
        <w:ind w:left="980" w:hanging="324"/>
        <w:spacing w:after="0" w:line="250" w:lineRule="auto"/>
        <w:tabs>
          <w:tab w:leader="none" w:pos="9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$6.4 million decrease in gain on disposition of marketable securities due to less funds being sent to Argentina during YTD Q2 2024 compared to YTD Q2 2023, as the capital expenditures related to the first data center were mostly paid in 2022 and 2023. The Company has been utilizing a mechanism since Q3 2021 to fund its Argentina expansion as explained in the Q2 2024 v. Q2 2023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25</w:t>
        <w:tab/>
        <w:t>Page</w:t>
      </w:r>
    </w:p>
    <w:p>
      <w:pPr>
        <w:sectPr>
          <w:pgSz w:w="11900" w:h="16838" w:orient="portrait"/>
          <w:cols w:equalWidth="0" w:num="1">
            <w:col w:w="11240"/>
          </w:cols>
          <w:pgMar w:left="320" w:top="33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SELECTED QUARTERLY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Comparative figures have been restated and will be corrected in subsequently filed quarterly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earnings per share)</w:t>
            </w: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Q1 2024</w:t>
            </w: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Q4 2023</w:t>
            </w: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Q3 2023</w:t>
            </w: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2023</w:t>
            </w: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Q1 2023</w:t>
            </w: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Q4 2022</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Q3 2022</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50,317</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46,241</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34,596</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35,479</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30,050</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27,037</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33,247</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(26,599)</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(5,980)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(57,159)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(16,507)</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(26,083)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(4,287)</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(13,084)</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(82,728)</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(0.07)</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(0.19)</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(24,895)</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(12,265)</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(57,537)</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(16,106)</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(26,177)</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(4,617)</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(12,893)</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(87,453)</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(1,693)</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(302)</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368</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846</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1,354</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3,071</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38,977</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21,790</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21,767</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20,528</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20,700</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20,777</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20,720</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(8,760)</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28"/>
                <w:szCs w:val="28"/>
                <w:b w:val="1"/>
                <w:bCs w:val="1"/>
                <w:color w:val="auto"/>
                <w:vertAlign w:val="superscript"/>
              </w:rPr>
              <w:t>(1)</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21,989</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26,410</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(35,656)</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6,029</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(4,803)</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17,437</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10,955</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(63,512)</w:t>
            </w:r>
          </w:p>
        </w:tc>
        <w:tc>
          <w:tcPr>
            <w:tcW w:w="0" w:type="dxa"/>
            <w:vAlign w:val="bottom"/>
          </w:tcPr>
          <w:p>
            <w:pPr>
              <w:spacing w:after="0"/>
              <w:rPr>
                <w:sz w:val="1"/>
                <w:szCs w:val="1"/>
                <w:color w:val="auto"/>
              </w:rPr>
            </w:pPr>
          </w:p>
        </w:tc>
      </w:tr>
      <w:tr>
        <w:trPr>
          <w:trHeight w:val="257"/>
        </w:trPr>
        <w:tc>
          <w:tcPr>
            <w:tcW w:w="35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1,675</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3,094</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3,906</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2,011</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2,462</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2,536</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3,795</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3,961</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loss (gain) on disposition of digital</w:t>
            </w: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28,567</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44,329</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(1,183)</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1,183</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(2,695)</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(23,284)</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(45,655)</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 debt and</w:t>
            </w: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8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(12,835)</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 short-term prepaid</w:t>
            </w: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equipment and construction</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property, plant and equipment and</w:t>
            </w:r>
          </w:p>
        </w:tc>
        <w:tc>
          <w:tcPr>
            <w:tcW w:w="9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2,270</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9,982</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(8,903)</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84,116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1,455</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(9,040)</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37,874</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(2,196)</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1,189</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1,221</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(3,759)</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(413)</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(338)</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(999)</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(4,120)</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(4,955)</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(2,171)</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(7,317)</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(13,690)</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 ongoing</w:t>
            </w: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3,096</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98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 and general and administrative</w:t>
            </w:r>
          </w:p>
        </w:tc>
        <w:tc>
          <w:tcPr>
            <w:tcW w:w="9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56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(2)</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(18,468)</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2,387</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2,485</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2,366</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2,333</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2,097</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2,115</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2,284</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811</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7,635</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3,610</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3,760</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2,785</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1,761</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8"/>
                <w:szCs w:val="28"/>
                <w:b w:val="1"/>
                <w:bCs w:val="1"/>
                <w:color w:val="auto"/>
                <w:vertAlign w:val="superscript"/>
              </w:rPr>
              <w:t>(1)</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11,618</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23,324</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16,332</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8,883</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9,968</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8,375</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3,930</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12,236</w:t>
            </w: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29"/>
                <w:szCs w:val="29"/>
                <w:b w:val="1"/>
                <w:bCs w:val="1"/>
                <w:color w:val="auto"/>
                <w:vertAlign w:val="superscript"/>
              </w:rPr>
              <w:t>(1)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hanging="332"/>
        <w:spacing w:after="0" w:line="196" w:lineRule="auto"/>
        <w:tabs>
          <w:tab w:leader="none" w:pos="34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Financial Measures and Ratios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340" w:hanging="332"/>
        <w:spacing w:after="0" w:line="204" w:lineRule="auto"/>
        <w:tabs>
          <w:tab w:leader="none" w:pos="34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26</w:t>
        <w:tab/>
        <w:t>Page</w:t>
      </w:r>
    </w:p>
    <w:p>
      <w:pPr>
        <w:sectPr>
          <w:pgSz w:w="11900" w:h="16838" w:orient="portrait"/>
          <w:cols w:equalWidth="0" w:num="1">
            <w:col w:w="11240"/>
          </w:cols>
          <w:pgMar w:left="320" w:top="33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SELECTED QUARTERLY INFORMATION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were in Quebec, where power was sourced directly from Hydro-Québec, Hydro-Magog, Hydro-Sherbrooke and the City of Baie-Comeau. The Company also had operations in Washington State that were powered by the Grant County Power Utility District as well as operations in Paraguay that were powered by ANDE and Compañía de Luz y Fuerza S.A (“CLYFSA”). In Q3 2022, the Company began operations in Argentina. The data center in Argentina was temporarily connected to the power grid until the private power producer obtained the requisite permits to provide power directly to the Company in April 2023. Energy rates in Argentina increase during winter months of May through September, after which they return to their regular rates.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Q2 2024 details, refer to Section 7A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6</w:t>
      </w:r>
    </w:p>
    <w:p>
      <w:pPr>
        <w:spacing w:after="0" w:line="29" w:lineRule="exact"/>
        <w:rPr>
          <w:sz w:val="20"/>
          <w:szCs w:val="20"/>
          <w:color w:val="auto"/>
        </w:rPr>
      </w:pPr>
    </w:p>
    <w:p>
      <w:pPr>
        <w:ind w:left="120" w:hanging="112"/>
        <w:spacing w:after="0"/>
        <w:tabs>
          <w:tab w:leader="none" w:pos="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 Expansion, Paraguay Expansion, Argentina Expansion and Canada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27</w:t>
        <w:tab/>
        <w:t>Page</w:t>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right="5780" w:firstLine="8"/>
        <w:spacing w:after="0" w:line="503" w:lineRule="auto"/>
        <w:tabs>
          <w:tab w:leader="none" w:pos="1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NON-IFRS AND OTHER FINANCIAL MEASURES AND RATIOS Non-IFRS financial measures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5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1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52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color w:val="auto"/>
              </w:rPr>
              <w:t>Gross  Profit  adjusted  to  exclude:  (i)  non-Mining</w:t>
            </w:r>
          </w:p>
        </w:tc>
        <w:tc>
          <w:tcPr>
            <w:tcW w:w="56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r>
      <w:tr>
        <w:trPr>
          <w:trHeight w:val="216"/>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revenues;  (ii)  depreciation  and  amortization;  (iii)</w:t>
            </w: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other infrastructure costs. Power costs are the largest variable</w:t>
            </w:r>
          </w:p>
        </w:tc>
      </w:tr>
      <w:tr>
        <w:trPr>
          <w:trHeight w:val="220"/>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of electrical components and other expenses;</w:t>
            </w:r>
          </w:p>
        </w:tc>
        <w:tc>
          <w:tcPr>
            <w:tcW w:w="26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10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(iv) electrician salaries and payroll taxes; and (v) sales</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provide the users of the MD&amp;A the ability to assess the gross</w:t>
            </w:r>
          </w:p>
        </w:tc>
      </w:tr>
      <w:tr>
        <w:trPr>
          <w:trHeight w:val="234"/>
        </w:trPr>
        <w:tc>
          <w:tcPr>
            <w:tcW w:w="11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tax recovery.</w:t>
            </w:r>
          </w:p>
        </w:tc>
        <w:tc>
          <w:tcPr>
            <w:tcW w:w="26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profitability of the Company’s core digital asset Mining operations.</w:t>
            </w:r>
          </w:p>
        </w:tc>
      </w:tr>
      <w:tr>
        <w:trPr>
          <w:trHeight w:val="191"/>
        </w:trPr>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EBITDA</w:t>
            </w:r>
          </w:p>
        </w:tc>
        <w:tc>
          <w:tcPr>
            <w:tcW w:w="452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Net  income  (loss)  adjusted  to  exclude:  (i)  interest</w:t>
            </w:r>
          </w:p>
        </w:tc>
        <w:tc>
          <w:tcPr>
            <w:tcW w:w="56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profitability before the impact of different financing methods,</w:t>
            </w:r>
          </w:p>
        </w:tc>
      </w:tr>
      <w:tr>
        <w:trPr>
          <w:trHeight w:val="216"/>
        </w:trPr>
        <w:tc>
          <w:tcPr>
            <w:tcW w:w="110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expense; (ii) income tax expense; and (iii) depreciation</w:t>
            </w: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10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amortization.</w:t>
            </w: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with additional information to assist</w:t>
            </w:r>
          </w:p>
        </w:tc>
      </w:tr>
      <w:tr>
        <w:trPr>
          <w:trHeight w:val="216"/>
        </w:trPr>
        <w:tc>
          <w:tcPr>
            <w:tcW w:w="1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them in understanding components of its financial results, including a</w:t>
            </w:r>
          </w:p>
        </w:tc>
      </w:tr>
      <w:tr>
        <w:trPr>
          <w:trHeight w:val="216"/>
        </w:trPr>
        <w:tc>
          <w:tcPr>
            <w:tcW w:w="1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more  complete  understanding  of  factors  and  trends  affecting  the</w:t>
            </w:r>
          </w:p>
        </w:tc>
      </w:tr>
      <w:tr>
        <w:trPr>
          <w:trHeight w:val="216"/>
        </w:trPr>
        <w:tc>
          <w:tcPr>
            <w:tcW w:w="1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performance.</w:t>
            </w:r>
          </w:p>
        </w:tc>
      </w:tr>
      <w:tr>
        <w:trPr>
          <w:trHeight w:val="216"/>
        </w:trPr>
        <w:tc>
          <w:tcPr>
            <w:tcW w:w="1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w:t>
            </w:r>
          </w:p>
        </w:tc>
      </w:tr>
      <w:tr>
        <w:trPr>
          <w:trHeight w:val="216"/>
        </w:trPr>
        <w:tc>
          <w:tcPr>
            <w:tcW w:w="11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34"/>
        </w:trPr>
        <w:tc>
          <w:tcPr>
            <w:tcW w:w="11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budgets and forecasts.</w:t>
            </w:r>
          </w:p>
        </w:tc>
      </w:tr>
      <w:tr>
        <w:trPr>
          <w:trHeight w:val="187"/>
        </w:trPr>
        <w:tc>
          <w:tcPr>
            <w:tcW w:w="11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52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color w:val="auto"/>
              </w:rPr>
              <w:t>EBITDA adjusted to exclude: (i) share-based payment;</w:t>
            </w:r>
          </w:p>
        </w:tc>
        <w:tc>
          <w:tcPr>
            <w:tcW w:w="56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before the impact of all of the items in calculating</w:t>
            </w:r>
          </w:p>
        </w:tc>
      </w:tr>
      <w:tr>
        <w:trPr>
          <w:trHeight w:val="220"/>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(ii) non-cash finance expenses; (iii) asset impairment</w:t>
            </w:r>
          </w:p>
        </w:tc>
        <w:tc>
          <w:tcPr>
            <w:tcW w:w="26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16"/>
        </w:trPr>
        <w:tc>
          <w:tcPr>
            <w:tcW w:w="110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charges; (iv) realized gains or losses on disposition of</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10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digital assets and (reversal of) revaluation loss on digital</w:t>
            </w: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profitability of the Company’s core performance across time periods.</w:t>
            </w:r>
          </w:p>
        </w:tc>
      </w:tr>
      <w:tr>
        <w:trPr>
          <w:trHeight w:val="216"/>
        </w:trPr>
        <w:tc>
          <w:tcPr>
            <w:tcW w:w="110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assets; (v) gain on disposition of marketable securities,</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 performance</w:t>
            </w:r>
          </w:p>
        </w:tc>
      </w:tr>
      <w:tr>
        <w:trPr>
          <w:trHeight w:val="216"/>
        </w:trPr>
        <w:tc>
          <w:tcPr>
            <w:tcW w:w="110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gains or losses on derivative assets and liabilities and</w:t>
            </w: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period to period and to prepare annual operating budgets and</w:t>
            </w:r>
          </w:p>
        </w:tc>
      </w:tr>
      <w:tr>
        <w:trPr>
          <w:trHeight w:val="216"/>
        </w:trPr>
        <w:tc>
          <w:tcPr>
            <w:tcW w:w="110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discount expense on VAT receivable; (vi) loss (gain) on</w:t>
            </w: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forecasts.</w:t>
            </w:r>
          </w:p>
        </w:tc>
      </w:tr>
      <w:tr>
        <w:trPr>
          <w:trHeight w:val="216"/>
        </w:trPr>
        <w:tc>
          <w:tcPr>
            <w:tcW w:w="110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revaluation of warrants and warrant issuance costs; (vii)</w:t>
            </w:r>
          </w:p>
        </w:tc>
        <w:tc>
          <w:tcPr>
            <w:tcW w:w="26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currency exchange; (viii) sales tax recovery; and</w:t>
            </w: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r>
    </w:tbl>
    <w:p>
      <w:pPr>
        <w:ind w:left="1400"/>
        <w:spacing w:after="0"/>
        <w:rPr>
          <w:sz w:val="20"/>
          <w:szCs w:val="20"/>
          <w:color w:val="auto"/>
        </w:rPr>
      </w:pPr>
      <w:r>
        <w:rPr>
          <w:rFonts w:ascii="Times New Roman" w:cs="Times New Roman" w:eastAsia="Times New Roman" w:hAnsi="Times New Roman"/>
          <w:sz w:val="18"/>
          <w:szCs w:val="18"/>
          <w:color w:val="auto"/>
        </w:rPr>
        <w:t>(iv) other non-recurring items that do not reflect the core</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28</w:t>
        <w:tab/>
        <w:t>Page</w:t>
      </w:r>
    </w:p>
    <w:p>
      <w:pPr>
        <w:sectPr>
          <w:pgSz w:w="11900" w:h="16838" w:orient="portrait"/>
          <w:cols w:equalWidth="0" w:num="1">
            <w:col w:w="11240"/>
          </w:cols>
          <w:pgMar w:left="320" w:top="3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1"/>
        </w:trPr>
        <w:tc>
          <w:tcPr>
            <w:tcW w:w="13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4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Cost of revenues adjusted to exclude: (i) depreciation and</w:t>
            </w:r>
          </w:p>
        </w:tc>
        <w:tc>
          <w:tcPr>
            <w:tcW w:w="56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the Company’s power costs, the largest variable expense in</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(ii) purchases of electrical components; (iii)</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electrician salaries and payroll taxes; (iv) infrastructure;</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 sales tax recovery; and (vi) other direct expenses.</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time periods.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191"/>
        </w:trPr>
        <w:tc>
          <w:tcPr>
            <w:tcW w:w="13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Total Cash Cost</w:t>
            </w:r>
          </w:p>
        </w:tc>
        <w:tc>
          <w:tcPr>
            <w:tcW w:w="4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The  sum  of  cost  of  revenues  and  general  and</w:t>
            </w:r>
          </w:p>
        </w:tc>
        <w:tc>
          <w:tcPr>
            <w:tcW w:w="56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the total cash cost of the Company’s core digital asset Mining</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  expenses  before:  (i)  depreciation  and</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operations.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(ii) purchases of electrical components; (iii)</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electrician salaries and payroll taxes; (iv) share-based</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(v)  other  direct  expenses;  (vi)  sales  tax</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recovery; and (vii) other non-recurring items that do not</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reflect the core performance of the Company.</w:t>
            </w:r>
          </w:p>
        </w:tc>
        <w:tc>
          <w:tcPr>
            <w:tcW w:w="56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433"/>
        </w:trPr>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060" w:type="dxa"/>
            <w:vAlign w:val="bottom"/>
            <w:tcBorders>
              <w:right w:val="single" w:sz="8" w:color="auto"/>
            </w:tcBorders>
          </w:tcPr>
          <w:p>
            <w:pPr>
              <w:ind w:left="476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33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37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64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0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780" w:type="dxa"/>
            <w:vAlign w:val="bottom"/>
            <w:gridSpan w:val="2"/>
          </w:tcPr>
          <w:p>
            <w:pPr>
              <w:ind w:left="32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Gross Mining ●</w:t>
            </w:r>
          </w:p>
        </w:tc>
        <w:tc>
          <w:tcPr>
            <w:tcW w:w="53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To assess profitability after power costs in cryptocurrency production,</w:t>
            </w:r>
          </w:p>
        </w:tc>
      </w:tr>
      <w:tr>
        <w:trPr>
          <w:trHeight w:val="216"/>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profit by Mining related revenues.</w:t>
            </w: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largest variable expense in Mining.</w:t>
            </w:r>
          </w:p>
        </w:tc>
      </w:tr>
      <w:tr>
        <w:trPr>
          <w:trHeight w:val="220"/>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3700" w:type="dxa"/>
            <w:vAlign w:val="bottom"/>
          </w:tcPr>
          <w:p>
            <w:pPr>
              <w:spacing w:after="0"/>
              <w:rPr>
                <w:sz w:val="19"/>
                <w:szCs w:val="19"/>
                <w:color w:val="auto"/>
              </w:rPr>
            </w:pPr>
          </w:p>
        </w:tc>
        <w:tc>
          <w:tcPr>
            <w:tcW w:w="64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profitability</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the Company’s core digital asset Mining operations, exclusive of</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and certain general and administrative</w:t>
            </w:r>
          </w:p>
        </w:tc>
      </w:tr>
      <w:tr>
        <w:trPr>
          <w:trHeight w:val="234"/>
        </w:trPr>
        <w:tc>
          <w:tcPr>
            <w:tcW w:w="10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expenses.</w:t>
            </w:r>
          </w:p>
        </w:tc>
      </w:tr>
      <w:tr>
        <w:trPr>
          <w:trHeight w:val="187"/>
        </w:trPr>
        <w:tc>
          <w:tcPr>
            <w:tcW w:w="10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EBITDA</w:t>
            </w:r>
          </w:p>
        </w:tc>
        <w:tc>
          <w:tcPr>
            <w:tcW w:w="4780" w:type="dxa"/>
            <w:vAlign w:val="bottom"/>
            <w:gridSpan w:val="2"/>
          </w:tcPr>
          <w:p>
            <w:pPr>
              <w:ind w:left="32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EBITDA by ●</w:t>
            </w:r>
          </w:p>
        </w:tc>
        <w:tc>
          <w:tcPr>
            <w:tcW w:w="53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To assess profitability before the impact of different financing methods,</w:t>
            </w:r>
          </w:p>
        </w:tc>
      </w:tr>
      <w:tr>
        <w:trPr>
          <w:trHeight w:val="220"/>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tcPr>
          <w:p>
            <w:pPr>
              <w:spacing w:after="0"/>
              <w:rPr>
                <w:sz w:val="19"/>
                <w:szCs w:val="19"/>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budgets and forecasts.</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4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Useful for providing users of the MD&amp;A with additional information to</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assist  them  in  understanding  components  of  its  financial  results,</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including a more complete understanding of factors and trends affecting</w:t>
            </w:r>
          </w:p>
        </w:tc>
      </w:tr>
      <w:tr>
        <w:trPr>
          <w:trHeight w:val="234"/>
        </w:trPr>
        <w:tc>
          <w:tcPr>
            <w:tcW w:w="10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Company’s performance.</w:t>
            </w:r>
          </w:p>
        </w:tc>
      </w:tr>
      <w:tr>
        <w:trPr>
          <w:trHeight w:val="187"/>
        </w:trPr>
        <w:tc>
          <w:tcPr>
            <w:tcW w:w="10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780" w:type="dxa"/>
            <w:vAlign w:val="bottom"/>
            <w:gridSpan w:val="2"/>
          </w:tcPr>
          <w:p>
            <w:pPr>
              <w:ind w:left="32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Adjusted ●</w:t>
            </w:r>
          </w:p>
        </w:tc>
        <w:tc>
          <w:tcPr>
            <w:tcW w:w="53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To assess profitability before the impact of all of the items in calculating</w:t>
            </w:r>
          </w:p>
        </w:tc>
      </w:tr>
      <w:tr>
        <w:trPr>
          <w:trHeight w:val="216"/>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EBITDA by Revenues.</w:t>
            </w: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20"/>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3700" w:type="dxa"/>
            <w:vAlign w:val="bottom"/>
          </w:tcPr>
          <w:p>
            <w:pPr>
              <w:spacing w:after="0"/>
              <w:rPr>
                <w:sz w:val="19"/>
                <w:szCs w:val="19"/>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provide a consistent comparable metric for profitability of the</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core performance across time periods.</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4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 performance</w:t>
            </w:r>
          </w:p>
        </w:tc>
      </w:tr>
      <w:tr>
        <w:trPr>
          <w:trHeight w:val="216"/>
        </w:trPr>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from period to period and to prepare annual operating budgets and</w:t>
            </w:r>
          </w:p>
        </w:tc>
      </w:tr>
      <w:tr>
        <w:trPr>
          <w:trHeight w:val="234"/>
        </w:trPr>
        <w:tc>
          <w:tcPr>
            <w:tcW w:w="10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forecasts.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30</w:t>
        <w:tab/>
        <w:t>Page</w:t>
      </w:r>
    </w:p>
    <w:p>
      <w:pPr>
        <w:sectPr>
          <w:pgSz w:w="11900" w:h="16838" w:orient="portrait"/>
          <w:cols w:equalWidth="0" w:num="1">
            <w:col w:w="11240"/>
          </w:cols>
          <w:pgMar w:left="320" w:top="33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ratios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1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446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Direct Cost by the</w:t>
            </w:r>
          </w:p>
        </w:tc>
        <w:tc>
          <w:tcPr>
            <w:tcW w:w="56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the Company’s power costs, the largest variable expense in</w:t>
            </w:r>
          </w:p>
        </w:tc>
      </w:tr>
      <w:tr>
        <w:trPr>
          <w:trHeight w:val="220"/>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 BTC</w:t>
            </w: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quantity of BTC earned.</w:t>
            </w: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 periods.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1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187"/>
        </w:trPr>
        <w:tc>
          <w:tcPr>
            <w:tcW w:w="11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Total Cash</w:t>
            </w:r>
          </w:p>
        </w:tc>
        <w:tc>
          <w:tcPr>
            <w:tcW w:w="446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Total Cash cost by</w:t>
            </w:r>
          </w:p>
        </w:tc>
        <w:tc>
          <w:tcPr>
            <w:tcW w:w="56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the total cash cost of the Company’s core digital asset Mining</w:t>
            </w:r>
          </w:p>
        </w:tc>
      </w:tr>
      <w:tr>
        <w:trPr>
          <w:trHeight w:val="216"/>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Cost per</w:t>
            </w: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quantity of BTC earned.</w:t>
            </w: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operations.</w:t>
            </w:r>
          </w:p>
        </w:tc>
      </w:tr>
      <w:tr>
        <w:trPr>
          <w:trHeight w:val="220"/>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BTC</w:t>
            </w:r>
          </w:p>
        </w:tc>
        <w:tc>
          <w:tcPr>
            <w:tcW w:w="4460" w:type="dxa"/>
            <w:vAlign w:val="bottom"/>
          </w:tcPr>
          <w:p>
            <w:pPr>
              <w:spacing w:after="0"/>
              <w:rPr>
                <w:sz w:val="19"/>
                <w:szCs w:val="19"/>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1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5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1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50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Gross profit by</w:t>
            </w:r>
          </w:p>
        </w:tc>
        <w:tc>
          <w:tcPr>
            <w:tcW w:w="56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r>
      <w:tr>
        <w:trPr>
          <w:trHeight w:val="238"/>
        </w:trPr>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Revenues.</w:t>
            </w:r>
          </w:p>
        </w:tc>
        <w:tc>
          <w:tcPr>
            <w:tcW w:w="5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187"/>
        </w:trPr>
        <w:tc>
          <w:tcPr>
            <w:tcW w:w="11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50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Operating</w:t>
            </w:r>
          </w:p>
        </w:tc>
        <w:tc>
          <w:tcPr>
            <w:tcW w:w="56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operational profitability of the Company across time periods.</w:t>
            </w:r>
          </w:p>
        </w:tc>
      </w:tr>
      <w:tr>
        <w:trPr>
          <w:trHeight w:val="238"/>
        </w:trPr>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income (loss) by Revenues.</w:t>
            </w:r>
          </w:p>
        </w:tc>
        <w:tc>
          <w:tcPr>
            <w:tcW w:w="5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433"/>
        </w:trPr>
        <w:tc>
          <w:tcPr>
            <w:tcW w:w="11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5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33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jc w:val="right"/>
              <w:ind w:right="21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15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35,479</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6,069</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65,529</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26,336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(24,895)</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(26,177)</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1,282</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(37,160)</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(30,794)</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(1,693)</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846</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(2,539)</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(1,995)</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2,200</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20,528</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36,809</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96,314</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41,228</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55,086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(8,760)</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21,989</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(4,803)</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26,792</w:t>
            </w:r>
          </w:p>
        </w:tc>
        <w:tc>
          <w:tcPr>
            <w:tcW w:w="11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nm</w:t>
            </w: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48,399</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12,634</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35,765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1,675</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2,462</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4,769</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4,998</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w:t>
            </w:r>
          </w:p>
        </w:tc>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and property, plant and equipment</w:t>
            </w:r>
          </w:p>
        </w:tc>
        <w:tc>
          <w:tcPr>
            <w:tcW w:w="980" w:type="dxa"/>
            <w:vAlign w:val="bottom"/>
            <w:vMerge w:val="continue"/>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9,982</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(9,982)</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9,982</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(9,982)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 on digital</w:t>
            </w:r>
          </w:p>
        </w:tc>
        <w:tc>
          <w:tcPr>
            <w:tcW w:w="9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(2,695)</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2,695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 debt</w:t>
            </w:r>
          </w:p>
        </w:tc>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and lease liabilities</w:t>
            </w:r>
          </w:p>
        </w:tc>
        <w:tc>
          <w:tcPr>
            <w:tcW w:w="980" w:type="dxa"/>
            <w:vAlign w:val="bottom"/>
            <w:vMerge w:val="continue"/>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continue"/>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(12,835)</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12,835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revaluation of warrants</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1,455</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1,189</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266</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(7,585)</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2,410</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(9,995)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(413)</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(4,955)</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4,542</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(751)</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(7,126)</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 ongoing</w:t>
            </w:r>
          </w:p>
        </w:tc>
        <w:tc>
          <w:tcPr>
            <w:tcW w:w="9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3,096</w:t>
            </w: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3,096</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98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3,096</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3,096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and general and</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30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administrative expenses </w:t>
            </w:r>
            <w:r>
              <w:rPr>
                <w:rFonts w:ascii="Times New Roman" w:cs="Times New Roman" w:eastAsia="Times New Roman" w:hAnsi="Times New Roman"/>
                <w:sz w:val="29"/>
                <w:szCs w:val="29"/>
                <w:color w:val="auto"/>
                <w:vertAlign w:val="superscript"/>
              </w:rPr>
              <w:t>(2)</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(18,468)</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2,333</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(20,801)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4,430</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 and other</w:t>
            </w: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2,284</w:t>
            </w: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3,760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3,095</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6,545</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11,618</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9,968</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34,942</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18,343</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340" w:hanging="332"/>
        <w:spacing w:after="0" w:line="204" w:lineRule="auto"/>
        <w:tabs>
          <w:tab w:leader="none" w:pos="340" w:val="left"/>
        </w:tabs>
        <w:numPr>
          <w:ilvl w:val="0"/>
          <w:numId w:val="1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32</w:t>
        <w:tab/>
        <w:t>Page</w:t>
      </w:r>
    </w:p>
    <w:p>
      <w:pPr>
        <w:sectPr>
          <w:pgSz w:w="11900" w:h="16838" w:orient="portrait"/>
          <w:cols w:equalWidth="0" w:num="1">
            <w:col w:w="11240"/>
          </w:cols>
          <w:pgMar w:left="320" w:top="33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(11,275)</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(6,040)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(21,957)</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(14,393)</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(7,564)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(1,165)</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(1,236)</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(2,059)</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(2,078)</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20,528</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36,809</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96,314</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41,228</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55,086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(8,760)</w:t>
            </w: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vMerge w:val="continue"/>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873</w:t>
            </w: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1,075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1,581</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1,751</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(16,366)</w:t>
            </w: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(2)</w:t>
            </w:r>
          </w:p>
        </w:tc>
        <w:tc>
          <w:tcPr>
            <w:tcW w:w="980" w:type="dxa"/>
            <w:vAlign w:val="bottom"/>
            <w:vMerge w:val="continue"/>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(879)%</w:t>
            </w:r>
          </w:p>
        </w:tc>
        <w:tc>
          <w:tcPr>
            <w:tcW w:w="100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4,017</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nm</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1,209</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(227)</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1,436</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20,650</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16,355</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4,295</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51,990</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30,298</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21,692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35,479</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6,069</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65,529</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26,336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1"/>
        </w:trPr>
        <w:tc>
          <w:tcPr>
            <w:tcW w:w="3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 the</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purpose of calculating gross Mining</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margin:</w:t>
            </w: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(40,383)</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(34,243)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(89,806)</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(63,451)</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(26,355)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1,165</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2,059</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2,078</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hanging="332"/>
        <w:spacing w:after="0" w:line="284"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Note 23b - </w:t>
      </w:r>
      <w:r>
        <w:rPr>
          <w:rFonts w:ascii="Times New Roman" w:cs="Times New Roman" w:eastAsia="Times New Roman" w:hAnsi="Times New Roman"/>
          <w:sz w:val="18"/>
          <w:szCs w:val="18"/>
          <w:i w:val="1"/>
          <w:iCs w:val="1"/>
          <w:color w:val="auto"/>
        </w:rPr>
        <w:t>Additional Details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Statement of Profit or Loss and Comprehensive Profit or Loss (Canadian sales tax refund) </w:t>
      </w:r>
      <w:r>
        <w:rPr>
          <w:rFonts w:ascii="Times New Roman" w:cs="Times New Roman" w:eastAsia="Times New Roman" w:hAnsi="Times New Roman"/>
          <w:sz w:val="18"/>
          <w:szCs w:val="18"/>
          <w:color w:val="auto"/>
        </w:rPr>
        <w:t>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33</w:t>
        <w:tab/>
        <w:t>Page</w:t>
      </w:r>
    </w:p>
    <w:p>
      <w:pPr>
        <w:sectPr>
          <w:pgSz w:w="11900" w:h="16838" w:orient="portrait"/>
          <w:cols w:equalWidth="0" w:num="1">
            <w:col w:w="11240"/>
          </w:cols>
          <w:pgMar w:left="320" w:top="33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Direct Cost and Direct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52,823</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41,519</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11,304</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113,822</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79,922</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33,900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(20,528)</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(36,809)</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(96,314)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(41,228)</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(55,086)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8,760</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8,760</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8,760</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(873)</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(1,751)</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(922)</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(1,702)</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16,366</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14,338</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(1)</w:t>
            </w:r>
          </w:p>
        </w:tc>
        <w:tc>
          <w:tcPr>
            <w:tcW w:w="940" w:type="dxa"/>
            <w:vAlign w:val="bottom"/>
            <w:vMerge w:val="continue"/>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18,466</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(879)%</w:t>
            </w:r>
          </w:p>
        </w:tc>
        <w:tc>
          <w:tcPr>
            <w:tcW w:w="800" w:type="dxa"/>
            <w:vAlign w:val="bottom"/>
            <w:vMerge w:val="continue"/>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(4,017)</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18,355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18,817</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17,137</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1,680</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36,129</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31,306</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614</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2,520</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7"/>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30,600</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14,000</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16,600</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23,200</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12,400</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10,800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Total Cash Cost and Total Cash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52,823</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41,519</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11,304</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113,822</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79,922</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33,900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12,402</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9,155</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3,247</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25,598</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17,515</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8,083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65,225</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50,674</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14,551</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139,420</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97,437</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41,983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(20,528)</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(36,809)</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(96,314)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(41,228)</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(55,086)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8,760</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8,760</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8,760</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(873)</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(1,751)</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(1,675)</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(2,462)</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787</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(4,769)</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(4,998)</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 ongoing</w:t>
            </w: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(3,096)</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(3,096)</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940" w:type="dxa"/>
            <w:vAlign w:val="bottom"/>
            <w:vMerge w:val="continue"/>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(3,096)</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vMerge w:val="continue"/>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 and general and</w:t>
            </w:r>
          </w:p>
        </w:tc>
        <w:tc>
          <w:tcPr>
            <w:tcW w:w="9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18,468</w:t>
            </w: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nm</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16,081</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 (1)</w:t>
            </w:r>
          </w:p>
        </w:tc>
        <w:tc>
          <w:tcPr>
            <w:tcW w:w="94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(2,333)</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20,801</w:t>
            </w:r>
          </w:p>
        </w:tc>
        <w:tc>
          <w:tcPr>
            <w:tcW w:w="12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(4,430)</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20,511</w:t>
            </w: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(415)</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(3,159)</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308</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(3,467)</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29,057</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24,339</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4,718</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55,342</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45,338</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10,004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614</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1,223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2,520</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7"/>
        </w:trPr>
        <w:tc>
          <w:tcPr>
            <w:tcW w:w="33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Cost per BTC (in U.S.</w:t>
            </w:r>
          </w:p>
        </w:tc>
        <w:tc>
          <w:tcPr>
            <w:tcW w:w="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47,300</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19,900</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27,400</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35,500</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18,000</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5" w:lineRule="exact"/>
        <w:rPr>
          <w:sz w:val="20"/>
          <w:szCs w:val="20"/>
          <w:color w:val="auto"/>
        </w:rPr>
      </w:pPr>
    </w:p>
    <w:p>
      <w:pPr>
        <w:jc w:val="both"/>
        <w:ind w:left="340" w:hanging="74"/>
        <w:spacing w:after="0" w:line="213"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34</w:t>
        <w:tab/>
        <w:t>Page</w:t>
      </w:r>
    </w:p>
    <w:p>
      <w:pPr>
        <w:sectPr>
          <w:pgSz w:w="11900" w:h="16838" w:orient="portrait"/>
          <w:cols w:equalWidth="0" w:num="1">
            <w:col w:w="11240"/>
          </w:cols>
          <w:pgMar w:left="320" w:top="33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(a) strategically selling the BTC it earns and the BTC it holds in treasury and (b) utilizing short-term debt, long-term debt and equity instruments (including the 2024 ATM Program) to fund its expansion activities, operating expenses and debt service requirements. The Company has sufficient liquidity for its 2024 growth plan and anticipates requiring additional funds to complete its 2025 growth plans discussed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Javier Milei. While many of the foreign exchange restrictions implemented in 2019 are still in place, particularly for imports and dividend payments related to transactions before December 13, 2023; since taking office, President Milei has introduced changes to the import/export regime and foreign exchange regulations. For imports made after December 13, 2023, financial institutions can now grant access to the official foreign exchange (“FX”) market without prior Central Bank approval for deferred payments of new imports, with specific schedules based on the type of goods. Exporters can repatriate proceeds on an 80-20 basis, with 80% settled through the official FX market and 20% through the blue-chip swap market. There are indications that the government may lift capital controls during 2024. Announcements have been made with plans to offer dollar denominated bonds (BOPREAL) to companies, allowing them to send dividends abroad. This can be seen as a first step towards lifting foreign exchange restrictions. Additionally, in 2024, Argentine Congress passed “Ley Bases”, which includes, under the “Incentives Regime for Major Investments”, FX rules and benefits for certain large investment projects. The ongoing implications for economic and monetary policy, and its impact on Bitfarms, cannot be ascertained as of the date of this MD&amp;A.</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sends funds periodically to its Argentinian subsidiary to fund its expansion based on supplier invoices that are paid by the Argentinian subsidiary. The Argentinian subsidiary provides hashrate services for a market-based fee to its Canadian parent, which, in turn, purchases that hashrate to consolidate and sell to a third-party mining pool, for which the Canadian parent is compensated in BTC. Accordingly, the Argentinian subsidiary is not structured or contemplated to generate substantial cash flows above its internal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35</w:t>
        <w:tab/>
        <w:t>Page</w:t>
      </w:r>
    </w:p>
    <w:p>
      <w:pPr>
        <w:sectPr>
          <w:pgSz w:w="11900" w:h="16838" w:orient="portrait"/>
          <w:cols w:equalWidth="0" w:num="1">
            <w:col w:w="11240"/>
          </w:cols>
          <w:pgMar w:left="320" w:top="33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tc>
        <w:tc>
          <w:tcPr>
            <w:tcW w:w="1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60" w:type="dxa"/>
            <w:vAlign w:val="bottom"/>
            <w:tcBorders>
              <w:bottom w:val="single" w:sz="8" w:color="auto"/>
            </w:tcBorders>
          </w:tcPr>
          <w:p>
            <w:pPr>
              <w:spacing w:after="0"/>
              <w:rPr>
                <w:sz w:val="24"/>
                <w:szCs w:val="24"/>
                <w:color w:val="auto"/>
              </w:rPr>
            </w:pPr>
          </w:p>
        </w:tc>
      </w:tr>
      <w:tr>
        <w:trPr>
          <w:trHeight w:val="2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5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30,887</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53,151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27,935</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2,472</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25,463</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(151,832)</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(19,229)</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(132,603)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178,362</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16,693</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161,669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55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116</w:t>
            </w: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138,619</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30,891</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107,728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 amounted to $27.9 million during YTD Q2 2024 compared to cash flows from operating activities of $2.5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YTD Q2 2023, primarily driven by:</w:t>
      </w:r>
    </w:p>
    <w:p>
      <w:pPr>
        <w:spacing w:after="0" w:line="207" w:lineRule="exact"/>
        <w:rPr>
          <w:sz w:val="20"/>
          <w:szCs w:val="20"/>
          <w:color w:val="auto"/>
        </w:rPr>
      </w:pPr>
    </w:p>
    <w:p>
      <w:pPr>
        <w:ind w:left="660" w:right="20" w:hanging="328"/>
        <w:spacing w:after="0" w:line="261"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proceeds from sale of digital assets earned of $24.0 million as a result of selling BTC in YTD Q2 2024 with significantly higher prices compared to YTD Q2 2023;</w:t>
      </w:r>
    </w:p>
    <w:p>
      <w:pPr>
        <w:ind w:left="660" w:hanging="328"/>
        <w:spacing w:after="0" w:line="250"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interest and financial income of $2.5 million in YTD Q2 2024 compared to paying $4.9 million of interest and financial expenses in YTD Q2 2023 mainly due to eliminating the remaining NYDIG debt balance in February 2024; and</w:t>
      </w:r>
    </w:p>
    <w:p>
      <w:pPr>
        <w:ind w:left="660" w:hanging="328"/>
        <w:spacing w:after="0" w:line="260"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energy and infrastructure costs of $12.3 million, including sales tax recovery on energy and infrastructure cost as explained in Section 7B - </w:t>
      </w:r>
      <w:r>
        <w:rPr>
          <w:rFonts w:ascii="Times New Roman" w:cs="Times New Roman" w:eastAsia="Times New Roman" w:hAnsi="Times New Roman"/>
          <w:sz w:val="18"/>
          <w:szCs w:val="18"/>
          <w:i w:val="1"/>
          <w:iCs w:val="1"/>
          <w:color w:val="auto"/>
        </w:rPr>
        <w:t xml:space="preserve">Financial Performance - Cost of Revenues </w:t>
      </w:r>
      <w:r>
        <w:rPr>
          <w:rFonts w:ascii="Times New Roman" w:cs="Times New Roman" w:eastAsia="Times New Roman" w:hAnsi="Times New Roman"/>
          <w:sz w:val="18"/>
          <w:szCs w:val="18"/>
          <w:color w:val="auto"/>
        </w:rPr>
        <w:t>of this MD&amp;A.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line="250"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G&amp;A expenses of $8.3 million as explained in Section 7B - </w:t>
      </w:r>
      <w:r>
        <w:rPr>
          <w:rFonts w:ascii="Times New Roman" w:cs="Times New Roman" w:eastAsia="Times New Roman" w:hAnsi="Times New Roman"/>
          <w:sz w:val="18"/>
          <w:szCs w:val="18"/>
          <w:i w:val="1"/>
          <w:iCs w:val="1"/>
          <w:color w:val="auto"/>
        </w:rPr>
        <w:t>Financial Performance - General &amp; Administrative expenses</w:t>
      </w:r>
      <w:r>
        <w:rPr>
          <w:rFonts w:ascii="Times New Roman" w:cs="Times New Roman" w:eastAsia="Times New Roman" w:hAnsi="Times New Roman"/>
          <w:sz w:val="18"/>
          <w:szCs w:val="18"/>
          <w:color w:val="auto"/>
        </w:rPr>
        <w:t xml:space="preserve"> of this MD&amp;A; and</w:t>
      </w: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unfavorable working capital variances totaling $9.5 million as explained in Section 11 </w:t>
      </w:r>
      <w:r>
        <w:rPr>
          <w:rFonts w:ascii="Times New Roman" w:cs="Times New Roman" w:eastAsia="Times New Roman" w:hAnsi="Times New Roman"/>
          <w:sz w:val="18"/>
          <w:szCs w:val="18"/>
          <w:i w:val="1"/>
          <w:iCs w:val="1"/>
          <w:color w:val="auto"/>
        </w:rPr>
        <w:t>-Financial Position</w:t>
      </w:r>
      <w:r>
        <w:rPr>
          <w:rFonts w:ascii="Times New Roman" w:cs="Times New Roman" w:eastAsia="Times New Roman" w:hAnsi="Times New Roman"/>
          <w:sz w:val="18"/>
          <w:szCs w:val="18"/>
          <w:color w:val="auto"/>
        </w:rPr>
        <w:t xml:space="preserve"> of this MD&amp;A.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increased by $132.6 million during YTD Q2 2024 compared to YTD Q2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used in investing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$121.6 million of net additions of PPE during YTD Q2 2024, compared to $16.4 million for the same period in 2023, primarily due to the acquisition of Miners and infrastructure build-out; and</w:t>
      </w:r>
    </w:p>
    <w:p>
      <w:pPr>
        <w:ind w:left="660" w:hanging="328"/>
        <w:spacing w:after="0" w:line="260"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million in advance payments mainly for the transformative fleet upgrade during YTD Q2 2024, compared to $10.0 million in advanced payments during YTD Q2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jc w:val="both"/>
        <w:ind w:left="660" w:hanging="328"/>
        <w:spacing w:after="0" w:line="255"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$0.8 million of net proceeds received in YTD Q2 2024 from the purchase and disposition of marketable securities to fund the Argentina expansion activities, compared to $7.1 million of net proceeds for the same period in 2023, as described in Note 23c - </w:t>
      </w:r>
      <w:r>
        <w:rPr>
          <w:rFonts w:ascii="Times New Roman" w:cs="Times New Roman" w:eastAsia="Times New Roman" w:hAnsi="Times New Roman"/>
          <w:sz w:val="18"/>
          <w:szCs w:val="18"/>
          <w:i w:val="1"/>
          <w:iCs w:val="1"/>
          <w:color w:val="auto"/>
        </w:rPr>
        <w:t>Additional Details to the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and Comprehensive Profit or Loss </w:t>
      </w:r>
      <w:r>
        <w:rPr>
          <w:rFonts w:ascii="Times New Roman" w:cs="Times New Roman" w:eastAsia="Times New Roman" w:hAnsi="Times New Roman"/>
          <w:sz w:val="18"/>
          <w:szCs w:val="18"/>
          <w:color w:val="auto"/>
        </w:rPr>
        <w:t>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36</w:t>
        <w:tab/>
        <w:t>Page</w:t>
      </w:r>
    </w:p>
    <w:p>
      <w:pPr>
        <w:sectPr>
          <w:pgSz w:w="11900" w:h="16838" w:orient="portrait"/>
          <w:cols w:equalWidth="0" w:num="1">
            <w:col w:w="11240"/>
          </w:cols>
          <w:pgMar w:left="320" w:top="33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increased by $161.7 million from $16.7 million for YTD Q2 2023 to $178.4 million for YTD Q2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i w:val="1"/>
          <w:iCs w:val="1"/>
          <w:color w:val="auto"/>
        </w:rPr>
        <w:t>Q2 2024</w:t>
      </w:r>
    </w:p>
    <w:p>
      <w:pPr>
        <w:spacing w:after="0" w:line="29"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$174.5 million of net proceeds from its 2024 ATM Program as discussed below, partially offset by $0.9 million of capitalized professional fees and registration expenses to initiate the 2024 ATM Program;</w:t>
      </w:r>
    </w:p>
    <w:p>
      <w:pPr>
        <w:ind w:left="1300" w:hanging="320"/>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million of net proceeds from the exercise of stock options and warrants;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from the sale and leaseback of its Garlock (Quebec) data center.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payments primarily relating to: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$4.0 million to fully repay the NYDIG loan, which matured and expired in February 2024;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of approximately $1.4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i w:val="1"/>
          <w:iCs w:val="1"/>
          <w:color w:val="auto"/>
        </w:rPr>
        <w:t>Q2 2023</w:t>
      </w:r>
    </w:p>
    <w:p>
      <w:pPr>
        <w:spacing w:after="0" w:line="29" w:lineRule="exact"/>
        <w:rPr>
          <w:sz w:val="20"/>
          <w:szCs w:val="20"/>
          <w:color w:val="auto"/>
        </w:rPr>
      </w:pPr>
    </w:p>
    <w:p>
      <w:pPr>
        <w:jc w:val="both"/>
        <w:ind w:left="660" w:hanging="328"/>
        <w:spacing w:after="0" w:line="250" w:lineRule="auto"/>
        <w:tabs>
          <w:tab w:leader="none" w:pos="66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raised $37.6 million of net proceeds from an at-the-market equity offering program, initiated on August 16, 2021 and expired on September 12, 2023 (“2021 ATM program”), which was partially offset by repayments towards the long-term debt and lease liabilities of $18.9 million and $2.1 million, respectively.</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repayments included: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remaining $20.4 million principal balance of the BlockFi Loan on February 8, 2023 for cash consideration of $7.8 million, as discussed below;</w:t>
      </w:r>
    </w:p>
    <w:p>
      <w:pPr>
        <w:ind w:left="1300" w:hanging="320"/>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$5.3 million towards the NYDIG loan; and</w:t>
      </w:r>
    </w:p>
    <w:p>
      <w:pPr>
        <w:spacing w:after="0" w:line="9" w:lineRule="exact"/>
        <w:rPr>
          <w:rFonts w:ascii="Times New Roman" w:cs="Times New Roman" w:eastAsia="Times New Roman" w:hAnsi="Times New Roman"/>
          <w:sz w:val="18"/>
          <w:szCs w:val="18"/>
          <w:color w:val="auto"/>
        </w:rPr>
      </w:pPr>
    </w:p>
    <w:p>
      <w:pPr>
        <w:ind w:left="1300" w:right="20" w:hanging="320"/>
        <w:spacing w:after="0" w:line="260" w:lineRule="auto"/>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repayment of the principal amount of the remaining equipment financing (the “Foundry Loans”) before maturity and without prepayment penalty for $0.8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BlockFi Loan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18, 2022, Bitfarms’ subsidiary, Backbone Mining Solutions Inc. (“Backbone Mining”), entered into a $32.0 million equipment financing facility with BlockFi. 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37</w:t>
        <w:tab/>
        <w:t>Page</w:t>
      </w:r>
    </w:p>
    <w:p>
      <w:pPr>
        <w:sectPr>
          <w:pgSz w:w="11900" w:h="16838" w:orient="portrait"/>
          <w:cols w:equalWidth="0" w:num="1">
            <w:col w:w="11240"/>
          </w:cols>
          <w:pgMar w:left="320" w:top="33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commenced the 2024 ATM Program on March 11, 2024, by means of a prospectus supplement dated March 8, 2024, to the Company’s short form base shelf prospectus dated November 10, 2023, and U.S. registration statement on Form F-10, which included a prospectus supplement related to the 2024 ATM Program. The Company may, at its discretion and from time-to-time, sell common shares of the Company in the 2024 ATM Program as for aggregate gross proceeds of up to $375.0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2024 v. Q2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2024, the Company issued 67,199,000 common shares through the 2024 ATM Program in exchange for gross proceeds of $140.8 million at an average share price of approximately $2.10. The Company received net proceeds of $136.4 million after paying commissions of $4.2 million to the sales agent, in addition to $0.3 million of other transaction fees.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2023, the Company issued 17,611,000 common shares through the 2021 ATM program in exchange for gross proceeds of $22.5 million at an average share price of approximately $1.28. The Company received net proceeds of $21.8 million after paying commissions of $0.7 million to the sales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2024 v. YTD Q2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YTD Q2 2024, the Company issued 84,196,000 common shares in the 2024 ATM Program in exchange for gross proceeds of $180.2 million at an average share price of approximately $2.14. The Company received net proceeds of $174.5 million after paying commissions of $5.4 million to the sales agent, in addition to $0.3 million of other transaction fees.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YTD Q2 2023, the Company issued 33,551,000 common shares in the 2021 ATM program in exchange for gross proceeds of $38.9 million at an average share price of approximately $1.16. The Company received net proceeds of $37.6 million after paying commissions of $1.2 million to the sales agent, in addition to $0.1 million of other transaction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used and intends to continue to use the proceeds from the 2024 ATM Program prudently to support the growth and development of the Company’s Mining operations, as described in Section 6 -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The Company used the $174.5 million raised from the 2024 ATM Program from March 11, 2024 through June 30, 2024 to fund the transformative fleet upgrade.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Q2 2024 v. YTD Q2 2023</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5,000,000 warrants and 111,000 broker warrants related to the 2023 private placement were exercised, resulting in the issuance of 5,111,000 common shares for proceeds of approximately $6.0 million. During the six months ended June 30, 2023, no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38</w:t>
        <w:tab/>
        <w:t>Page</w:t>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financial resources that will enable the Company to maximize the return to its shareholders while optimizing its cost of capital and ensuring the Company has sufficient liquidity to fund its operating activities. In order to achieve this objective, the Company monitors its capital structure and makes adjustments as required in light of the Company’s funding requirements, changes in economic conditions, the cost of providing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fund its 2025 expansion plans and to complete construction of additional data centers in Argentina, if the Company elects to do so. In order to achieve its business objectives, the Company may sell or borrow against the BTC that are held in treasury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 Similar to past BTC Halvings events, the BTC price did not have an immediate favorable impact after the BTC Halving that occurred on April 19, 2024. It took approximately six months for the Company’s revenue per terahash to return to the level experienced prior to the May 2020 BTC Halving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39</w:t>
        <w:tab/>
        <w:t>Page</w:t>
      </w:r>
    </w:p>
    <w:p>
      <w:pPr>
        <w:sectPr>
          <w:pgSz w:w="11900" w:h="16838" w:orient="portrait"/>
          <w:cols w:equalWidth="0" w:num="1">
            <w:col w:w="11240"/>
          </w:cols>
          <w:pgMar w:left="320" w:top="33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On August 1 2022, Management received approval from the Board of Directors (the “Board”) to sell daily production, in addition to any sale of up to 1,000 BTC from treasury, should market conditions justify such sales in Management’s discretion.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Presented below are the total BTC sold and proceeds in Q2 2024, a portion of which was used to fully repay equipment-related indebtedness, with the remaining portion used to fund operations and expansion plans:</w:t>
      </w:r>
    </w:p>
    <w:p>
      <w:pPr>
        <w:spacing w:after="0" w:line="158"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3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09"/>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Quantity of BTC sold</w:t>
            </w:r>
          </w:p>
        </w:tc>
        <w:tc>
          <w:tcPr>
            <w:tcW w:w="3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w:t>
            </w:r>
          </w:p>
        </w:tc>
      </w:tr>
      <w:tr>
        <w:trPr>
          <w:trHeight w:val="223"/>
        </w:trPr>
        <w:tc>
          <w:tcPr>
            <w:tcW w:w="5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proceeds</w:t>
            </w:r>
          </w:p>
        </w:tc>
        <w:tc>
          <w:tcPr>
            <w:tcW w:w="3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33,756</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49,570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905 BTC as of June 30, 2024, valued at approximately $56.7 million based on a BTC price of approximately $62,700, as of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 subsidiary of Coinbase Global, Inc. (“Coinbase”)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If the Company was to face challenges with one of its custodians, the Company could transfer digital assets between custodians and has its own multi-signature wallets as a contingency plan that would have a minimal impact on the Company’s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7, 2024, the Company has 1,049 BTC, valued at $58.7 million on its balance sheet. As of the date of this MD&amp;A, 100% of the Company’s BTC are held in custody with Coinbase Custody and Anchorage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40</w:t>
        <w:tab/>
        <w:t>Page</w:t>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Custody of digital assets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August 1, 2024,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program of digital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hedging strategy aims to reduce the risk associated with the variability of cash flows resulting from future disposals of digital assets and in consideration of the volatility and adverse price movements of the digital assets in the prior months. In March 2023, the Board approved a hedging program and authorized Management, through a risk management committee specifically created for this purpose, to implement hedges using BTC option contracts for up to 20% of the Company’s BTC compensation per month and up to three months of future BTC compensation. In April 2023, the Board authorized Management to increase the BTC option contracts to up to 50% of the Company’s BTC compensation per month and up to six months of expected future BTC compensation. As of August 7, 2024, the Company did not have any hedge position on future BTC compensation.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had BTC option contracts to sell digital assets which resulted in a loss of $0.3 million and $0.9 million, respectively, mainly related to premiums for the option contracts hedging the risk of the BTC price decreasing and protecting the Company’s margins. Refer to Note 19 to the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41</w:t>
        <w:tab/>
        <w:t>Page</w:t>
      </w:r>
    </w:p>
    <w:p>
      <w:pPr>
        <w:sectPr>
          <w:pgSz w:w="11900" w:h="16838" w:orient="portrait"/>
          <w:cols w:equalWidth="0" w:num="1">
            <w:col w:w="11240"/>
          </w:cols>
          <w:pgMar w:left="320" w:top="33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Synthetic HODL program for digital assets management</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Alongside the hedging program, and with the intent to manage a more capital-efficient portfolio, in June 2023, the Board approved a HODL strategy, referred to as a Synthetic HODL strategy, which allows up to 20% of the Company’s BTC exposure to be replicated using BTC derivatives and volatility-targeting instruments. In October 2023, the Company initiated its Synthetic HODL strategy with the purchase of long-dated BTC call options. The primary objective of the Synthetic HODL is to replicate BTC HODL appreciation potential while utilizing excess cash flow from operations to fund capital growth programs. As of August 7, 2024, the Company has active call option contracts providing the right to buy up to 333 BTC. It remains within the risk management committee’s discretion to dynamically adjust Bitfarms’ hedge and Synthetic HODL ratios within the risk limits approved by the Board to more adequately respond to market factors that are beyond the Company’s operational control. During the three and six months ended June 30, 2024, the Company purchased long-dated BTC call options which resulted in a loss of $1.8 million and a gain of $1.3 million, respectively, attributable to the change in the BTC price over the respective periods.</w:t>
      </w:r>
    </w:p>
    <w:p>
      <w:pPr>
        <w:spacing w:after="0" w:line="189"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June 30,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2028 and</w:t>
            </w: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Trade accounts payable and accrued</w:t>
            </w:r>
          </w:p>
        </w:tc>
        <w:tc>
          <w:tcPr>
            <w:tcW w:w="164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20,908</w:t>
            </w:r>
          </w:p>
        </w:tc>
        <w:tc>
          <w:tcPr>
            <w:tcW w:w="13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20,908</w:t>
            </w:r>
          </w:p>
        </w:tc>
        <w:tc>
          <w:tcPr>
            <w:tcW w:w="0" w:type="dxa"/>
            <w:vAlign w:val="bottom"/>
          </w:tcPr>
          <w:p>
            <w:pPr>
              <w:spacing w:after="0"/>
              <w:rPr>
                <w:sz w:val="1"/>
                <w:szCs w:val="1"/>
                <w:color w:val="auto"/>
              </w:rPr>
            </w:pPr>
          </w:p>
        </w:tc>
      </w:tr>
      <w:tr>
        <w:trPr>
          <w:trHeight w:val="234"/>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95</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166</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171</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176</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1,165</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1,773</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1,475</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3,017</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2,865</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2,589</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8,534</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18,480</w:t>
            </w:r>
          </w:p>
        </w:tc>
        <w:tc>
          <w:tcPr>
            <w:tcW w:w="0" w:type="dxa"/>
            <w:vAlign w:val="bottom"/>
          </w:tcPr>
          <w:p>
            <w:pPr>
              <w:spacing w:after="0"/>
              <w:rPr>
                <w:sz w:val="1"/>
                <w:szCs w:val="1"/>
                <w:color w:val="auto"/>
              </w:rPr>
            </w:pPr>
          </w:p>
        </w:tc>
      </w:tr>
      <w:tr>
        <w:trPr>
          <w:trHeight w:val="217"/>
        </w:trPr>
        <w:tc>
          <w:tcPr>
            <w:tcW w:w="4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22,478</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3,183</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3,036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2,765</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9,699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41,161</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Company’s remaining payment obligations in connection with the Purchase Option and the March 2024 Purchase Order are outlined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09"/>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4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September 30, 2024</w:t>
            </w:r>
          </w:p>
        </w:tc>
        <w:tc>
          <w:tcPr>
            <w:tcW w:w="4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84,152</w:t>
            </w:r>
          </w:p>
        </w:tc>
      </w:tr>
      <w:tr>
        <w:trPr>
          <w:trHeight w:val="216"/>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Three months ending December 31, 2024</w:t>
            </w:r>
          </w:p>
        </w:tc>
        <w:tc>
          <w:tcPr>
            <w:tcW w:w="4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30,772</w:t>
            </w:r>
          </w:p>
        </w:tc>
      </w:tr>
      <w:tr>
        <w:trPr>
          <w:trHeight w:val="217"/>
        </w:trPr>
        <w:tc>
          <w:tcPr>
            <w:tcW w:w="6540" w:type="dxa"/>
            <w:vAlign w:val="bottom"/>
            <w:tcBorders>
              <w:bottom w:val="single" w:sz="8" w:color="auto"/>
            </w:tcBorders>
            <w:shd w:val="clear" w:color="auto" w:fill="CCEEFF"/>
          </w:tcPr>
          <w:p>
            <w:pPr>
              <w:spacing w:after="0"/>
              <w:rPr>
                <w:sz w:val="18"/>
                <w:szCs w:val="18"/>
                <w:color w:val="auto"/>
              </w:rPr>
            </w:pPr>
          </w:p>
        </w:tc>
        <w:tc>
          <w:tcPr>
            <w:tcW w:w="4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114,924</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 and deposits paid by the Company under the Purchase Order and remedial legal measures against the Company. This may result in damages payable by the Company and forced continuance of the contractual arrangement. Under such circumstances, the Company’s growth plans and ongoing operations could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42</w:t>
        <w:tab/>
        <w:t>Page</w:t>
      </w:r>
    </w:p>
    <w:p>
      <w:pPr>
        <w:sectPr>
          <w:pgSz w:w="11900" w:h="16838" w:orient="portrait"/>
          <w:cols w:equalWidth="0" w:num="1">
            <w:col w:w="11240"/>
          </w:cols>
          <w:pgMar w:left="320" w:top="33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June 30,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2024, as a result of the Company’s decision to terminate the employment of the Company’s former CEO, a termination payment of $1.6 million was accrued during the first quarter of 2024 and paid during Q2 2024 based on the terms of the former CEO’s employment agreement. On May 10, 2024, the former CEO filed a Statement of Claim in the Superior Court of Ontario against the Company claiming damages for breach of contract, wrongful dismissal and aggravated and punitive damages for a total amount of $26.7 million. The Company believes the claims are without merit and intends to defend itself vigorously against the claims. Such matters are inherently uncertain, and there can be no guarantee that the outcome of any such matter will be decided favorably to the Company. The loss, if any, is not estimable at this time and Management does not believe the outcome of this matter will have a material adverse impact on its results of operations, cash flows and financial condition. Refer to Note 20 - </w:t>
      </w:r>
      <w:r>
        <w:rPr>
          <w:rFonts w:ascii="Times New Roman" w:cs="Times New Roman" w:eastAsia="Times New Roman" w:hAnsi="Times New Roman"/>
          <w:sz w:val="18"/>
          <w:szCs w:val="18"/>
          <w:i w:val="1"/>
          <w:iCs w:val="1"/>
          <w:color w:val="auto"/>
        </w:rPr>
        <w:t>Transactions and Balances with Related Parties</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43</w:t>
        <w:tab/>
        <w:t>Page</w:t>
      </w:r>
    </w:p>
    <w:p>
      <w:pPr>
        <w:sectPr>
          <w:pgSz w:w="11900" w:h="16838" w:orient="portrait"/>
          <w:cols w:equalWidth="0" w:num="1">
            <w:col w:w="11240"/>
          </w:cols>
          <w:pgMar w:left="320" w:top="33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POSITION</w:t>
      </w:r>
    </w:p>
    <w:p>
      <w:pPr>
        <w:spacing w:after="0" w:line="225"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xml:space="preserve">As of June 30,  </w:t>
            </w:r>
            <w:r>
              <w:rPr>
                <w:rFonts w:ascii="Times New Roman" w:cs="Times New Roman" w:eastAsia="Times New Roman" w:hAnsi="Times New Roman"/>
                <w:sz w:val="18"/>
                <w:szCs w:val="18"/>
                <w:color w:val="auto"/>
              </w:rPr>
              <w:t>As of December 31,</w:t>
            </w:r>
          </w:p>
        </w:tc>
        <w:tc>
          <w:tcPr>
            <w:tcW w:w="1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50"/>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35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jc w:val="right"/>
              <w:ind w:right="231"/>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5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237,289</w:t>
            </w:r>
          </w:p>
        </w:tc>
        <w:tc>
          <w:tcPr>
            <w:tcW w:w="1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129,984</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107,305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5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46,434</w:t>
            </w:r>
          </w:p>
        </w:tc>
        <w:tc>
          <w:tcPr>
            <w:tcW w:w="1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69,154</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(22,720)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5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190,855</w:t>
            </w:r>
          </w:p>
        </w:tc>
        <w:tc>
          <w:tcPr>
            <w:tcW w:w="1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60,830</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130,025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the BTC Halving event that occurred on April 19, 2024, the Company continues to place importance on maintaining sufficient liquidity to manage uncertainty and capitalize upon suitable opportunities the BTC Halving may present. The Company also anticipates requiring additional funds to complete its 2025 growth plans discussed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of June 30, 2024, Bitfarms had working capital of $190.9 million, compared to $60.8 million as of December 31, 2023. The increase in working capital was mostly due to:</w:t>
      </w:r>
    </w:p>
    <w:p>
      <w:pPr>
        <w:spacing w:after="0" w:line="180" w:lineRule="exact"/>
        <w:rPr>
          <w:sz w:val="20"/>
          <w:szCs w:val="20"/>
          <w:color w:val="auto"/>
        </w:rPr>
      </w:pPr>
    </w:p>
    <w:p>
      <w:pPr>
        <w:jc w:val="both"/>
        <w:ind w:left="340" w:hanging="332"/>
        <w:spacing w:after="0" w:line="255"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$54.6 million increase in cash, mainly related to the issuance of (i) 84,196,000 common shares from the 2024 ATM Program, for net proceeds of $174.5 million and (ii) 7,401,000 common shares from the exercise of stock options and warrants, for total proceeds of $8.5 million. The liquidity raised was partially used for expansion projects during YTD Q2 2024, with the remainder intended for future payments of Miners as part of the transformative fleet upgrade and general working capital purposes.</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$22.8 million increase in total digital assets resulting from the increase of the Company’s treasury by 101 BTC and the appreciation of the BTC price during YTD Q2 2024.</w:t>
      </w:r>
    </w:p>
    <w:p>
      <w:pPr>
        <w:ind w:left="340" w:right="20" w:hanging="332"/>
        <w:spacing w:after="0" w:line="250"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$20.4 million decrease in warrant liabilities due to the subsequent fair value revaluation of the warrants from the 2021 and the 2023 private placements, the exercise of 2023 private placements warrants and the expiration of a portion of the 2021 private placement warrants.</w:t>
      </w:r>
    </w:p>
    <w:p>
      <w:pPr>
        <w:jc w:val="both"/>
        <w:ind w:left="340" w:hanging="332"/>
        <w:spacing w:after="0" w:line="250" w:lineRule="auto"/>
        <w:tabs>
          <w:tab w:leader="none" w:pos="340" w:val="left"/>
        </w:tabs>
        <w:numPr>
          <w:ilvl w:val="0"/>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A $16.1 million increase in other assets resulting from the increase in sales taxes receivable due to the Company receiving confirmation from the Provincial tax authorities that Canadian sales taxes paid by the Company from February 5, 2022 onwards are refundable. Refer to Note 23b - </w:t>
      </w:r>
      <w:r>
        <w:rPr>
          <w:rFonts w:ascii="Times New Roman" w:cs="Times New Roman" w:eastAsia="Times New Roman" w:hAnsi="Times New Roman"/>
          <w:sz w:val="18"/>
          <w:szCs w:val="18"/>
          <w:i w:val="1"/>
          <w:iCs w:val="1"/>
          <w:color w:val="auto"/>
        </w:rPr>
        <w:t xml:space="preserve">Additional Details to the Statement of Profit or Loss and Comprehensive Profit or Loss (Canadian sales tax refund) </w:t>
      </w:r>
      <w:r>
        <w:rPr>
          <w:rFonts w:ascii="Times New Roman" w:cs="Times New Roman" w:eastAsia="Times New Roman" w:hAnsi="Times New Roman"/>
          <w:sz w:val="18"/>
          <w:szCs w:val="18"/>
          <w:color w:val="auto"/>
        </w:rPr>
        <w:t>to the Financial Statements</w:t>
      </w:r>
      <w:r>
        <w:rPr>
          <w:rFonts w:ascii="Times New Roman" w:cs="Times New Roman" w:eastAsia="Times New Roman" w:hAnsi="Times New Roman"/>
          <w:sz w:val="18"/>
          <w:szCs w:val="18"/>
          <w:i w:val="1"/>
          <w:iCs w:val="1"/>
          <w:color w:val="auto"/>
        </w:rPr>
        <w:t>.</w:t>
      </w:r>
    </w:p>
    <w:p>
      <w:pPr>
        <w:spacing w:after="0" w:line="1" w:lineRule="exact"/>
        <w:rPr>
          <w:rFonts w:ascii="Times New Roman" w:cs="Times New Roman" w:eastAsia="Times New Roman" w:hAnsi="Times New Roman"/>
          <w:sz w:val="18"/>
          <w:szCs w:val="18"/>
          <w:b w:val="1"/>
          <w:bCs w:val="1"/>
          <w:i w:val="1"/>
          <w:iCs w:val="1"/>
          <w:color w:val="auto"/>
        </w:rPr>
      </w:pPr>
    </w:p>
    <w:p>
      <w:pPr>
        <w:ind w:left="340" w:hanging="332"/>
        <w:spacing w:after="0" w:line="260"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capital repayments of $4.0 million to fully pay off the NYDIG loan. The effect on working capital is nil as the repayments decreased the cash balance and the loan balance by corresponding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1"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44</w:t>
        <w:tab/>
        <w:t>Page</w:t>
      </w:r>
    </w:p>
    <w:p>
      <w:pPr>
        <w:sectPr>
          <w:pgSz w:w="11900" w:h="16838" w:orient="portrait"/>
          <w:cols w:equalWidth="0" w:num="1">
            <w:col w:w="11240"/>
          </w:cols>
          <w:pgMar w:left="320" w:top="33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11. FINANCIAL POSITION </w:t>
            </w:r>
            <w:r>
              <w:rPr>
                <w:rFonts w:ascii="Times New Roman" w:cs="Times New Roman" w:eastAsia="Times New Roman" w:hAnsi="Times New Roman"/>
                <w:sz w:val="18"/>
                <w:szCs w:val="18"/>
                <w:color w:val="auto"/>
              </w:rPr>
              <w:t>(Continued)</w:t>
            </w:r>
          </w:p>
        </w:tc>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2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2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xml:space="preserve">June 30,  </w:t>
            </w:r>
            <w:r>
              <w:rPr>
                <w:rFonts w:ascii="Times New Roman" w:cs="Times New Roman" w:eastAsia="Times New Roman" w:hAnsi="Times New Roman"/>
                <w:sz w:val="18"/>
                <w:szCs w:val="18"/>
                <w:color w:val="auto"/>
              </w:rPr>
              <w:t>As of December 31,</w:t>
            </w:r>
          </w:p>
        </w:tc>
        <w:tc>
          <w:tcPr>
            <w:tcW w:w="1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9"/>
        </w:trPr>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3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106,350</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101,454</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4,896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6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2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14,403</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18,154</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(3,751)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3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120,753</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119,608</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1,145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Paraguay</w:t>
            </w:r>
          </w:p>
        </w:tc>
        <w:tc>
          <w:tcPr>
            <w:tcW w:w="23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68,822</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11,747</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57,075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26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Argentina</w:t>
            </w:r>
          </w:p>
        </w:tc>
        <w:tc>
          <w:tcPr>
            <w:tcW w:w="2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43,718</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54,657</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(10,939)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260" w:type="dxa"/>
            <w:vAlign w:val="bottom"/>
            <w:tcBorders>
              <w:bottom w:val="single" w:sz="8" w:color="auto"/>
            </w:tcBorders>
            <w:shd w:val="clear" w:color="auto" w:fill="CCEEFF"/>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112,540</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66,404</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46,136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7"/>
        </w:trPr>
        <w:tc>
          <w:tcPr>
            <w:tcW w:w="26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233,293</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186,012</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47,281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Bitfarms had PPE of $233.3 million, compared to $186.0 million as of December 31, 2023.</w:t>
      </w:r>
    </w:p>
    <w:p>
      <w:pPr>
        <w:spacing w:after="0" w:line="27" w:lineRule="exact"/>
        <w:rPr>
          <w:sz w:val="20"/>
          <w:szCs w:val="20"/>
          <w:color w:val="auto"/>
        </w:rPr>
      </w:pPr>
    </w:p>
    <w:p>
      <w:pPr>
        <w:jc w:val="both"/>
        <w:ind w:left="660" w:hanging="328"/>
        <w:spacing w:after="0" w:line="250" w:lineRule="auto"/>
        <w:tabs>
          <w:tab w:leader="none" w:pos="660" w:val="left"/>
        </w:tabs>
        <w:numPr>
          <w:ilvl w:val="0"/>
          <w:numId w:val="1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increase of $47.3 million, or 25%, was primarily due to the $57.1 million increase in Paraguay PPE primarily due to approximately 8 hydro containers, 600 MicroBT WhatsMiner M53S and 9,500 Bitmain T21 Miners delivered and in transit and the construction of the Paso Pe warehouses and substation during YTD Q2 2024. In addition, the PPE in Canada increased by $4.9 million mainly due to the Miners fleet upgrade, which exceeded the regular depreciation expense and the accelerated depreciation of older Miners.</w:t>
      </w:r>
    </w:p>
    <w:p>
      <w:pPr>
        <w:spacing w:after="0" w:line="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5" w:lineRule="auto"/>
        <w:tabs>
          <w:tab w:leader="none" w:pos="660" w:val="left"/>
        </w:tabs>
        <w:numPr>
          <w:ilvl w:val="0"/>
          <w:numId w:val="1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These increases were partially offset by the decrease in PPE in Argentina and the US by $10.9 million and $3.8 million, respectively, mostly due to regular depreciation expense and the accelerated depreciation of older Miners, which exceeded the value of the Miners received in connection with the transformative fleet upgrade program. Refer to Note 10 -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45</w:t>
        <w:tab/>
        <w:t>Page</w:t>
      </w:r>
    </w:p>
    <w:p>
      <w:pPr>
        <w:sectPr>
          <w:pgSz w:w="11900" w:h="16838" w:orient="portrait"/>
          <w:cols w:equalWidth="0" w:num="1">
            <w:col w:w="11240"/>
          </w:cols>
          <w:pgMar w:left="320" w:top="33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Bitfarms had intangible assets of $4.4 million, compared to $3.7 million as of December 31, 2023. The $0.7 million increase is mainly due to the Washington State access right to electricity being available for use and reclassified from long-term deposits, equipment, prepayments and other to intangible assets. The increase was partially offset by the amortization of the Company’s access rights to electricity in Washington State and access rights to electricity already held in Quebec and Paraguay since 2023. The following table summarizes those access rights to electricity: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1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3140" w:type="dxa"/>
            <w:vAlign w:val="bottom"/>
          </w:tcPr>
          <w:p>
            <w:pPr>
              <w:spacing w:after="0"/>
              <w:rPr>
                <w:sz w:val="18"/>
                <w:szCs w:val="18"/>
                <w:color w:val="auto"/>
              </w:rPr>
            </w:pPr>
          </w:p>
        </w:tc>
      </w:tr>
      <w:tr>
        <w:trPr>
          <w:trHeight w:val="238"/>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intangibles ($)</w:t>
            </w:r>
          </w:p>
        </w:tc>
        <w:tc>
          <w:tcPr>
            <w:tcW w:w="118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10"/>
        </w:trPr>
        <w:tc>
          <w:tcPr>
            <w:tcW w:w="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Washington State, USA</w:t>
            </w: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MW</w:t>
            </w:r>
          </w:p>
        </w:tc>
        <w:tc>
          <w:tcPr>
            <w:tcW w:w="2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termination date</w:t>
            </w:r>
          </w:p>
        </w:tc>
        <w:tc>
          <w:tcPr>
            <w:tcW w:w="31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Declining balance 4%</w:t>
            </w:r>
          </w:p>
        </w:tc>
      </w:tr>
      <w:tr>
        <w:trPr>
          <w:trHeight w:val="209"/>
        </w:trPr>
        <w:tc>
          <w:tcPr>
            <w:tcW w:w="8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912</w:t>
            </w:r>
          </w:p>
        </w:tc>
        <w:tc>
          <w:tcPr>
            <w:tcW w:w="118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6 MW</w:t>
            </w:r>
          </w:p>
        </w:tc>
        <w:tc>
          <w:tcPr>
            <w:tcW w:w="2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r>
      <w:tr>
        <w:trPr>
          <w:trHeight w:val="191"/>
        </w:trPr>
        <w:tc>
          <w:tcPr>
            <w:tcW w:w="8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2380" w:type="dxa"/>
            <w:vAlign w:val="bottom"/>
            <w:shd w:val="clear" w:color="auto" w:fill="CCEEFF"/>
          </w:tcPr>
          <w:p>
            <w:pPr>
              <w:ind w:left="440"/>
              <w:spacing w:after="0" w:line="191" w:lineRule="exact"/>
              <w:rPr>
                <w:sz w:val="20"/>
                <w:szCs w:val="20"/>
                <w:color w:val="auto"/>
              </w:rPr>
            </w:pPr>
            <w:r>
              <w:rPr>
                <w:rFonts w:ascii="Times New Roman" w:cs="Times New Roman" w:eastAsia="Times New Roman" w:hAnsi="Times New Roman"/>
                <w:sz w:val="18"/>
                <w:szCs w:val="18"/>
                <w:color w:val="auto"/>
              </w:rPr>
              <w:t>Baie-Comeau, Quebec</w:t>
            </w:r>
          </w:p>
        </w:tc>
        <w:tc>
          <w:tcPr>
            <w:tcW w:w="1480" w:type="dxa"/>
            <w:vAlign w:val="bottom"/>
            <w:shd w:val="clear" w:color="auto" w:fill="CCEEFF"/>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2,315</w:t>
            </w:r>
          </w:p>
        </w:tc>
        <w:tc>
          <w:tcPr>
            <w:tcW w:w="6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22</w:t>
            </w:r>
          </w:p>
        </w:tc>
        <w:tc>
          <w:tcPr>
            <w:tcW w:w="500" w:type="dxa"/>
            <w:vAlign w:val="bottom"/>
            <w:shd w:val="clear" w:color="auto" w:fill="CCEEFF"/>
          </w:tcPr>
          <w:p>
            <w:pPr>
              <w:jc w:val="right"/>
              <w:ind w:right="55"/>
              <w:spacing w:after="0" w:line="191" w:lineRule="exact"/>
              <w:rPr>
                <w:sz w:val="20"/>
                <w:szCs w:val="20"/>
                <w:color w:val="auto"/>
              </w:rPr>
            </w:pPr>
            <w:r>
              <w:rPr>
                <w:rFonts w:ascii="Times New Roman" w:cs="Times New Roman" w:eastAsia="Times New Roman" w:hAnsi="Times New Roman"/>
                <w:sz w:val="18"/>
                <w:szCs w:val="18"/>
                <w:color w:val="auto"/>
              </w:rPr>
              <w:t>MW</w:t>
            </w:r>
          </w:p>
        </w:tc>
        <w:tc>
          <w:tcPr>
            <w:tcW w:w="224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No termination date</w:t>
            </w:r>
          </w:p>
        </w:tc>
        <w:tc>
          <w:tcPr>
            <w:tcW w:w="3140" w:type="dxa"/>
            <w:vAlign w:val="bottom"/>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Straight-line over the lease term of the</w:t>
            </w:r>
          </w:p>
        </w:tc>
      </w:tr>
      <w:tr>
        <w:trPr>
          <w:trHeight w:val="234"/>
        </w:trPr>
        <w:tc>
          <w:tcPr>
            <w:tcW w:w="8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data center</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Paso Pe, Paraguay</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color w:val="auto"/>
              </w:rPr>
              <w:t>MW</w:t>
            </w:r>
            <w:r>
              <w:rPr>
                <w:rFonts w:ascii="Times New Roman" w:cs="Times New Roman" w:eastAsia="Times New Roman" w:hAnsi="Times New Roman"/>
                <w:sz w:val="25"/>
                <w:szCs w:val="25"/>
                <w:color w:val="auto"/>
                <w:vertAlign w:val="superscript"/>
              </w:rPr>
              <w:t>1</w:t>
            </w: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Ending in December 31, 2027  Straight-line over the access rights period</w:t>
            </w:r>
          </w:p>
        </w:tc>
      </w:tr>
      <w:tr>
        <w:trPr>
          <w:trHeight w:val="216"/>
        </w:trPr>
        <w:tc>
          <w:tcPr>
            <w:tcW w:w="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3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Yguazu, Paraguay</w:t>
            </w: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MW</w:t>
            </w:r>
            <w:r>
              <w:rPr>
                <w:rFonts w:ascii="Times New Roman" w:cs="Times New Roman" w:eastAsia="Times New Roman" w:hAnsi="Times New Roman"/>
                <w:sz w:val="25"/>
                <w:szCs w:val="25"/>
                <w:color w:val="auto"/>
                <w:vertAlign w:val="superscript"/>
              </w:rPr>
              <w:t>2</w:t>
            </w:r>
          </w:p>
        </w:tc>
        <w:tc>
          <w:tcPr>
            <w:tcW w:w="538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Ending in December 31, 2027  Straight-line over the access rights period</w:t>
            </w:r>
          </w:p>
        </w:tc>
      </w:tr>
      <w:tr>
        <w:trPr>
          <w:trHeight w:val="209"/>
        </w:trPr>
        <w:tc>
          <w:tcPr>
            <w:tcW w:w="8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3,801</w:t>
            </w:r>
          </w:p>
        </w:tc>
        <w:tc>
          <w:tcPr>
            <w:tcW w:w="118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172 MW</w:t>
            </w:r>
          </w:p>
        </w:tc>
        <w:tc>
          <w:tcPr>
            <w:tcW w:w="2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r>
      <w:tr>
        <w:trPr>
          <w:trHeight w:val="210"/>
        </w:trPr>
        <w:tc>
          <w:tcPr>
            <w:tcW w:w="8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r>
      <w:tr>
        <w:trPr>
          <w:trHeight w:val="223"/>
        </w:trPr>
        <w:tc>
          <w:tcPr>
            <w:tcW w:w="8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4,713</w:t>
            </w:r>
          </w:p>
        </w:tc>
        <w:tc>
          <w:tcPr>
            <w:tcW w:w="118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178 MW</w:t>
            </w:r>
          </w:p>
        </w:tc>
        <w:tc>
          <w:tcPr>
            <w:tcW w:w="22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w:t>
      </w:r>
    </w:p>
    <w:p>
      <w:pPr>
        <w:spacing w:after="0" w:line="198" w:lineRule="exact"/>
        <w:rPr>
          <w:sz w:val="20"/>
          <w:szCs w:val="20"/>
          <w:color w:val="auto"/>
        </w:rPr>
      </w:pPr>
    </w:p>
    <w:p>
      <w:pPr>
        <w:ind w:left="340" w:right="20" w:hanging="332"/>
        <w:spacing w:after="0" w:line="195" w:lineRule="auto"/>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May 2024, the Company finalized an amendment to the existing contract for an additional 100 MW of energy capacity for a total capacity of 200 MW.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5 and 14 to the 2023 Annual Financial Statements and Note 11 to the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46</w:t>
        <w:tab/>
        <w:t>Page</w:t>
      </w:r>
    </w:p>
    <w:p>
      <w:pPr>
        <w:sectPr>
          <w:pgSz w:w="11900" w:h="16838" w:orient="portrait"/>
          <w:cols w:equalWidth="0" w:num="1">
            <w:col w:w="11240"/>
          </w:cols>
          <w:pgMar w:left="320" w:top="33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19 to the Financial Statements and Note 22 to the 2023 Annual Financial Statements. Risks are related to foreign currency, credit, counterparty, liquidity, and concentration.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20 to the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Financial Statements, the Company has restated its consolidated statements of profit or loss and comprehensive profit or loss for the three months March 31, 2023 and its consolidated statements of cash flows for the three months March 31, 2023, which were previously filed on SEDAR+ and EDGAR. Subsequent to the original issuance of those financial statements, Management, with the assistance of outside counsel, conducted a review of the private placement financings which closed in 2021 (“2021 private placements’’) to determine if the warrants issued should be recognized as financial liabilities and accounted for at fair value through profit and loss rather than as equity instruments.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2021 private placement financings were comprised of common shares and warrants. The warrants are convertible into a fixed number of common shares of the Company but have a contingent cashless exercise clause (i.e., there was a contingent variability provision). In accordance with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variability in the number of its own shares delivered upon exercise of the warrants would result in a financial liability.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concluded that the proper accounting classification of the warrants was as financial liabilities and accounted for at fair value through profit and loss. Although the conditional settlement provisions attached to the warrants are unlikely to occur, they are deemed to be genuine, and, accordingly, the warrants should be recognized as financial liabilities.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made adjustments to the figures reported in the previously mentioned financial statements periods and present the warrants issued in connection with the private placement financings as financial liabilities as shown in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financial statements restatement, please refer to Note 3d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47</w:t>
        <w:tab/>
        <w:t>Page</w:t>
      </w:r>
    </w:p>
    <w:p>
      <w:pPr>
        <w:sectPr>
          <w:pgSz w:w="11900" w:h="16838" w:orient="portrait"/>
          <w:cols w:equalWidth="0" w:num="1">
            <w:col w:w="11240"/>
          </w:cols>
          <w:pgMar w:left="320" w:top="33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58"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internal controls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material weaknesses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preparation of the Company’s financial statements for the year ended December 31, 2023 and specifically, in connection with the accounting for private placement warrants that were issued in the fourth quarter of 2023, Management identified an error in its accounting for previously issued warrants that were issued in connection with certain private placement financings in 2021. Management has determined that the control over accounting for complex financing transactions did not operate effectively in 2021 as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and for the three months ended March 31, 2023, which has been reflected in the restated comparative periods (including an opening balance sheet as of January 1, 2022 and December 31, 2022, respectively) presented in the consolidated financial statements for the year ended December 31, 2023 and for the three months ended March 31, 2024, respectively.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Section 14 for more details about the material errors and related restatements. Management considers these restatements to constitute a material weakness that requires remediation, and Management is in the process of implementing remediation measures to address the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48</w:t>
        <w:tab/>
        <w:t>Page</w:t>
      </w:r>
    </w:p>
    <w:p>
      <w:pPr>
        <w:sectPr>
          <w:pgSz w:w="11900" w:h="16838" w:orient="portrait"/>
          <w:cols w:equalWidth="0" w:num="1">
            <w:col w:w="11240"/>
          </w:cols>
          <w:pgMar w:left="320" w:top="33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quarterly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financial instruments and review of financial statements. Management’s efforts are ongoing, and its remediation plan is expected to be completed during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the “Risk Factors” section of the MD&amp;A for the year ended December 31, 2023.</w:t>
      </w:r>
    </w:p>
    <w:p>
      <w:pPr>
        <w:spacing w:after="0" w:line="172"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ICFR that have materially affected, or are reasonably likely to materially affect, the Company’s ICFR during the period beginning on April 1, 2024 and ended June 30, 2024.</w:t>
      </w:r>
    </w:p>
    <w:p>
      <w:pPr>
        <w:spacing w:after="0" w:line="158"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AND SUBSEQUENT EVENTS</w:t>
      </w:r>
    </w:p>
    <w:p>
      <w:pPr>
        <w:spacing w:after="0" w:line="22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2024 ATM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July 1, 2024 to August 7, 2024, the Company issued 25,127,000 common shares through the 2024 ATM Program in exchange for gross proceeds of $67.9 million at an average share price of approximately $2.70. The Company received net proceeds of $65.8 million after paying commissions of $2.1 million to the sales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49</w:t>
        <w:tab/>
        <w:t>Page</w:t>
      </w:r>
    </w:p>
    <w:p>
      <w:pPr>
        <w:sectPr>
          <w:pgSz w:w="11900" w:h="16838" w:orient="portrait"/>
          <w:cols w:equalWidth="0" w:num="1">
            <w:col w:w="11240"/>
          </w:cols>
          <w:pgMar w:left="320" w:top="33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451,286,000 common shares outstanding, 13,055,000 vested and 4,027,000 unvested stock options, 17,122,000 warrants outstanding and 989,000 restricted stock units. There are no preferred shares or any other classes of shares outstanding.</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is subject to the acceptance of the Toronto Stock Exchange (the “TSX”) and shareholder ratification within six months of its adoption. The TSX has notified the Company that the TSX will defer its consideration of the acceptance of the July 2024 Rights Plan until (a) such time as it is satisfied that the appropriate securities common will not intervene pursuant to National Policy 62-202 and (b) the July 2024 Rights Plan is ratified by the shareholders of the Company by no later than January 24, 2025. A deferral of acceptance of the July 2024 Rights Plan by the TSX will not affect the adoption or operation of the July 2024 Rights Plan. The Board intends to recommend the ratification of the July 2024 Rights Plan at the Company’s upcoming special meeting of shareholders to be held on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50</w:t>
        <w:tab/>
        <w:t>Page</w:t>
      </w:r>
    </w:p>
    <w:p>
      <w:pPr>
        <w:sectPr>
          <w:pgSz w:w="11900" w:h="16838" w:orient="portrait"/>
          <w:cols w:equalWidth="0" w:num="1">
            <w:col w:w="11240"/>
          </w:cols>
          <w:pgMar w:left="320" w:top="33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CFO.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one 54 MW data center located in Cordoba, Argentina (with a current electrical infrastructure capacity of 55 MW). Refer to Section 6 - </w:t>
      </w:r>
      <w:r>
        <w:rPr>
          <w:rFonts w:ascii="Times New Roman" w:cs="Times New Roman" w:eastAsia="Times New Roman" w:hAnsi="Times New Roman"/>
          <w:sz w:val="18"/>
          <w:szCs w:val="18"/>
          <w:i w:val="1"/>
          <w:iCs w:val="1"/>
          <w:color w:val="auto"/>
        </w:rPr>
        <w:t>Expansion Projects - A. Argentina Expansion</w:t>
      </w:r>
      <w:r>
        <w:rPr>
          <w:rFonts w:ascii="Times New Roman" w:cs="Times New Roman" w:eastAsia="Times New Roman" w:hAnsi="Times New Roman"/>
          <w:sz w:val="18"/>
          <w:szCs w:val="18"/>
          <w:color w:val="auto"/>
        </w:rPr>
        <w:t xml:space="preserve"> of this MD&amp;A and the 2023 AIF under Section 5.2 </w:t>
      </w:r>
      <w:r>
        <w:rPr>
          <w:rFonts w:ascii="Times New Roman" w:cs="Times New Roman" w:eastAsia="Times New Roman" w:hAnsi="Times New Roman"/>
          <w:sz w:val="18"/>
          <w:szCs w:val="18"/>
          <w:i w:val="1"/>
          <w:iCs w:val="1"/>
          <w:color w:val="auto"/>
        </w:rPr>
        <w:t>- FUTURE GROWTH PLANS - ARGENTINA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2023 AIF,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operates a total of two data centers with an aggregate power capacity of 80 MW located in the city of Villarrica, Paraguay. Refer to Section 6</w:t>
      </w:r>
    </w:p>
    <w:p>
      <w:pPr>
        <w:spacing w:after="0" w:line="21" w:lineRule="exact"/>
        <w:rPr>
          <w:sz w:val="20"/>
          <w:szCs w:val="20"/>
          <w:color w:val="auto"/>
        </w:rPr>
      </w:pPr>
    </w:p>
    <w:p>
      <w:pPr>
        <w:ind w:firstLine="8"/>
        <w:spacing w:after="0" w:line="260" w:lineRule="auto"/>
        <w:tabs>
          <w:tab w:leader="none" w:pos="1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 B. Paraguay Expansion </w:t>
      </w:r>
      <w:r>
        <w:rPr>
          <w:rFonts w:ascii="Times New Roman" w:cs="Times New Roman" w:eastAsia="Times New Roman" w:hAnsi="Times New Roman"/>
          <w:sz w:val="18"/>
          <w:szCs w:val="18"/>
          <w:color w:val="auto"/>
        </w:rPr>
        <w:t>of this MD&amp;A and the 2023 AIF under Section 5.3</w:t>
      </w:r>
      <w:r>
        <w:rPr>
          <w:rFonts w:ascii="Times New Roman" w:cs="Times New Roman" w:eastAsia="Times New Roman" w:hAnsi="Times New Roman"/>
          <w:sz w:val="18"/>
          <w:szCs w:val="18"/>
          <w:i w:val="1"/>
          <w:iCs w:val="1"/>
          <w:color w:val="auto"/>
        </w:rPr>
        <w:t xml:space="preserve"> - FUTURE GROWTH PLANS - PARAGUAY EXPANSION.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data center or conducting the business of the Company as described herein and in the 2023 AIF,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4, 2024, Paraguay’s Senate initially proposed a 180-day blanket ban on cryptocurrency mining due to concerns over power theft and disruptions to the electricity supply. However, the Senate is reevaluating its position regarding the proposed ban. Senators are now exploring the possibility of leveraging Paraguay’s excess energy from the Itaipu hydropower plant to power Bitcoin mining operations, arguing that selling excess energy to Bitcoin miners could unlock substantial revenue streams and bolster Paraguay’s economy. The Paraguayan Senate held a public hearing on April 23, 2024 (the “Public Hearing”) to debate the merits and drawbacks of Bitcoin mining in the country. Lawmakers acknowledged the issues caused by illegal mining operations disrupting the power supply, but also recognized the potential economic benefits of embracing licensed mining. The Public Hearing appears to have shifted Paraguay’s stance towards exploring ways to regulate and monetize the industry through the use of the country’s abundant hydroelectric resources.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Public Hearing, two significant developments ensued in June 2024. Firstly, Congress in Paraguay sanctioned a bill, pending presidential approval, which increases penalties for illegal use of electricity, particularly targeting unauthorized crypto mining. Penalties range from fines to imprisonment up to 10 years, with provisions for equipment confiscation.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51</w:t>
        <w:tab/>
        <w:t>Page</w:t>
      </w:r>
    </w:p>
    <w:p>
      <w:pPr>
        <w:sectPr>
          <w:pgSz w:w="11900" w:h="16838" w:orient="portrait"/>
          <w:cols w:equalWidth="0" w:num="1">
            <w:col w:w="11240"/>
          </w:cols>
          <w:pgMar w:left="320" w:top="33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REGULATORY COMPLIANCE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Paraguay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Secondly, ANDE has issued a decree implementing an abrupt increase in tariffs for the cryptocurrency mining industry. The decree increased the electricity tariffs from 6% to 16%, a 10% increase, across various voltage categories. In response to these developments, the Paraguayan Chamber of Digital Asset Mining (the “Chamber”), to which the Company is a founding member, was created. This organization’s primary objective is to facilitate constructive dialogue with the government and ANDE, seeking consensus on optimal strategies to address the issue of illegal cryptocurrency mining. Concurrently, the Chamber aims to promote economic stability and maintain the business friendly environment that has rendered Paraguay an attractive destination for the cryptocurrency mining industry, while contributing to the Nation’s infrastructural development. Despite these challenges, the Company maintains its confidence in Paraguay’s potential as a favorable location for cryptocurrency mining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operates one 17 MW data center located in the State of Washington in the United States. Refer to Section 6 - </w:t>
      </w:r>
      <w:r>
        <w:rPr>
          <w:rFonts w:ascii="Times New Roman" w:cs="Times New Roman" w:eastAsia="Times New Roman" w:hAnsi="Times New Roman"/>
          <w:sz w:val="18"/>
          <w:szCs w:val="18"/>
          <w:i w:val="1"/>
          <w:iCs w:val="1"/>
          <w:color w:val="auto"/>
        </w:rPr>
        <w:t>Expansion Projects -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Washington Expansion </w:t>
      </w:r>
      <w:r>
        <w:rPr>
          <w:rFonts w:ascii="Times New Roman" w:cs="Times New Roman" w:eastAsia="Times New Roman" w:hAnsi="Times New Roman"/>
          <w:sz w:val="18"/>
          <w:szCs w:val="18"/>
          <w:color w:val="auto"/>
        </w:rPr>
        <w:t>of this MD&amp;A and the 2023 AIF under the Section 5.4</w:t>
      </w:r>
      <w:r>
        <w:rPr>
          <w:rFonts w:ascii="Times New Roman" w:cs="Times New Roman" w:eastAsia="Times New Roman" w:hAnsi="Times New Roman"/>
          <w:sz w:val="18"/>
          <w:szCs w:val="18"/>
          <w:i w:val="1"/>
          <w:iCs w:val="1"/>
          <w:color w:val="auto"/>
        </w:rPr>
        <w:t xml:space="preserve"> - FUTURE GROWTH PLANS - WASHINGTON EXPANSION.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Washington on the business of operating a data center or conducting the business of the Company as described herein and in the 2023 AIF, and as of the date of this MD&amp;A,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Quebec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 total of eight data centers with an aggregate power capacity of 159 MW located in the Province of Quebec, Canada. Refer to Section 6 - </w:t>
      </w:r>
      <w:r>
        <w:rPr>
          <w:rFonts w:ascii="Times New Roman" w:cs="Times New Roman" w:eastAsia="Times New Roman" w:hAnsi="Times New Roman"/>
          <w:sz w:val="18"/>
          <w:szCs w:val="18"/>
          <w:i w:val="1"/>
          <w:iCs w:val="1"/>
          <w:color w:val="auto"/>
        </w:rPr>
        <w:t>Expansion Projects - D. Canada Expansion</w:t>
      </w:r>
      <w:r>
        <w:rPr>
          <w:rFonts w:ascii="Times New Roman" w:cs="Times New Roman" w:eastAsia="Times New Roman" w:hAnsi="Times New Roman"/>
          <w:sz w:val="18"/>
          <w:szCs w:val="18"/>
          <w:color w:val="auto"/>
        </w:rPr>
        <w:t xml:space="preserve"> of this MD&amp;A and the 2023 AIF under the Section 5.5 </w:t>
      </w:r>
      <w:r>
        <w:rPr>
          <w:rFonts w:ascii="Times New Roman" w:cs="Times New Roman" w:eastAsia="Times New Roman" w:hAnsi="Times New Roman"/>
          <w:sz w:val="18"/>
          <w:szCs w:val="18"/>
          <w:i w:val="1"/>
          <w:iCs w:val="1"/>
          <w:color w:val="auto"/>
        </w:rPr>
        <w:t>- FUTURE GROWTH PLANS -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Quebec or Canada on the business of operating a data center or conducting the business of the Company as described herein and in the 2023 AIF, and as of the date of this MD&amp;A, the Company has not received any material notices or statements from regulatory authorities in Quebec or Canada that would negatively impact its operations in Quebec or Canada. The Company is not relying on any registrations, exemptions, or “no action” letters to conduct its business in Quebec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52</w:t>
        <w:tab/>
        <w:t>Page</w:t>
      </w:r>
    </w:p>
    <w:p>
      <w:pPr>
        <w:sectPr>
          <w:pgSz w:w="11900" w:h="16838" w:orient="portrait"/>
          <w:cols w:equalWidth="0" w:num="1">
            <w:col w:w="11240"/>
          </w:cols>
          <w:pgMar w:left="320" w:top="33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and is affected by several factors that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risks and uncertainties that Management considers as the most material to the Company’s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MD&amp;A for the year ended December 31, 2023, dated March 6, 2024 and Section 4.19 -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 Factor</w:t>
      </w:r>
      <w:r>
        <w:rPr>
          <w:rFonts w:ascii="Times New Roman" w:cs="Times New Roman" w:eastAsia="Times New Roman" w:hAnsi="Times New Roman"/>
          <w:sz w:val="18"/>
          <w:szCs w:val="18"/>
          <w:color w:val="auto"/>
        </w:rPr>
        <w:t xml:space="preserve"> in the 2023 AIF. These risks and uncertainties have not materially changed during the six months ended June 30, 2024, other than the risk described below, and hereby incorporated by reference.</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has been the subject of unsolicited interest from an investor which has been, and may continue to be, a distraction to management and employees and could have a material adverse impact on its business and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22, 2024, the Company received a proposal from an investor to acquire 100% of the common shares of Bitfarms (the “Unsolicited Proposal”). A special committee of the Board consisting solely of independent directors (the “Special Committee”) carefully considered the Unsolicited Proposal and determined it significantly undervalued the Company and its growth prospects. On June 24, 2024, the Unsolicited Proposal was withdrawn; however, the investor requisitioned a special meeting of shareholders for the purpose of having a majority of the Board comprised of its nominees and initiated a hearing before the Capital Markets Tribunal of the Ontario Securities Commission. The requisitioned special meeting of shareholders (the “Special Meeting”) is set to be held on October 29, 2024. The uncertainty regarding the Unsolicited Proposal, the Special Meeting and the possible future actions of the investor may be disruptive to the Company’s business, which could have a negative effect on its operations, financial condition or results of operations. Management and employee distraction related to the Unsolicited Proposal, the Special Meeting and the possible outcomes thereof may also adversely impact the Company’s ability to optimally conduct its business and pursue its strategic objectives.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events surrounding the Unsolicited Proposal, Special Meeting and related circumstances and the Company’s responses have required, and may continue to require, significant time and attention by Management and its Board and have required the Company, and may continue to require the Company, to incur significant legal and advisory fees and expenses. Further, actions taken by the investor referenced above or other third parties as a result of or in connection with the Unsolicited Proposal and Special Meeting, including a proxy contest and litigation by adverse parties, could disrupt the Company’s business, distract the Company from efforts to improve its business, cause the Company to incur substantial additional expenses, create perceived uncertainties among current and potential employees and other constituencies as to the Company’s future direction that may result in lost revenues or other business arrangements and the loss of potential business opportunities, and make it more difficult to attract and retain qualified personnel and business partners. Actions that the Board has taken, and may take in the future, in response to any offer or other related actions by the investor referenced above or other third parties, including the Unsolicited Proposal, or any other offer or proposal may result in litigation against the Company. In the event third parties initiate litigation against the Company, these actions could harm the Company’s business and have a material adverse effect on its results of operations. The Company also believes the future trading price of its common shares could be subject to wide price fluctuations based on uncertainty associated with the Unsolicited Proposal, the Special Meeting and any future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53</w:t>
        <w:tab/>
        <w:t>Page</w:t>
      </w:r>
    </w:p>
    <w:p>
      <w:pPr>
        <w:sectPr>
          <w:pgSz w:w="11900" w:h="16838" w:orient="portrait"/>
          <w:cols w:equalWidth="0" w:num="1">
            <w:col w:w="11240"/>
          </w:cols>
          <w:pgMar w:left="320" w:top="33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significant accounting judgments, estimates and assumptions are summarized in Note 4 to the 2023 Annual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MATERIAL ACCOUNTING POLICY INFORMATION AND NEW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to the 2023 Annual Financial Statements and Note 3 to the Financial Statements for more information regarding the Company’s material accounting policy information and new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54</w:t>
        <w:tab/>
        <w:t>Page</w:t>
      </w:r>
    </w:p>
    <w:p>
      <w:pPr>
        <w:sectPr>
          <w:pgSz w:w="11900" w:h="16838" w:orient="portrait"/>
          <w:cols w:equalWidth="0" w:num="1">
            <w:col w:w="11240"/>
          </w:cols>
          <w:pgMar w:left="320" w:top="33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80" w:hanging="272"/>
        <w:spacing w:after="0"/>
        <w:tabs>
          <w:tab w:leader="none" w:pos="28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 developments;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and those contained in the “Risk Factors” of the 2023 AIF.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55</w:t>
        <w:tab/>
        <w:t>Page</w:t>
      </w:r>
    </w:p>
    <w:p>
      <w:pPr>
        <w:sectPr>
          <w:pgSz w:w="11900" w:h="16838" w:orient="portrait"/>
          <w:cols w:equalWidth="0" w:num="1">
            <w:col w:w="11240"/>
          </w:cols>
          <w:pgMar w:left="320" w:top="33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CAUTIONARY NOTE REGARDING NON-IFRS AND OTHER FINANCIAL MEASURES AND RATIOS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9</w:t>
      </w:r>
    </w:p>
    <w:p>
      <w:pPr>
        <w:spacing w:after="0" w:line="3" w:lineRule="exact"/>
        <w:rPr>
          <w:sz w:val="20"/>
          <w:szCs w:val="20"/>
          <w:color w:val="auto"/>
        </w:rPr>
      </w:pPr>
    </w:p>
    <w:p>
      <w:pPr>
        <w:ind w:left="120" w:hanging="112"/>
        <w:spacing w:after="0"/>
        <w:tabs>
          <w:tab w:leader="none" w:pos="1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the MD&amp;A for more details.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including the Company’s 2023 AIF,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56</w:t>
        <w:tab/>
        <w:t>Page</w:t>
      </w:r>
    </w:p>
    <w:p>
      <w:pPr>
        <w:sectPr>
          <w:pgSz w:w="11900" w:h="16838" w:orient="portrait"/>
          <w:cols w:equalWidth="0" w:num="1">
            <w:col w:w="11240"/>
          </w:cols>
          <w:pgMar w:left="320" w:top="33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GLOSSARY OF TERMS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88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480" w:type="dxa"/>
            <w:vAlign w:val="bottom"/>
            <w:tcBorders>
              <w:top w:val="single" w:sz="8" w:color="auto"/>
              <w:bottom w:val="single" w:sz="8" w:color="auto"/>
            </w:tcBorders>
          </w:tcPr>
          <w:p>
            <w:pPr>
              <w:spacing w:after="0"/>
              <w:rPr>
                <w:sz w:val="19"/>
                <w:szCs w:val="19"/>
                <w:color w:val="auto"/>
              </w:rPr>
            </w:pPr>
          </w:p>
        </w:tc>
      </w:tr>
      <w:tr>
        <w:trPr>
          <w:trHeight w:val="191"/>
        </w:trPr>
        <w:tc>
          <w:tcPr>
            <w:tcW w:w="1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ASIC</w:t>
            </w:r>
          </w:p>
        </w:tc>
        <w:tc>
          <w:tcPr>
            <w:tcW w:w="93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w:t>
            </w:r>
          </w:p>
        </w:tc>
      </w:tr>
      <w:tr>
        <w:trPr>
          <w:trHeight w:val="234"/>
        </w:trPr>
        <w:tc>
          <w:tcPr>
            <w:tcW w:w="18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the SHA-256 algorithm.</w:t>
            </w:r>
          </w:p>
        </w:tc>
        <w:tc>
          <w:tcPr>
            <w:tcW w:w="480" w:type="dxa"/>
            <w:vAlign w:val="bottom"/>
            <w:tcBorders>
              <w:bottom w:val="single" w:sz="8" w:color="auto"/>
            </w:tcBorders>
          </w:tcPr>
          <w:p>
            <w:pPr>
              <w:spacing w:after="0"/>
              <w:rPr>
                <w:sz w:val="20"/>
                <w:szCs w:val="20"/>
                <w:color w:val="auto"/>
              </w:rPr>
            </w:pPr>
          </w:p>
        </w:tc>
      </w:tr>
      <w:tr>
        <w:trPr>
          <w:trHeight w:val="191"/>
        </w:trPr>
        <w:tc>
          <w:tcPr>
            <w:tcW w:w="1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Bitcoin (BTC)</w:t>
            </w:r>
          </w:p>
        </w:tc>
        <w:tc>
          <w:tcPr>
            <w:tcW w:w="93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Bitcoin network without the need for</w:t>
            </w:r>
          </w:p>
        </w:tc>
      </w:tr>
      <w:tr>
        <w:trPr>
          <w:trHeight w:val="216"/>
        </w:trPr>
        <w:tc>
          <w:tcPr>
            <w:tcW w:w="1880" w:type="dxa"/>
            <w:vAlign w:val="bottom"/>
          </w:tcPr>
          <w:p>
            <w:pPr>
              <w:spacing w:after="0"/>
              <w:rPr>
                <w:sz w:val="18"/>
                <w:szCs w:val="18"/>
                <w:color w:val="auto"/>
              </w:rPr>
            </w:pPr>
          </w:p>
        </w:tc>
        <w:tc>
          <w:tcPr>
            <w:tcW w:w="8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a</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public ledger known as the Blockchain. BTC is created when the Bitcoin network issues Block Rewards through the</w:t>
            </w:r>
          </w:p>
        </w:tc>
      </w:tr>
      <w:tr>
        <w:trPr>
          <w:trHeight w:val="234"/>
        </w:trPr>
        <w:tc>
          <w:tcPr>
            <w:tcW w:w="18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Mining process.</w:t>
            </w:r>
          </w:p>
        </w:tc>
        <w:tc>
          <w:tcPr>
            <w:tcW w:w="480" w:type="dxa"/>
            <w:vAlign w:val="bottom"/>
            <w:tcBorders>
              <w:bottom w:val="single" w:sz="8" w:color="auto"/>
            </w:tcBorders>
          </w:tcPr>
          <w:p>
            <w:pPr>
              <w:spacing w:after="0"/>
              <w:rPr>
                <w:sz w:val="20"/>
                <w:szCs w:val="20"/>
                <w:color w:val="auto"/>
              </w:rPr>
            </w:pPr>
          </w:p>
        </w:tc>
      </w:tr>
      <w:tr>
        <w:trPr>
          <w:trHeight w:val="191"/>
        </w:trPr>
        <w:tc>
          <w:tcPr>
            <w:tcW w:w="1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Block Reward</w:t>
            </w:r>
          </w:p>
        </w:tc>
        <w:tc>
          <w:tcPr>
            <w:tcW w:w="93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 cryptocurrency</w:t>
            </w:r>
          </w:p>
        </w:tc>
      </w:tr>
      <w:tr>
        <w:trPr>
          <w:trHeight w:val="234"/>
        </w:trPr>
        <w:tc>
          <w:tcPr>
            <w:tcW w:w="18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Miners for each block they successfully mine. The current block reward is 3.125 BTC per block.</w:t>
            </w:r>
          </w:p>
        </w:tc>
        <w:tc>
          <w:tcPr>
            <w:tcW w:w="480" w:type="dxa"/>
            <w:vAlign w:val="bottom"/>
            <w:tcBorders>
              <w:bottom w:val="single" w:sz="8" w:color="auto"/>
            </w:tcBorders>
          </w:tcPr>
          <w:p>
            <w:pPr>
              <w:spacing w:after="0"/>
              <w:rPr>
                <w:sz w:val="20"/>
                <w:szCs w:val="20"/>
                <w:color w:val="auto"/>
              </w:rPr>
            </w:pPr>
          </w:p>
        </w:tc>
      </w:tr>
      <w:tr>
        <w:trPr>
          <w:trHeight w:val="191"/>
        </w:trPr>
        <w:tc>
          <w:tcPr>
            <w:tcW w:w="1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Blockchain</w:t>
            </w:r>
          </w:p>
        </w:tc>
        <w:tc>
          <w:tcPr>
            <w:tcW w:w="93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Blockchain grows as new sets of data, or ‘blocks’, are added to it through Mining. Each block contains a timestamp and a</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link to the previous block, such that the series of blocks form a continuous chain.  Given that each block has a separate</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hash and each hash requires information from the previous block, altering information an established block would require</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recalculating all the hashes on the Blockchain which would require an enormous and impracticable amount of computing</w:t>
            </w:r>
          </w:p>
        </w:tc>
      </w:tr>
      <w:tr>
        <w:trPr>
          <w:trHeight w:val="234"/>
        </w:trPr>
        <w:tc>
          <w:tcPr>
            <w:tcW w:w="18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power. As a result, once a block is added to the Blockchain it is very difficult to edit and impossible to delete.</w:t>
            </w:r>
          </w:p>
        </w:tc>
        <w:tc>
          <w:tcPr>
            <w:tcW w:w="480" w:type="dxa"/>
            <w:vAlign w:val="bottom"/>
            <w:tcBorders>
              <w:bottom w:val="single" w:sz="8" w:color="auto"/>
            </w:tcBorders>
          </w:tcPr>
          <w:p>
            <w:pPr>
              <w:spacing w:after="0"/>
              <w:rPr>
                <w:sz w:val="20"/>
                <w:szCs w:val="20"/>
                <w:color w:val="auto"/>
              </w:rPr>
            </w:pPr>
          </w:p>
        </w:tc>
      </w:tr>
      <w:tr>
        <w:trPr>
          <w:trHeight w:val="209"/>
        </w:trPr>
        <w:tc>
          <w:tcPr>
            <w:tcW w:w="1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Exahash or EH/s</w:t>
            </w: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One quintillion (1,000,000,000,000,000,000) hashes or one million Terahash per second.</w:t>
            </w:r>
          </w:p>
        </w:tc>
        <w:tc>
          <w:tcPr>
            <w:tcW w:w="480" w:type="dxa"/>
            <w:vAlign w:val="bottom"/>
            <w:tcBorders>
              <w:bottom w:val="single" w:sz="8" w:color="auto"/>
            </w:tcBorders>
          </w:tcPr>
          <w:p>
            <w:pPr>
              <w:spacing w:after="0"/>
              <w:rPr>
                <w:sz w:val="18"/>
                <w:szCs w:val="18"/>
                <w:color w:val="auto"/>
              </w:rPr>
            </w:pPr>
          </w:p>
        </w:tc>
      </w:tr>
      <w:tr>
        <w:trPr>
          <w:trHeight w:val="191"/>
        </w:trPr>
        <w:tc>
          <w:tcPr>
            <w:tcW w:w="1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Hash</w:t>
            </w:r>
          </w:p>
        </w:tc>
        <w:tc>
          <w:tcPr>
            <w:tcW w:w="93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w:t>
            </w:r>
          </w:p>
        </w:tc>
      </w:tr>
      <w:tr>
        <w:trPr>
          <w:trHeight w:val="234"/>
        </w:trPr>
        <w:tc>
          <w:tcPr>
            <w:tcW w:w="18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Bitcoin transactions is the SHA-256 algorithm.</w:t>
            </w:r>
          </w:p>
        </w:tc>
        <w:tc>
          <w:tcPr>
            <w:tcW w:w="480" w:type="dxa"/>
            <w:vAlign w:val="bottom"/>
            <w:tcBorders>
              <w:bottom w:val="single" w:sz="8" w:color="auto"/>
            </w:tcBorders>
          </w:tcPr>
          <w:p>
            <w:pPr>
              <w:spacing w:after="0"/>
              <w:rPr>
                <w:sz w:val="20"/>
                <w:szCs w:val="20"/>
                <w:color w:val="auto"/>
              </w:rPr>
            </w:pPr>
          </w:p>
        </w:tc>
      </w:tr>
      <w:tr>
        <w:trPr>
          <w:trHeight w:val="191"/>
        </w:trPr>
        <w:tc>
          <w:tcPr>
            <w:tcW w:w="1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Hashrate</w:t>
            </w:r>
          </w:p>
        </w:tc>
        <w:tc>
          <w:tcPr>
            <w:tcW w:w="93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r>
      <w:tr>
        <w:trPr>
          <w:trHeight w:val="234"/>
        </w:trPr>
        <w:tc>
          <w:tcPr>
            <w:tcW w:w="18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cryptocurrency.</w:t>
            </w:r>
          </w:p>
        </w:tc>
        <w:tc>
          <w:tcPr>
            <w:tcW w:w="480" w:type="dxa"/>
            <w:vAlign w:val="bottom"/>
            <w:tcBorders>
              <w:bottom w:val="single" w:sz="8" w:color="auto"/>
            </w:tcBorders>
          </w:tcPr>
          <w:p>
            <w:pPr>
              <w:spacing w:after="0"/>
              <w:rPr>
                <w:sz w:val="20"/>
                <w:szCs w:val="20"/>
                <w:color w:val="auto"/>
              </w:rPr>
            </w:pPr>
          </w:p>
        </w:tc>
      </w:tr>
      <w:tr>
        <w:trPr>
          <w:trHeight w:val="191"/>
        </w:trPr>
        <w:tc>
          <w:tcPr>
            <w:tcW w:w="1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Megawatt or MW</w:t>
            </w:r>
          </w:p>
        </w:tc>
        <w:tc>
          <w:tcPr>
            <w:tcW w:w="93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w:t>
            </w:r>
          </w:p>
        </w:tc>
      </w:tr>
      <w:tr>
        <w:trPr>
          <w:trHeight w:val="234"/>
        </w:trPr>
        <w:tc>
          <w:tcPr>
            <w:tcW w:w="18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number of megawatts of electricity per hour that is available for use.</w:t>
            </w:r>
          </w:p>
        </w:tc>
        <w:tc>
          <w:tcPr>
            <w:tcW w:w="480" w:type="dxa"/>
            <w:vAlign w:val="bottom"/>
            <w:tcBorders>
              <w:bottom w:val="single" w:sz="8" w:color="auto"/>
            </w:tcBorders>
          </w:tcPr>
          <w:p>
            <w:pPr>
              <w:spacing w:after="0"/>
              <w:rPr>
                <w:sz w:val="20"/>
                <w:szCs w:val="20"/>
                <w:color w:val="auto"/>
              </w:rPr>
            </w:pPr>
          </w:p>
        </w:tc>
      </w:tr>
      <w:tr>
        <w:trPr>
          <w:trHeight w:val="210"/>
        </w:trPr>
        <w:tc>
          <w:tcPr>
            <w:tcW w:w="1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ASICs used by the Company to perform Mining.</w:t>
            </w:r>
          </w:p>
        </w:tc>
        <w:tc>
          <w:tcPr>
            <w:tcW w:w="480" w:type="dxa"/>
            <w:vAlign w:val="bottom"/>
            <w:tcBorders>
              <w:bottom w:val="single" w:sz="8" w:color="auto"/>
            </w:tcBorders>
          </w:tcPr>
          <w:p>
            <w:pPr>
              <w:spacing w:after="0"/>
              <w:rPr>
                <w:sz w:val="18"/>
                <w:szCs w:val="18"/>
                <w:color w:val="auto"/>
              </w:rPr>
            </w:pPr>
          </w:p>
        </w:tc>
      </w:tr>
      <w:tr>
        <w:trPr>
          <w:trHeight w:val="191"/>
        </w:trPr>
        <w:tc>
          <w:tcPr>
            <w:tcW w:w="1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Mining</w:t>
            </w:r>
          </w:p>
        </w:tc>
        <w:tc>
          <w:tcPr>
            <w:tcW w:w="93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services, Bitcoin Miners collect transaction fees for the transactions they confirm, along with newly created BTC as Block</w:t>
            </w:r>
          </w:p>
        </w:tc>
      </w:tr>
      <w:tr>
        <w:trPr>
          <w:trHeight w:val="234"/>
        </w:trPr>
        <w:tc>
          <w:tcPr>
            <w:tcW w:w="18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Rewards.</w:t>
            </w:r>
          </w:p>
        </w:tc>
        <w:tc>
          <w:tcPr>
            <w:tcW w:w="480" w:type="dxa"/>
            <w:vAlign w:val="bottom"/>
            <w:tcBorders>
              <w:bottom w:val="single" w:sz="8" w:color="auto"/>
            </w:tcBorders>
          </w:tcPr>
          <w:p>
            <w:pPr>
              <w:spacing w:after="0"/>
              <w:rPr>
                <w:sz w:val="20"/>
                <w:szCs w:val="20"/>
                <w:color w:val="auto"/>
              </w:rPr>
            </w:pPr>
          </w:p>
        </w:tc>
      </w:tr>
      <w:tr>
        <w:trPr>
          <w:trHeight w:val="191"/>
        </w:trPr>
        <w:tc>
          <w:tcPr>
            <w:tcW w:w="1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Mining Pool</w:t>
            </w:r>
          </w:p>
        </w:tc>
        <w:tc>
          <w:tcPr>
            <w:tcW w:w="936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w:t>
            </w:r>
          </w:p>
        </w:tc>
      </w:tr>
      <w:tr>
        <w:trPr>
          <w:trHeight w:val="216"/>
        </w:trPr>
        <w:tc>
          <w:tcPr>
            <w:tcW w:w="188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increase the probability of finding a block on the BTC Blockchain. Mining Pools administer regular payouts to mitigate the</w:t>
            </w:r>
          </w:p>
        </w:tc>
      </w:tr>
      <w:tr>
        <w:trPr>
          <w:trHeight w:val="234"/>
        </w:trPr>
        <w:tc>
          <w:tcPr>
            <w:tcW w:w="18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risk of Miners operating for a prolonged period of time without finding a block.</w:t>
            </w:r>
          </w:p>
        </w:tc>
        <w:tc>
          <w:tcPr>
            <w:tcW w:w="480" w:type="dxa"/>
            <w:vAlign w:val="bottom"/>
            <w:tcBorders>
              <w:bottom w:val="single" w:sz="8" w:color="auto"/>
            </w:tcBorders>
          </w:tcPr>
          <w:p>
            <w:pPr>
              <w:spacing w:after="0"/>
              <w:rPr>
                <w:sz w:val="20"/>
                <w:szCs w:val="20"/>
                <w:color w:val="auto"/>
              </w:rPr>
            </w:pPr>
          </w:p>
        </w:tc>
      </w:tr>
      <w:tr>
        <w:trPr>
          <w:trHeight w:val="460"/>
        </w:trPr>
        <w:tc>
          <w:tcPr>
            <w:tcW w:w="188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216"/>
        </w:trPr>
        <w:tc>
          <w:tcPr>
            <w:tcW w:w="1880" w:type="dxa"/>
            <w:vAlign w:val="bottom"/>
          </w:tcPr>
          <w:p>
            <w:pPr>
              <w:spacing w:after="0"/>
              <w:rPr>
                <w:sz w:val="18"/>
                <w:szCs w:val="18"/>
                <w:color w:val="auto"/>
              </w:rPr>
            </w:pPr>
          </w:p>
        </w:tc>
        <w:tc>
          <w:tcPr>
            <w:tcW w:w="8800" w:type="dxa"/>
            <w:vAlign w:val="bottom"/>
            <w:tcBorders>
              <w:right w:val="single" w:sz="8" w:color="auto"/>
            </w:tcBorders>
          </w:tcPr>
          <w:p>
            <w:pPr>
              <w:ind w:left="850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33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GLOSSARY OF TERMS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340" w:type="dxa"/>
            <w:vAlign w:val="bottom"/>
            <w:tcBorders>
              <w:top w:val="single" w:sz="8" w:color="auto"/>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19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Network Difficulty</w:t>
            </w:r>
          </w:p>
        </w:tc>
        <w:tc>
          <w:tcPr>
            <w:tcW w:w="9340" w:type="dxa"/>
            <w:vAlign w:val="bottom"/>
            <w:gridSpan w:val="2"/>
          </w:tcPr>
          <w:p>
            <w:pPr>
              <w:ind w:left="420"/>
              <w:spacing w:after="0" w:line="191" w:lineRule="exact"/>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 network</w:t>
            </w:r>
          </w:p>
        </w:tc>
      </w:tr>
      <w:tr>
        <w:trPr>
          <w:trHeight w:val="216"/>
        </w:trPr>
        <w:tc>
          <w:tcPr>
            <w:tcW w:w="190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protocol automatically adjusts Network Difficulty by changing the target every 2,016 blocks hashed based on the time it</w:t>
            </w:r>
          </w:p>
        </w:tc>
      </w:tr>
      <w:tr>
        <w:trPr>
          <w:trHeight w:val="216"/>
        </w:trPr>
        <w:tc>
          <w:tcPr>
            <w:tcW w:w="190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took for the total computing power used in Bitcoin Mining to solve the previous 2,016 blocks such that the average time to</w:t>
            </w:r>
          </w:p>
        </w:tc>
      </w:tr>
      <w:tr>
        <w:trPr>
          <w:trHeight w:val="234"/>
        </w:trPr>
        <w:tc>
          <w:tcPr>
            <w:tcW w:w="19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solve each block is ten minutes.</w:t>
            </w:r>
          </w:p>
        </w:tc>
      </w:tr>
      <w:tr>
        <w:trPr>
          <w:trHeight w:val="191"/>
        </w:trPr>
        <w:tc>
          <w:tcPr>
            <w:tcW w:w="19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Network Hashrate</w:t>
            </w:r>
          </w:p>
        </w:tc>
        <w:tc>
          <w:tcPr>
            <w:tcW w:w="9340" w:type="dxa"/>
            <w:vAlign w:val="bottom"/>
            <w:gridSpan w:val="2"/>
          </w:tcPr>
          <w:p>
            <w:pPr>
              <w:ind w:left="420"/>
              <w:spacing w:after="0" w:line="191" w:lineRule="exact"/>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w:t>
            </w:r>
          </w:p>
        </w:tc>
      </w:tr>
      <w:tr>
        <w:trPr>
          <w:trHeight w:val="234"/>
        </w:trPr>
        <w:tc>
          <w:tcPr>
            <w:tcW w:w="19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209"/>
        </w:trPr>
        <w:tc>
          <w:tcPr>
            <w:tcW w:w="1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Petahash or PH/s</w:t>
            </w:r>
          </w:p>
        </w:tc>
        <w:tc>
          <w:tcPr>
            <w:tcW w:w="93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One quadrillion (1,000,000,000,000,000) hashes or one thousand Terahash per second.</w:t>
            </w:r>
          </w:p>
        </w:tc>
      </w:tr>
      <w:tr>
        <w:trPr>
          <w:trHeight w:val="191"/>
        </w:trPr>
        <w:tc>
          <w:tcPr>
            <w:tcW w:w="19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SHA-256</w:t>
            </w:r>
          </w:p>
        </w:tc>
        <w:tc>
          <w:tcPr>
            <w:tcW w:w="9340" w:type="dxa"/>
            <w:vAlign w:val="bottom"/>
            <w:gridSpan w:val="2"/>
          </w:tcPr>
          <w:p>
            <w:pPr>
              <w:ind w:left="420"/>
              <w:spacing w:after="0" w:line="191" w:lineRule="exact"/>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w:t>
            </w:r>
          </w:p>
        </w:tc>
      </w:tr>
      <w:tr>
        <w:trPr>
          <w:trHeight w:val="234"/>
        </w:trPr>
        <w:tc>
          <w:tcPr>
            <w:tcW w:w="19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the cryptographic hash function used within the Bitcoin network to validate transactions on the Bitcoin Blockchain.</w:t>
            </w:r>
          </w:p>
        </w:tc>
      </w:tr>
      <w:tr>
        <w:trPr>
          <w:trHeight w:val="191"/>
        </w:trPr>
        <w:tc>
          <w:tcPr>
            <w:tcW w:w="19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Synthetic HODL</w:t>
            </w:r>
          </w:p>
        </w:tc>
        <w:tc>
          <w:tcPr>
            <w:tcW w:w="9340" w:type="dxa"/>
            <w:vAlign w:val="bottom"/>
            <w:gridSpan w:val="2"/>
          </w:tcPr>
          <w:p>
            <w:pPr>
              <w:ind w:left="420"/>
              <w:spacing w:after="0" w:line="191" w:lineRule="exact"/>
              <w:rPr>
                <w:sz w:val="20"/>
                <w:szCs w:val="20"/>
                <w:color w:val="auto"/>
              </w:rPr>
            </w:pPr>
            <w:r>
              <w:rPr>
                <w:rFonts w:ascii="Times New Roman" w:cs="Times New Roman" w:eastAsia="Times New Roman" w:hAnsi="Times New Roman"/>
                <w:sz w:val="18"/>
                <w:szCs w:val="18"/>
                <w:color w:val="auto"/>
              </w:rPr>
              <w:t>Synthetic HODL is the Company’s use of financial instruments to generate BTC exposure with inherent risk management,</w:t>
            </w:r>
          </w:p>
        </w:tc>
      </w:tr>
      <w:tr>
        <w:trPr>
          <w:trHeight w:val="234"/>
        </w:trPr>
        <w:tc>
          <w:tcPr>
            <w:tcW w:w="19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capital efficiency and leverage characteristics.</w:t>
            </w:r>
          </w:p>
        </w:tc>
      </w:tr>
      <w:tr>
        <w:trPr>
          <w:trHeight w:val="210"/>
        </w:trPr>
        <w:tc>
          <w:tcPr>
            <w:tcW w:w="1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Terahash or TH/s</w:t>
            </w:r>
          </w:p>
        </w:tc>
        <w:tc>
          <w:tcPr>
            <w:tcW w:w="93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One trillion (1,000,000,000,000) hashes or one Terahash per second.</w:t>
            </w:r>
          </w:p>
        </w:tc>
      </w:tr>
      <w:tr>
        <w:trPr>
          <w:trHeight w:val="433"/>
        </w:trPr>
        <w:tc>
          <w:tcPr>
            <w:tcW w:w="190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16"/>
        </w:trPr>
        <w:tc>
          <w:tcPr>
            <w:tcW w:w="1900" w:type="dxa"/>
            <w:vAlign w:val="bottom"/>
          </w:tcPr>
          <w:p>
            <w:pPr>
              <w:spacing w:after="0"/>
              <w:rPr>
                <w:sz w:val="18"/>
                <w:szCs w:val="18"/>
                <w:color w:val="auto"/>
              </w:rPr>
            </w:pPr>
          </w:p>
        </w:tc>
        <w:tc>
          <w:tcPr>
            <w:tcW w:w="8780" w:type="dxa"/>
            <w:vAlign w:val="bottom"/>
            <w:tcBorders>
              <w:right w:val="single" w:sz="8" w:color="auto"/>
            </w:tcBorders>
          </w:tcPr>
          <w:p>
            <w:pPr>
              <w:ind w:left="8480"/>
              <w:spacing w:after="0"/>
              <w:rPr>
                <w:sz w:val="20"/>
                <w:szCs w:val="20"/>
                <w:color w:val="auto"/>
              </w:rPr>
            </w:pPr>
            <w:r>
              <w:rPr>
                <w:rFonts w:ascii="Times New Roman" w:cs="Times New Roman" w:eastAsia="Times New Roman" w:hAnsi="Times New Roman"/>
                <w:sz w:val="18"/>
                <w:szCs w:val="18"/>
                <w:color w:val="auto"/>
              </w:rPr>
              <w:t>58</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33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 Gagnon, Chief Executive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June 30,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April 1, 2024 and ended on June 30, 2024 that has materially affected, or is reasonably likely to materially affect, the issuer’s ICFR.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Chief Financial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June 30,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right="2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April 1, 2024 and ended on June 30, 2024 that has materially affected, or is reasonably likely to materially affect, the issuer’s ICFR.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 MATERIAL CHANGE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August 8,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154305</wp:posOffset>
            </wp:positionV>
            <wp:extent cx="1739900" cy="4546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173990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Reports Second Quarter 2024 Results</w:t>
      </w:r>
    </w:p>
    <w:p>
      <w:pPr>
        <w:spacing w:after="0" w:line="40" w:lineRule="exact"/>
        <w:rPr>
          <w:sz w:val="20"/>
          <w:szCs w:val="20"/>
          <w:color w:val="auto"/>
        </w:rPr>
      </w:pPr>
    </w:p>
    <w:p>
      <w:pPr>
        <w:jc w:val="center"/>
        <w:ind w:left="660" w:right="2420"/>
        <w:spacing w:after="0" w:line="249" w:lineRule="auto"/>
        <w:rPr>
          <w:sz w:val="20"/>
          <w:szCs w:val="20"/>
          <w:color w:val="auto"/>
        </w:rPr>
      </w:pPr>
      <w:r>
        <w:rPr>
          <w:rFonts w:ascii="Times New Roman" w:cs="Times New Roman" w:eastAsia="Times New Roman" w:hAnsi="Times New Roman"/>
          <w:sz w:val="18"/>
          <w:szCs w:val="18"/>
          <w:color w:val="auto"/>
        </w:rPr>
        <w:t>- Revenue of $42 million, down 16% Q/Q and up 17% Y/Y - - Gross mining margin of 51%, compared to 64% in Q1 2024 and 48% in Q2 2023 - - Current hashrate of 11.1 EH/s, up from 6.5 EH/s in Q1 2024 -</w:t>
      </w:r>
    </w:p>
    <w:p>
      <w:pPr>
        <w:spacing w:after="0" w:line="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 Current efficiency of 25 w/TH, a 26% improvement from Q1 2024 -</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 On track to achieve guidance of 21 EH/s and 21 w/TH in 2024 -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Increased MW capacity by 220 MW, bringing total to 648 and supporting over 35 EH/s in 2025 -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Special Committee concludes strategic alternatives review process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(August 8, 2024) </w:t>
      </w:r>
      <w:r>
        <w:rPr>
          <w:rFonts w:ascii="Times New Roman" w:cs="Times New Roman" w:eastAsia="Times New Roman" w:hAnsi="Times New Roman"/>
          <w:sz w:val="18"/>
          <w:szCs w:val="18"/>
          <w:color w:val="auto"/>
        </w:rPr>
        <w:t>- Bitfarms Ltd. (Nasdaq/TSX: BITF), a global vertically integrated Bitcoin data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reported its financial results for the second quarter ended June 30, 2024. All financial references are in U.S. dollars.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Bitfarms made significant progress expanding its geographically diversified portfolio, adding 220 MW of capacity in Paraguay and Pennsylvania and energizing the Company’s largest site to-date in Paso Pe, Paraguay.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new 120 MW site in Sharon, PA, which is on the PJM Interconnection, once the agreement is finalized, provides long-term access to low-cost U.S. energy and flexible power trading options. The PJM grid enjoys an abundant energy supply that is rapidly adding renewable capacity and contributing to the reduction of greenhouse gas emissions in the U.S. Importantly, the site is well-suited for a wide range of opportunities beyond Bitcoin mining, including HPC/AI.</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South America, Bitfarms energized its 70 MW site in Paso Pe, making it the Company’s largest site by both EH and MW. The Company also signed an agreement for an additional 100 MW in Yguazu, bringing its total contracted power in Paraguay to 280 MW in the first half of 2025 and making Bitfarms the largest miner in the region. South America remains a highly strategic geography for Bitfarms, with favorable power contracts and access to reliable, sustainable energy.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recently appointed Ben Gagnon, a seasoned leader with significant experience in Bitcoin mining, as Chief Executive Officer. Mr. Gagnon has been with the Company for five years and previously served as Chief Mining Officer, where he was integral in establishing the Company’s fleet upgrade and transformative 2024 growth plan.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 am honored to step into the CEO role at such a pivotal time for the Company,” stated Mr. Gagnon. “During the quarter, we made significant strides to position Bitfarms for accelerated growth and efficiency gains in the second half of the year and into 2025. We also continued to expand and diversify the business through new site agreements. Our new site in Sharon, PA represents Bitfarms' first foray into the PJM region, which we believe is the most attractive energy market in the U.S, and one in which we hope to further grow our footprint. This site, in combination with our new megawatts in South America, positions Bitfarms to reach over 35 EH/s in 2025, representing 67% growth from our year-end target of 21 EH/s. Over the next few years, we will continue executing our growth strategy with a sharp focus on U.S. expansion and diversification beyond Bitcoin mining.”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Jeff Lucas, Bitfarms Chief Financial Officer, stated “Our robust balance sheet and capital efficient growth strategy provides us with exceptional financial flexibility. Our 2024 growth and efficiency improvement plans are fully funded with sufficient liquidity for the infrastructure buildout and miner procurements needed to enable us to achieve 21 EH/s and 21w/TH by year-end.”</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Strategic Alternatives Review Process</w:t>
      </w:r>
    </w:p>
    <w:p>
      <w:pPr>
        <w:spacing w:after="0" w:line="3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 also announced that the Special Committee of the Bitfarms Board of Directors, comprised of solely independent directors, has concluded the strategic alternatives review process announced on May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2024. Following the completion of that process, the Special Committee unanimously determined that continuing to execute Bitfarms’ strategic plan as an independent public company is in the best interest of the Company and its shareholders at this time. The Board and management team remain open to reviewing any and all opportunities that may deliver value to shareholders.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2024 &amp; Recent Operating Highlights</w:t>
      </w:r>
    </w:p>
    <w:p>
      <w:pPr>
        <w:spacing w:after="0" w:line="31" w:lineRule="exact"/>
        <w:rPr>
          <w:sz w:val="20"/>
          <w:szCs w:val="20"/>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hashrate of 11.1 EH/s, up from 6.5 EH/s in Q1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Averaged 6.7 BTC per day in daily production for Q2 2024.</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Center Portfolio Expansion &amp; Fleet Upgrade</w:t>
      </w:r>
    </w:p>
    <w:p>
      <w:pPr>
        <w:spacing w:after="0" w:line="3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agreement to lease a site in Sharon, Pennsylvania, providing, once finalized, immediate capacity of 12 MW with further development capacity up to 108 MW.</w:t>
      </w:r>
    </w:p>
    <w:p>
      <w:pPr>
        <w:ind w:left="1300" w:hanging="320"/>
        <w:spacing w:after="0" w:line="250"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Finalized an amendment to the existing energy contract at Yguazu facility for an additional 100 MW of energy capacity for a total capacity of 200 MW.</w:t>
      </w:r>
    </w:p>
    <w:p>
      <w:pPr>
        <w:ind w:left="1300" w:hanging="320"/>
        <w:spacing w:after="0"/>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Deployed 39,400 miners across 9 facilities located in Canada, the US, and Paraguay.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2024 Financial Highlights</w:t>
      </w:r>
    </w:p>
    <w:p>
      <w:pPr>
        <w:spacing w:after="0" w:line="31" w:lineRule="exact"/>
        <w:rPr>
          <w:sz w:val="20"/>
          <w:szCs w:val="20"/>
          <w:color w:val="auto"/>
        </w:rPr>
      </w:pPr>
    </w:p>
    <w:p>
      <w:pPr>
        <w:ind w:left="660" w:hanging="328"/>
        <w:spacing w:after="0" w:line="250"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$42 million, down 16% Q/Q due to the decrease in block rewards following the BTC halving event that occurred on April 19, 2024.</w:t>
      </w: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and gross mining margin* of $21 million and 51%, respectively, down from $31 million and 64% in Q1 2024,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of $12 million, down 6% Q/Q.</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$24 million, which included $46 million accelerated depreciation on older miners, compared to an operating loss of $24 million in Q1 2024, which included $19 million accelerated depreciation on older miners in connection with the transformative fleet upgrade.</w:t>
      </w:r>
    </w:p>
    <w:p>
      <w:pPr>
        <w:jc w:val="both"/>
        <w:ind w:left="660" w:hanging="328"/>
        <w:spacing w:after="0" w:line="250"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$27 million, or $(0.07) per basic and diluted share which included a $1 million non-cash expense for revaluation of warrant liabilities in connection with 2021 and 2023 financing activities. This compares to a net loss of $6 million, or $(0.02) per basic and diluted share in Q1 2024, which included a $9 million non-cash gain for revaluation of warrant liabilities.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$12 million, or 28% of revenue, down from $23 million, or 46% of revenue, in Q1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earned 614 BTC at an average direct cost of production per BTC* of $30,600, compared to $18,400 in Q1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cost of production per BTC* was $47,300 in Q2 2024, up from $27,900 in Q1 2024 due to less quantity of BTC earned.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total liquidity** of $195 million, comprised of $139 million in cash and 905 BTC valued at $57 million based on a BTC price of $62,700 at June 30, 2024. As of July 31, 2024, the Company held 1,016 BTC.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2024 and Recent Financing Activities</w:t>
      </w:r>
    </w:p>
    <w:p>
      <w:pPr>
        <w:spacing w:after="0" w:line="31" w:lineRule="exact"/>
        <w:rPr>
          <w:sz w:val="20"/>
          <w:szCs w:val="20"/>
          <w:color w:val="auto"/>
        </w:rPr>
      </w:pPr>
    </w:p>
    <w:p>
      <w:pPr>
        <w:ind w:left="660" w:right="20" w:hanging="328"/>
        <w:spacing w:after="0" w:line="250"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515 BTC at an average price of $65,500 for total proceeds of $34 million in Q2 2024 and sold 142 of the 253 BTC earned during July 2024, generating total proceeds of $9 million. A portion of the funds was used to pay capital expenditures.</w:t>
      </w:r>
    </w:p>
    <w:p>
      <w:pPr>
        <w:ind w:left="660" w:hanging="328"/>
        <w:spacing w:after="0" w:line="250"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111 BTC to treasury in July 2024 for a total of 1,016 BTC held in treasury, representing a total value of $67 million based on a $66,100 BTC price on July 31, 2024.</w:t>
      </w:r>
    </w:p>
    <w:p>
      <w:pPr>
        <w:ind w:left="660" w:hanging="328"/>
        <w:spacing w:after="0" w:line="192" w:lineRule="auto"/>
        <w:tabs>
          <w:tab w:leader="none" w:pos="660" w:val="left"/>
        </w:tabs>
        <w:numPr>
          <w:ilvl w:val="0"/>
          <w:numId w:val="1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Synthetic HODL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5"/>
          <w:szCs w:val="15"/>
          <w:color w:val="auto"/>
        </w:rPr>
        <w:t xml:space="preserve"> of 233 long-dated BTC call options at July 31, 2024.</w:t>
      </w:r>
    </w:p>
    <w:p>
      <w:pPr>
        <w:ind w:left="660" w:hanging="328"/>
        <w:spacing w:after="0" w:line="249"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$136 million in net proceeds during Q2 2024 and $240 million through August 7, 2024 through the Company’s 2024 at-the-market equity offering program (“2024 ATM Program”).</w:t>
      </w:r>
    </w:p>
    <w:p>
      <w:pPr>
        <w:ind w:left="660" w:hanging="328"/>
        <w:spacing w:after="0" w:line="260"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confirmation from the Provincial tax authorities, in April 2024, that $24 million in previously paid Canadian sales taxes would be refunded. During Q2 2024, $19 million of the sales tax claims were refunded and the remaining $5 million was received in July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Quarterly Operating Performance</w:t>
            </w: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3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Q1 2024</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Q2 2023</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9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515</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r>
      <w:tr>
        <w:trPr>
          <w:trHeight w:val="410"/>
        </w:trPr>
        <w:tc>
          <w:tcPr>
            <w:tcW w:w="3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As of</w:t>
            </w:r>
          </w:p>
        </w:tc>
        <w:tc>
          <w:tcPr>
            <w:tcW w:w="260" w:type="dxa"/>
            <w:vAlign w:val="bottom"/>
          </w:tcPr>
          <w:p>
            <w:pPr>
              <w:spacing w:after="0"/>
              <w:rPr>
                <w:sz w:val="24"/>
                <w:szCs w:val="24"/>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38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March 31,</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37"/>
        </w:trPr>
        <w:tc>
          <w:tcPr>
            <w:tcW w:w="38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EH/s</w:t>
            </w: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310</w:t>
            </w: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50"/>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9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256</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432"/>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Quarterly Average Revenue**** and Cost of Production per BTC*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3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Q2 2023</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Avg. Rev****/BTC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 Cost*/BTC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14,000</w:t>
            </w:r>
          </w:p>
        </w:tc>
      </w:tr>
      <w:tr>
        <w:trPr>
          <w:trHeight w:val="250"/>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Cost*/BTC</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19,900</w:t>
            </w:r>
          </w:p>
        </w:tc>
      </w:tr>
    </w:tbl>
    <w:p>
      <w:pPr>
        <w:spacing w:after="0" w:line="196" w:lineRule="exact"/>
        <w:rPr>
          <w:sz w:val="20"/>
          <w:szCs w:val="20"/>
          <w:color w:val="auto"/>
        </w:rPr>
      </w:pPr>
    </w:p>
    <w:p>
      <w:pPr>
        <w:jc w:val="both"/>
        <w:ind w:left="460" w:hanging="452"/>
        <w:spacing w:after="0" w:line="261" w:lineRule="auto"/>
        <w:tabs>
          <w:tab w:leader="none" w:pos="460" w:val="left"/>
        </w:tabs>
        <w:numPr>
          <w:ilvl w:val="0"/>
          <w:numId w:val="1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mining profit, gross mining margin, EBITDA, EBITDA margin, Adjusted EBITDA, Adjusted EBITDA margin, Direct Cost per BTC and Total Cash Cost per BTC are non-IFRS financial measures or ratios and should be read in conjunction with, and should not be viewed as 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234" w:lineRule="exact"/>
        <w:rPr>
          <w:sz w:val="20"/>
          <w:szCs w:val="20"/>
          <w:color w:val="auto"/>
        </w:rPr>
      </w:pPr>
    </w:p>
    <w:p>
      <w:pPr>
        <w:ind w:left="460" w:hanging="452"/>
        <w:spacing w:after="0"/>
        <w:tabs>
          <w:tab w:leader="none" w:pos="460" w:val="left"/>
        </w:tabs>
        <w:numPr>
          <w:ilvl w:val="0"/>
          <w:numId w:val="1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Liquidity represents cash and balance of digital assets.</w:t>
      </w:r>
    </w:p>
    <w:p>
      <w:pPr>
        <w:spacing w:after="0" w:line="2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watts represent the energy consumption of miners.</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revenue per BTC is for mining operations only and excludes Volta revenue.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ind w:left="20" w:right="20" w:hanging="11"/>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today at 8:00 am EST. A presentation of the Q2 2024 results will be accessible before the call on the Investor website and can be accessed here.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join by calling: 1-888-506-0062 (domestic), or 1-973-528-0011 (international), and should do so 10 minutes prior to the start time. Participants will be greeted by an operator and asked for the access code, which is 968924. If you do not have the code, then you may reference the Bitfarms’ Q2 2024 results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webcast replay will be available and can be accessed in the Events section of our Investor website. An audio replay will be available through August 20, 2024 and can be accessed at 1-877-481-4010 (domestic), or 1-919-882-2331 (international), using access code 50787.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&amp; Events</w:t>
      </w:r>
    </w:p>
    <w:p>
      <w:pPr>
        <w:spacing w:after="0" w:line="31" w:lineRule="exact"/>
        <w:rPr>
          <w:sz w:val="20"/>
          <w:szCs w:val="20"/>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September 9-11, 2024: H.C. Wainwright 26th Annual Global Investment Conference, New York 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October 21-22, 2024: AIM Dubai Summit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Canadian company, Bitfarms follows International Financial Reporting Standards (IFRS) which are issued by the International Accounting Standard Board (IASB). Under IFRS rules, the Company does not reflect the revaluation gains on the mark-to-market of its Bitcoin holdings in its income statement. It also does not include the revaluation losses on the mark-to-market of its Bitcoin holdings in Adjusted EBITDA, which is a measure of the cash profitability of its operations and does not reflect the change in value of its assets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Restatement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preparation of the Company’s financial statements for the year ended December 31, 2023, the Company reassessed the application of IFRS Accounting Standards on the accounting for warrants issued in connection with private placement financings conducted in 2021 and, as such, restated (the “Restatement”) its consolidated statements of financial position as of December 31, 2022 and January 1, 2022, its consolidated statements of profit or loss and comprehensive profit or loss for the year ended December 31, 2022 and the three months ended March 31, 2023 and its consolidated statements of cash flows for the year ended December 31, 2022 and the six months ended June 30, 2023, which were previously filed on SEDAR+ and EDGAR. For further details, consult Note 3e of the audited consolidated financial statements for the year ended December 31, 2023, and Note 3d of the interim condensed consolidated financial statements for the three and six months ended June 30, 2024, available on SEDAR+ and EDGAR. As described in the interim MD&amp;A for three and six months ended June 30, 2024, available on SEDAR+ and EDGAR, the Company is undertaking remediation efforts in light of the Restatement and in order to improve the overall effectiveness of its internal control over financial reporting for the accounting of complex financial instruments.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31" w:lineRule="exact"/>
        <w:rPr>
          <w:sz w:val="20"/>
          <w:szCs w:val="20"/>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Q/Q = Quarter over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balance sheet liquidity, other growth opportunities and prospects, and other statements regarding future growth, plans and objectives of the Company and the outcome of the strategic alternatives recommendations of the Special Committee of the independent directors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i w:val="1"/>
          <w:iCs w:val="1"/>
          <w:color w:val="auto"/>
          <w:highlight w:val="white"/>
        </w:rPr>
        <w:t>www.sedarplus.ca</w:t>
      </w:r>
      <w:r>
        <w:rPr>
          <w:rFonts w:ascii="Times New Roman" w:cs="Times New Roman" w:eastAsia="Times New Roman" w:hAnsi="Times New Roman"/>
          <w:sz w:val="18"/>
          <w:szCs w:val="18"/>
          <w:i w:val="1"/>
          <w:iCs w:val="1"/>
          <w:color w:val="auto"/>
        </w:rPr>
        <w:t xml:space="preserve"> (which are also available on the website of the U.S. Securities and Exchange Commission at </w:t>
      </w:r>
      <w:r>
        <w:rPr>
          <w:rFonts w:ascii="Times New Roman" w:cs="Times New Roman" w:eastAsia="Times New Roman" w:hAnsi="Times New Roman"/>
          <w:sz w:val="18"/>
          <w:szCs w:val="18"/>
          <w:i w:val="1"/>
          <w:iCs w:val="1"/>
          <w:color w:val="auto"/>
          <w:highlight w:val="white"/>
        </w:rPr>
        <w:t>www.sec.gov</w:t>
      </w:r>
      <w:r>
        <w:rPr>
          <w:rFonts w:ascii="Times New Roman" w:cs="Times New Roman" w:eastAsia="Times New Roman" w:hAnsi="Times New Roman"/>
          <w:sz w:val="18"/>
          <w:szCs w:val="18"/>
          <w:i w:val="1"/>
          <w:iCs w:val="1"/>
          <w:color w:val="auto"/>
        </w:rPr>
        <w:t xml:space="preserve">), including the MD&amp;A for the year-ended December 31, 2023, filed on March 7, 2024 </w:t>
      </w:r>
      <w:r>
        <w:rPr>
          <w:rFonts w:ascii="Times New Roman" w:cs="Times New Roman" w:eastAsia="Times New Roman" w:hAnsi="Times New Roman"/>
          <w:sz w:val="18"/>
          <w:szCs w:val="18"/>
          <w:i w:val="1"/>
          <w:iCs w:val="1"/>
          <w:color w:val="auto"/>
          <w:highlight w:val="white"/>
        </w:rPr>
        <w:t>and the MD&amp;A for the three and six months ended June 30, 2024 filed on August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 xml:space="preserve">2024. </w:t>
      </w:r>
      <w:r>
        <w:rPr>
          <w:rFonts w:ascii="Times New Roman" w:cs="Times New Roman" w:eastAsia="Times New Roman" w:hAnsi="Times New Roman"/>
          <w:sz w:val="18"/>
          <w:szCs w:val="18"/>
          <w:i w:val="1"/>
          <w:iCs w:val="1"/>
          <w:color w:val="auto"/>
        </w:rPr>
        <w:t>Although the Company has attempted to identify important factors that could cause actual results to differ materially from those expressed in</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20" w:type="dxa"/>
            <w:vAlign w:val="bottom"/>
            <w:gridSpan w:val="5"/>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Bitfarms Ltd. Consolidated Financial &amp; Operational Results</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0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(3)</w:t>
            </w: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0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35,479</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6,069</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65,529</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26,336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(52,823)</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(41,519)</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(11,304)</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(113,822)</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(79,922)</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(33,900)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(11,275)</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(6,040)</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(5,235)</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(21,957)</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(14,393)</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7"/>
        </w:trPr>
        <w:tc>
          <w:tcPr>
            <w:tcW w:w="218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10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(12,402)</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(25,598)</w:t>
            </w: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06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(9,155)</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(3,247)</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vMerge w:val="continue"/>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(17,515)</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2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Reversal of revaluation</w:t>
            </w:r>
          </w:p>
        </w:tc>
        <w:tc>
          <w:tcPr>
            <w:tcW w:w="10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digital assets</w:t>
            </w:r>
          </w:p>
        </w:tc>
        <w:tc>
          <w:tcPr>
            <w:tcW w:w="1060" w:type="dxa"/>
            <w:vAlign w:val="bottom"/>
            <w:vMerge w:val="continue"/>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continue"/>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2,695</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(loss) on</w:t>
            </w:r>
          </w:p>
        </w:tc>
        <w:tc>
          <w:tcPr>
            <w:tcW w:w="1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disposition of property,</w:t>
            </w:r>
          </w:p>
        </w:tc>
        <w:tc>
          <w:tcPr>
            <w:tcW w:w="106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99</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nm</w:t>
            </w:r>
          </w:p>
        </w:tc>
        <w:tc>
          <w:tcPr>
            <w:tcW w:w="10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269</w:t>
            </w: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plant and equipment</w:t>
            </w:r>
          </w:p>
        </w:tc>
        <w:tc>
          <w:tcPr>
            <w:tcW w:w="106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128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(1,559)</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1,828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8"/>
        </w:trPr>
        <w:tc>
          <w:tcPr>
            <w:tcW w:w="2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prepaid deposits</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property, plant and</w:t>
            </w:r>
          </w:p>
        </w:tc>
        <w:tc>
          <w:tcPr>
            <w:tcW w:w="10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10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(9,982)</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9,982</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(9,982)</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9,982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(23,578)</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(25,170)</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1,592</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(47,286)</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(40,754)</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218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financial (income)</w:t>
            </w:r>
          </w:p>
        </w:tc>
        <w:tc>
          <w:tcPr>
            <w:tcW w:w="10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(1,317)</w:t>
            </w:r>
          </w:p>
        </w:tc>
        <w:tc>
          <w:tcPr>
            <w:tcW w:w="1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10,126</w:t>
            </w:r>
          </w:p>
        </w:tc>
        <w:tc>
          <w:tcPr>
            <w:tcW w:w="1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(1,007)</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9,960</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7"/>
        </w:trPr>
        <w:tc>
          <w:tcPr>
            <w:tcW w:w="21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before income</w:t>
            </w: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(24,895)</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(26,177)</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1,282</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(37,160)</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(30,794)</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(1,704)</w:t>
            </w:r>
          </w:p>
        </w:tc>
        <w:tc>
          <w:tcPr>
            <w:tcW w:w="1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nm</w:t>
            </w:r>
          </w:p>
        </w:tc>
        <w:tc>
          <w:tcPr>
            <w:tcW w:w="10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4,581</w:t>
            </w:r>
          </w:p>
        </w:tc>
        <w:tc>
          <w:tcPr>
            <w:tcW w:w="1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94</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(1,798)</w:t>
            </w: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424</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4,157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(26,599)</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(26,083)</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(32,579)</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(30,370)</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w:t>
            </w: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(0.07)</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(0.09)</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 (in U.S. dollars)</w:t>
            </w:r>
          </w:p>
        </w:tc>
        <w:tc>
          <w:tcPr>
            <w:tcW w:w="10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(0.11)</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(0.13)</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revaluation</w:t>
            </w:r>
          </w:p>
        </w:tc>
        <w:tc>
          <w:tcPr>
            <w:tcW w:w="10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surplus - digital assets,</w:t>
            </w:r>
          </w:p>
        </w:tc>
        <w:tc>
          <w:tcPr>
            <w:tcW w:w="10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(5,455)</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nm</w:t>
            </w:r>
          </w:p>
        </w:tc>
        <w:tc>
          <w:tcPr>
            <w:tcW w:w="10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11,978</w:t>
            </w: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579</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(6,034)</w:t>
            </w: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2,391</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9,587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87"/>
        </w:trPr>
        <w:tc>
          <w:tcPr>
            <w:tcW w:w="21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(32,054)</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(25,504)</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(6,550)</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(20,601)</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(27,979)</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7,378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20,650</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16,355</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4,295</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51,990</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30,298</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21,989</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(4,803)</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26,792</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558%</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48,399</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12,634</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35,765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1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11,618</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9,968</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1,650</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34,942</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18,343</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1"/>
        </w:trPr>
        <w:tc>
          <w:tcPr>
            <w:tcW w:w="21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Adjusted EBITDA margin</w:t>
            </w:r>
          </w:p>
        </w:tc>
        <w:tc>
          <w:tcPr>
            <w:tcW w:w="10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11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(2)</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5" w:lineRule="exact"/>
        <w:rPr>
          <w:sz w:val="20"/>
          <w:szCs w:val="20"/>
          <w:color w:val="auto"/>
        </w:rPr>
      </w:pPr>
    </w:p>
    <w:p>
      <w:pPr>
        <w:ind w:left="340" w:hanging="332"/>
        <w:spacing w:after="0" w:line="196" w:lineRule="auto"/>
        <w:tabs>
          <w:tab w:leader="none" w:pos="340" w:val="left"/>
        </w:tabs>
        <w:numPr>
          <w:ilvl w:val="0"/>
          <w:numId w:val="1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Company’s MD&amp;A.</w:t>
      </w:r>
    </w:p>
    <w:p>
      <w:pPr>
        <w:spacing w:after="0" w:line="199" w:lineRule="exact"/>
        <w:rPr>
          <w:sz w:val="20"/>
          <w:szCs w:val="20"/>
          <w:color w:val="auto"/>
        </w:rPr>
      </w:pPr>
    </w:p>
    <w:p>
      <w:pPr>
        <w:ind w:left="340" w:hanging="332"/>
        <w:spacing w:after="0" w:line="195" w:lineRule="auto"/>
        <w:tabs>
          <w:tab w:leader="none" w:pos="340" w:val="left"/>
        </w:tabs>
        <w:numPr>
          <w:ilvl w:val="0"/>
          <w:numId w:val="1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Company’s </w:t>
      </w:r>
      <w:r>
        <w:rPr>
          <w:rFonts w:ascii="Times New Roman" w:cs="Times New Roman" w:eastAsia="Times New Roman" w:hAnsi="Times New Roman"/>
          <w:sz w:val="18"/>
          <w:szCs w:val="18"/>
          <w:i w:val="1"/>
          <w:iCs w:val="1"/>
          <w:color w:val="auto"/>
        </w:rPr>
        <w:t>MD&amp;A.</w:t>
      </w:r>
    </w:p>
    <w:p>
      <w:pPr>
        <w:spacing w:after="0" w:line="198" w:lineRule="exact"/>
        <w:rPr>
          <w:sz w:val="20"/>
          <w:szCs w:val="20"/>
          <w:color w:val="auto"/>
        </w:rPr>
      </w:pPr>
    </w:p>
    <w:p>
      <w:pPr>
        <w:ind w:left="340" w:right="20" w:hanging="332"/>
        <w:spacing w:after="0" w:line="196" w:lineRule="auto"/>
        <w:tabs>
          <w:tab w:leader="none" w:pos="340" w:val="left"/>
        </w:tabs>
        <w:numPr>
          <w:ilvl w:val="0"/>
          <w:numId w:val="1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the Q2 2024 interim financial statements Note 3d -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Accounting Policy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Restatement.</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Bitfarms Ltd. Reconciliation of Consolidated Net Income (loss) to EBITDA and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(1)</w:t>
            </w: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41,548</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35,479</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6,069</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65,529</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26,336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7"/>
        </w:trPr>
        <w:tc>
          <w:tcPr>
            <w:tcW w:w="22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before income</w:t>
            </w: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(24,895)</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(26,177)</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1,282</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(37,160)</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(30,794)</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Interest (income) and</w:t>
            </w:r>
          </w:p>
        </w:tc>
        <w:tc>
          <w:tcPr>
            <w:tcW w:w="11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(1,693)</w:t>
            </w:r>
          </w:p>
        </w:tc>
        <w:tc>
          <w:tcPr>
            <w:tcW w:w="1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(1,995)</w:t>
            </w:r>
          </w:p>
        </w:tc>
        <w:tc>
          <w:tcPr>
            <w:tcW w:w="1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12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846</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(2,539)</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000" w:type="dxa"/>
            <w:vAlign w:val="bottom"/>
            <w:vMerge w:val="continue"/>
            <w:shd w:val="clear" w:color="auto" w:fill="CCEEFF"/>
          </w:tcPr>
          <w:p>
            <w:pPr>
              <w:spacing w:after="0"/>
              <w:rPr>
                <w:sz w:val="20"/>
                <w:szCs w:val="20"/>
                <w:color w:val="auto"/>
              </w:rPr>
            </w:pP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2,200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96,314</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vMerge w:val="continue"/>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20,528</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36,809</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1000" w:type="dxa"/>
            <w:vAlign w:val="bottom"/>
            <w:vMerge w:val="continue"/>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41,228</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55,086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1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(8,760)</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21,989</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(4,803)</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26,792</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nm</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48,399</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12,634</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35,765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1,675</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2,462</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4,769</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4,998</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on short-term</w:t>
            </w: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deposits and</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w:t>
            </w:r>
          </w:p>
        </w:tc>
        <w:tc>
          <w:tcPr>
            <w:tcW w:w="11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12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9,982</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(9,982)</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vMerge w:val="continue"/>
            <w:shd w:val="clear" w:color="auto" w:fill="CCEEFF"/>
          </w:tcPr>
          <w:p>
            <w:pPr>
              <w:spacing w:after="0"/>
              <w:rPr>
                <w:sz w:val="20"/>
                <w:szCs w:val="20"/>
                <w:color w:val="auto"/>
              </w:rPr>
            </w:pP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9,982</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digital assets</w:t>
            </w:r>
          </w:p>
        </w:tc>
        <w:tc>
          <w:tcPr>
            <w:tcW w:w="1120" w:type="dxa"/>
            <w:vAlign w:val="bottom"/>
            <w:vMerge w:val="continue"/>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continue"/>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(2,695)</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w:t>
            </w: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and lease</w:t>
            </w:r>
          </w:p>
        </w:tc>
        <w:tc>
          <w:tcPr>
            <w:tcW w:w="11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continue"/>
            <w:shd w:val="clear" w:color="auto" w:fill="CCEEFF"/>
          </w:tcPr>
          <w:p>
            <w:pPr>
              <w:spacing w:after="0"/>
              <w:rPr>
                <w:sz w:val="20"/>
                <w:szCs w:val="20"/>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(12,835)</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12,835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revaluation of</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1,455</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(7,585)</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vMerge w:val="continue"/>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1,189</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266</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vMerge w:val="continue"/>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2,410</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w:t>
            </w:r>
          </w:p>
        </w:tc>
        <w:tc>
          <w:tcPr>
            <w:tcW w:w="11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(413)</w:t>
            </w:r>
          </w:p>
        </w:tc>
        <w:tc>
          <w:tcPr>
            <w:tcW w:w="1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(751)</w:t>
            </w: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(4,955)</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4,542</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1000" w:type="dxa"/>
            <w:vAlign w:val="bottom"/>
            <w:vMerge w:val="continue"/>
            <w:shd w:val="clear" w:color="auto" w:fill="CCEEFF"/>
          </w:tcPr>
          <w:p>
            <w:pPr>
              <w:spacing w:after="0"/>
              <w:rPr>
                <w:sz w:val="20"/>
                <w:szCs w:val="20"/>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(7,126)</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6,375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3,096</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3,096</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ongoing operations</w:t>
            </w:r>
          </w:p>
        </w:tc>
        <w:tc>
          <w:tcPr>
            <w:tcW w:w="1120" w:type="dxa"/>
            <w:vAlign w:val="bottom"/>
            <w:vMerge w:val="continue"/>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3,096</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vMerge w:val="continue"/>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3,096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w:t>
            </w: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years - energy and</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infrastructure and general</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administrative</w:t>
            </w:r>
          </w:p>
        </w:tc>
        <w:tc>
          <w:tcPr>
            <w:tcW w:w="1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20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(2)</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(18,468)</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2,333</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(20,801)</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(892)%</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4,430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(20,511)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financial expense and</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2,284</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3,095</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3,760</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(1,476)</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6,545</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11,618</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9,968</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1,650</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34,942</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18,343</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16,599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4"/>
        </w:trPr>
        <w:tc>
          <w:tcPr>
            <w:tcW w:w="2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340" w:right="20" w:hanging="332"/>
        <w:spacing w:after="0" w:line="196" w:lineRule="auto"/>
        <w:tabs>
          <w:tab w:leader="none" w:pos="340" w:val="left"/>
        </w:tabs>
        <w:numPr>
          <w:ilvl w:val="0"/>
          <w:numId w:val="1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the Q2 2024 interim financial statements Note 3d -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Accounting Policy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Restatement.</w:t>
      </w:r>
    </w:p>
    <w:p>
      <w:pPr>
        <w:spacing w:after="0" w:line="199" w:lineRule="exact"/>
        <w:rPr>
          <w:sz w:val="20"/>
          <w:szCs w:val="20"/>
          <w:color w:val="auto"/>
        </w:rPr>
      </w:pPr>
    </w:p>
    <w:p>
      <w:pPr>
        <w:jc w:val="both"/>
        <w:ind w:left="340" w:hanging="332"/>
        <w:spacing w:after="0" w:line="210" w:lineRule="auto"/>
        <w:tabs>
          <w:tab w:leader="none" w:pos="340" w:val="left"/>
        </w:tabs>
        <w:numPr>
          <w:ilvl w:val="0"/>
          <w:numId w:val="1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the Q2 2024 interim financial statements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 tax refund).</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6840" w:type="dxa"/>
            <w:vAlign w:val="bottom"/>
            <w:gridSpan w:val="6"/>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Bitfarms Ltd. Calculation of Gross Mining Profit and Gross Mining Margin</w:t>
            </w: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2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(11,275)</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(6,040)</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(5,235)</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(21,957)</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(14,393)</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(7,564)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(1,165)</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(1,236)</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(2,059)</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(2,078)</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96,314</w:t>
            </w: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20,528</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36,809</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10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41,228</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55,086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vMerge w:val="continue"/>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vMerge w:val="continue"/>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Electrical components and</w:t>
            </w:r>
          </w:p>
        </w:tc>
        <w:tc>
          <w:tcPr>
            <w:tcW w:w="120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873</w:t>
            </w: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1,581</w:t>
            </w: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w:t>
            </w:r>
          </w:p>
        </w:tc>
        <w:tc>
          <w:tcPr>
            <w:tcW w:w="12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1,075</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1,751</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years - energy and</w:t>
            </w: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(16,366)</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infrastructure (2)</w:t>
            </w:r>
          </w:p>
        </w:tc>
        <w:tc>
          <w:tcPr>
            <w:tcW w:w="1200" w:type="dxa"/>
            <w:vAlign w:val="bottom"/>
            <w:vMerge w:val="continue"/>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2,100</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(18,466)</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(879)%</w:t>
            </w:r>
          </w:p>
        </w:tc>
        <w:tc>
          <w:tcPr>
            <w:tcW w:w="1040" w:type="dxa"/>
            <w:vAlign w:val="bottom"/>
            <w:vMerge w:val="continue"/>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4,017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(18,355)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nm</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1,209</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1,436</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20,650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16,355</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4,295</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51,990</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30,298</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21,692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7" w:lineRule="exact"/>
        <w:rPr>
          <w:sz w:val="20"/>
          <w:szCs w:val="20"/>
          <w:color w:val="auto"/>
        </w:rPr>
      </w:pPr>
    </w:p>
    <w:p>
      <w:pPr>
        <w:ind w:left="340" w:hanging="332"/>
        <w:spacing w:after="0"/>
        <w:tabs>
          <w:tab w:leader="none" w:pos="340" w:val="left"/>
        </w:tabs>
        <w:numPr>
          <w:ilvl w:val="0"/>
          <w:numId w:val="1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Non-Mining revenues reconciliation: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9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41,548</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35,479</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6,069</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91,865</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65,529</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26,336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1"/>
        </w:trPr>
        <w:tc>
          <w:tcPr>
            <w:tcW w:w="2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w:t>
            </w: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purpose of</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calculating gross Mining</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(40,383)</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(34,243)</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(6,140)</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(89,806)</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(63,451)</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(26,355)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7"/>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1,236</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(71)</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2,059</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2,078</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1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Q2 2024 interim financial statements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6660" w:type="dxa"/>
            <w:vAlign w:val="bottom"/>
            <w:gridSpan w:val="6"/>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Bitfarms Ltd. Calculation of Direct Cost and Direct Cost per BTC</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52,823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41,519</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11,304</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113,822</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79,922</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33,900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1"/>
        </w:trPr>
        <w:tc>
          <w:tcPr>
            <w:tcW w:w="2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Depreciation and</w:t>
            </w: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(96,314)</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vMerge w:val="continue"/>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(20,528)</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(36,809)</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940" w:type="dxa"/>
            <w:vAlign w:val="bottom"/>
            <w:vMerge w:val="continue"/>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(41,228)</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(55,086)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1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8,760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Electrical components and</w:t>
            </w: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(873)</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w:t>
            </w:r>
          </w:p>
        </w:tc>
        <w:tc>
          <w:tcPr>
            <w:tcW w:w="1100" w:type="dxa"/>
            <w:vAlign w:val="bottom"/>
            <w:vMerge w:val="continue"/>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vMerge w:val="continue"/>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(1,751)</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(922)</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(161)</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(1,702)</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w:t>
            </w: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years - energy and</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4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infrastructure </w:t>
            </w:r>
            <w:r>
              <w:rPr>
                <w:rFonts w:ascii="Times New Roman" w:cs="Times New Roman" w:eastAsia="Times New Roman" w:hAnsi="Times New Roman"/>
                <w:sz w:val="29"/>
                <w:szCs w:val="29"/>
                <w:color w:val="auto"/>
                <w:vertAlign w:val="superscript"/>
              </w:rPr>
              <w:t>(1)</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16,366</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18,466</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(879)%</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(4,017)</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18,355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18,817</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17,137</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1,680</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36,129</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31,306</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614</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1,223</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(609)</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1,557</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2,520</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7"/>
        </w:trPr>
        <w:tc>
          <w:tcPr>
            <w:tcW w:w="23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 Cost per BTC (in</w:t>
            </w: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30,600</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14,000</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16,600</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23,200</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12,400</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10,800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340" w:type="dxa"/>
            <w:vAlign w:val="bottom"/>
          </w:tcPr>
          <w:p>
            <w:pPr>
              <w:spacing w:after="0"/>
              <w:rPr>
                <w:sz w:val="24"/>
                <w:szCs w:val="24"/>
                <w:color w:val="auto"/>
              </w:rPr>
            </w:pPr>
          </w:p>
        </w:tc>
        <w:tc>
          <w:tcPr>
            <w:tcW w:w="6660" w:type="dxa"/>
            <w:vAlign w:val="bottom"/>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Bitfarms Ltd. Calculation of Total Cash Cost and Total Cost per BTC</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52,823</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41,519</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11,304</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113,822</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79,922</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33,900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4"/>
        </w:trPr>
        <w:tc>
          <w:tcPr>
            <w:tcW w:w="23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12,402</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9,155</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3,247</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25,598</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17,515</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8,083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65,225</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50,674</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14,551</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139,420</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97,437</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41,983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(57,337)</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(96,314)</w:t>
            </w: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vMerge w:val="continue"/>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(20,528)</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(36,809)</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940" w:type="dxa"/>
            <w:vAlign w:val="bottom"/>
            <w:vMerge w:val="continue"/>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(41,228)</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(55,086)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1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8,760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Electrical components and</w:t>
            </w: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(873)</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w:t>
            </w:r>
          </w:p>
        </w:tc>
        <w:tc>
          <w:tcPr>
            <w:tcW w:w="1100" w:type="dxa"/>
            <w:vAlign w:val="bottom"/>
            <w:vMerge w:val="continue"/>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vMerge w:val="continue"/>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(1,751)</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(1,675)</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(2,462)</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787</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(4,769)</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(4,998)</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w:t>
            </w: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(3,096)</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(3,096)</w:t>
            </w: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ongoing operations</w:t>
            </w:r>
          </w:p>
        </w:tc>
        <w:tc>
          <w:tcPr>
            <w:tcW w:w="1100" w:type="dxa"/>
            <w:vAlign w:val="bottom"/>
            <w:vMerge w:val="continue"/>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(3,096)</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w:t>
            </w: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years - energy and</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infrastructure and general</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administrative</w:t>
            </w:r>
          </w:p>
        </w:tc>
        <w:tc>
          <w:tcPr>
            <w:tcW w:w="1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4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(1)</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18,468</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(2,333)</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20,801</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(4,430)</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20,511</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(415)</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(478)</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(3,159)</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308</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(3,467)</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29,057</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24,339</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4,718</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55,342</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45,338</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614</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1,223</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(609)</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1,557</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2,520</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7"/>
        </w:trPr>
        <w:tc>
          <w:tcPr>
            <w:tcW w:w="2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Cost per BTC</w:t>
            </w:r>
          </w:p>
        </w:tc>
        <w:tc>
          <w:tcPr>
            <w:tcW w:w="1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 U.S. dollars)</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47,300</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19,900</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27,400</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35,500</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18,000</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8" w:lineRule="exact"/>
        <w:rPr>
          <w:sz w:val="20"/>
          <w:szCs w:val="20"/>
          <w:color w:val="auto"/>
        </w:rPr>
      </w:pPr>
    </w:p>
    <w:p>
      <w:pPr>
        <w:jc w:val="both"/>
        <w:ind w:left="340" w:hanging="332"/>
        <w:spacing w:after="0" w:line="210" w:lineRule="auto"/>
        <w:tabs>
          <w:tab w:leader="none" w:pos="340" w:val="left"/>
        </w:tabs>
        <w:numPr>
          <w:ilvl w:val="0"/>
          <w:numId w:val="1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Q2 2024 interim financial statements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 tax refund).</w:t>
      </w:r>
    </w:p>
    <w:p>
      <w:pPr>
        <w:spacing w:after="0" w:line="200" w:lineRule="exact"/>
        <w:rPr>
          <w:sz w:val="20"/>
          <w:szCs w:val="20"/>
          <w:color w:val="auto"/>
        </w:rPr>
      </w:pPr>
    </w:p>
    <w:p>
      <w:pPr>
        <w:spacing w:after="0" w:line="27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lowerLetter"/>
      <w:start w:val="1"/>
    </w:lvl>
  </w:abstractNum>
  <w:abstractNum w:abstractNumId="1">
    <w:nsid w:val="885E1B"/>
    <w:multiLevelType w:val="hybridMultilevel"/>
    <w:lvl w:ilvl="0">
      <w:lvlJc w:val="left"/>
      <w:lvlText w:val="%1."/>
      <w:numFmt w:val="lowerLetter"/>
      <w:start w:val="2"/>
    </w:lvl>
  </w:abstractNum>
  <w:abstractNum w:abstractNumId="2">
    <w:nsid w:val="76272110"/>
    <w:multiLevelType w:val="hybridMultilevel"/>
    <w:lvl w:ilvl="0">
      <w:lvlJc w:val="left"/>
      <w:lvlText w:val="%1."/>
      <w:numFmt w:val="lowerLetter"/>
      <w:start w:val="3"/>
    </w:lvl>
  </w:abstractNum>
  <w:abstractNum w:abstractNumId="3">
    <w:nsid w:val="4C04A8AF"/>
    <w:multiLevelType w:val="hybridMultilevel"/>
    <w:lvl w:ilvl="0">
      <w:lvlJc w:val="left"/>
      <w:lvlText w:val="%1."/>
      <w:numFmt w:val="lowerLetter"/>
      <w:start w:val="3"/>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1."/>
      <w:numFmt w:val="lowerLetter"/>
      <w:start w:val="4"/>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1."/>
      <w:numFmt w:val="lowerLetter"/>
      <w:start w:val="1"/>
    </w:lvl>
  </w:abstractNum>
  <w:abstractNum w:abstractNumId="11">
    <w:nsid w:val="4A2AC315"/>
    <w:multiLevelType w:val="hybridMultilevel"/>
    <w:lvl w:ilvl="0">
      <w:lvlJc w:val="left"/>
      <w:lvlText w:val="%1."/>
      <w:numFmt w:val="lowerLetter"/>
      <w:start w:val="2"/>
    </w:lvl>
  </w:abstractNum>
  <w:abstractNum w:abstractNumId="12">
    <w:nsid w:val="39EE015C"/>
    <w:multiLevelType w:val="hybridMultilevel"/>
    <w:lvl w:ilvl="0">
      <w:lvlJc w:val="left"/>
      <w:lvlText w:val="%1."/>
      <w:numFmt w:val="lowerRoman"/>
      <w:start w:val="1"/>
    </w:lvl>
  </w:abstractNum>
  <w:abstractNum w:abstractNumId="13">
    <w:nsid w:val="57FC4FBB"/>
    <w:multiLevelType w:val="hybridMultilevel"/>
    <w:lvl w:ilvl="0">
      <w:lvlJc w:val="left"/>
      <w:lvlText w:val="%1."/>
      <w:numFmt w:val="lowerLetter"/>
      <w:start w:val="3"/>
    </w:lvl>
  </w:abstractNum>
  <w:abstractNum w:abstractNumId="14">
    <w:nsid w:val="CC1016F"/>
    <w:multiLevelType w:val="hybridMultilevel"/>
    <w:lvl w:ilvl="0">
      <w:lvlJc w:val="left"/>
      <w:lvlText w:val="%1."/>
      <w:numFmt w:val="lowerRoman"/>
      <w:start w:val="1"/>
    </w:lvl>
  </w:abstractNum>
  <w:abstractNum w:abstractNumId="15">
    <w:nsid w:val="43F18422"/>
    <w:multiLevelType w:val="hybridMultilevel"/>
    <w:lvl w:ilvl="0">
      <w:lvlJc w:val="left"/>
      <w:lvlText w:val="%1."/>
      <w:numFmt w:val="lowerRoman"/>
      <w:start w:val="2"/>
    </w:lvl>
  </w:abstractNum>
  <w:abstractNum w:abstractNumId="16">
    <w:nsid w:val="60EF0119"/>
    <w:multiLevelType w:val="hybridMultilevel"/>
    <w:lvl w:ilvl="0">
      <w:lvlJc w:val="left"/>
      <w:lvlText w:val="%1."/>
      <w:numFmt w:val="lowerRoman"/>
      <w:start w:val="1"/>
    </w:lvl>
  </w:abstractNum>
  <w:abstractNum w:abstractNumId="17">
    <w:nsid w:val="26F324BA"/>
    <w:multiLevelType w:val="hybridMultilevel"/>
    <w:lvl w:ilvl="0">
      <w:lvlJc w:val="left"/>
      <w:lvlText w:val="%1."/>
      <w:numFmt w:val="lowerRoman"/>
      <w:start w:val="2"/>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1."/>
      <w:numFmt w:val="lowerRoman"/>
      <w:start w:val="1"/>
    </w:lvl>
  </w:abstractNum>
  <w:abstractNum w:abstractNumId="21">
    <w:nsid w:val="5FB8370B"/>
    <w:multiLevelType w:val="hybridMultilevel"/>
    <w:lvl w:ilvl="0">
      <w:lvlJc w:val="left"/>
      <w:lvlText w:val="%1."/>
      <w:numFmt w:val="lowerRoman"/>
      <w:start w:val="2"/>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1."/>
      <w:numFmt w:val="lowerLetter"/>
      <w:start w:val="1"/>
    </w:lvl>
  </w:abstractNum>
  <w:abstractNum w:abstractNumId="26">
    <w:nsid w:val="7672BD23"/>
    <w:multiLevelType w:val="hybridMultilevel"/>
    <w:lvl w:ilvl="0">
      <w:lvlJc w:val="left"/>
      <w:lvlText w:val="%1."/>
      <w:numFmt w:val="lowerLetter"/>
      <w:start w:val="2"/>
    </w:lvl>
  </w:abstractNum>
  <w:abstractNum w:abstractNumId="27">
    <w:nsid w:val="6FC75AF8"/>
    <w:multiLevelType w:val="hybridMultilevel"/>
    <w:lvl w:ilvl="0">
      <w:lvlJc w:val="left"/>
      <w:lvlText w:val="%1."/>
      <w:numFmt w:val="lowerRoman"/>
      <w:start w:val="1"/>
    </w:lvl>
  </w:abstractNum>
  <w:abstractNum w:abstractNumId="28">
    <w:nsid w:val="6A5F7029"/>
    <w:multiLevelType w:val="hybridMultilevel"/>
    <w:lvl w:ilvl="0">
      <w:lvlJc w:val="left"/>
      <w:lvlText w:val="%1."/>
      <w:numFmt w:val="lowerLetter"/>
      <w:start w:val="2"/>
    </w:lvl>
  </w:abstractNum>
  <w:abstractNum w:abstractNumId="29">
    <w:nsid w:val="7D5E18F8"/>
    <w:multiLevelType w:val="hybridMultilevel"/>
    <w:lvl w:ilvl="0">
      <w:lvlJc w:val="left"/>
      <w:lvlText w:val="%1."/>
      <w:numFmt w:val="lowerRoman"/>
      <w:start w:val="2"/>
    </w:lvl>
  </w:abstractNum>
  <w:abstractNum w:abstractNumId="30">
    <w:nsid w:val="5F3534A4"/>
    <w:multiLevelType w:val="hybridMultilevel"/>
    <w:lvl w:ilvl="0">
      <w:lvlJc w:val="left"/>
      <w:lvlText w:val="%1."/>
      <w:numFmt w:val="lowerRoman"/>
      <w:start w:val="3"/>
    </w:lvl>
  </w:abstractNum>
  <w:abstractNum w:abstractNumId="31">
    <w:nsid w:val="73A1821B"/>
    <w:multiLevelType w:val="hybridMultilevel"/>
    <w:lvl w:ilvl="0">
      <w:lvlJc w:val="left"/>
      <w:lvlText w:val="%1."/>
      <w:numFmt w:val="lowerRoman"/>
      <w:start w:val="4"/>
    </w:lvl>
  </w:abstractNum>
  <w:abstractNum w:abstractNumId="32">
    <w:nsid w:val="7DE67713"/>
    <w:multiLevelType w:val="hybridMultilevel"/>
    <w:lvl w:ilvl="0">
      <w:lvlJc w:val="left"/>
      <w:lvlText w:val="%1."/>
      <w:numFmt w:val="lowerRoman"/>
      <w:start w:val="5"/>
    </w:lvl>
  </w:abstractNum>
  <w:abstractNum w:abstractNumId="33">
    <w:nsid w:val="555C55B5"/>
    <w:multiLevelType w:val="hybridMultilevel"/>
    <w:lvl w:ilvl="0">
      <w:lvlJc w:val="left"/>
      <w:lvlText w:val="%1."/>
      <w:numFmt w:val="lowerLetter"/>
      <w:start w:val="3"/>
    </w:lvl>
  </w:abstractNum>
  <w:abstractNum w:abstractNumId="34">
    <w:nsid w:val="3FA62ACA"/>
    <w:multiLevelType w:val="hybridMultilevel"/>
    <w:lvl w:ilvl="0">
      <w:lvlJc w:val="left"/>
      <w:lvlText w:val="%1."/>
      <w:numFmt w:val="lowerLetter"/>
      <w:start w:val="4"/>
    </w:lvl>
  </w:abstractNum>
  <w:abstractNum w:abstractNumId="35">
    <w:nsid w:val="14FCE74E"/>
    <w:multiLevelType w:val="hybridMultilevel"/>
    <w:lvl w:ilvl="0">
      <w:lvlJc w:val="left"/>
      <w:lvlText w:val="%1."/>
      <w:numFmt w:val="lowerLetter"/>
      <w:start w:val="1"/>
    </w:lvl>
  </w:abstractNum>
  <w:abstractNum w:abstractNumId="36">
    <w:nsid w:val="6A3DD3E8"/>
    <w:multiLevelType w:val="hybridMultilevel"/>
    <w:lvl w:ilvl="0">
      <w:lvlJc w:val="left"/>
      <w:lvlText w:val="%1."/>
      <w:numFmt w:val="lowerLetter"/>
      <w:start w:val="2"/>
    </w:lvl>
  </w:abstractNum>
  <w:abstractNum w:abstractNumId="37">
    <w:nsid w:val="71C91298"/>
    <w:multiLevelType w:val="hybridMultilevel"/>
    <w:lvl w:ilvl="0">
      <w:lvlJc w:val="left"/>
      <w:lvlText w:val="%1."/>
      <w:numFmt w:val="lowerRoman"/>
      <w:start w:val="1"/>
    </w:lvl>
  </w:abstractNum>
  <w:abstractNum w:abstractNumId="38">
    <w:nsid w:val="9DAF632"/>
    <w:multiLevelType w:val="hybridMultilevel"/>
    <w:lvl w:ilvl="0">
      <w:lvlJc w:val="left"/>
      <w:lvlText w:val="%1."/>
      <w:numFmt w:val="lowerRoman"/>
      <w:start w:val="1"/>
    </w:lvl>
  </w:abstractNum>
  <w:abstractNum w:abstractNumId="39">
    <w:nsid w:val="53299938"/>
    <w:multiLevelType w:val="hybridMultilevel"/>
    <w:lvl w:ilvl="0">
      <w:lvlJc w:val="left"/>
      <w:lvlText w:val="%1."/>
      <w:numFmt w:val="lowerRoman"/>
      <w:start w:val="2"/>
    </w:lvl>
  </w:abstractNum>
  <w:abstractNum w:abstractNumId="40">
    <w:nsid w:val="1FBFE8E0"/>
    <w:multiLevelType w:val="hybridMultilevel"/>
    <w:lvl w:ilvl="0">
      <w:lvlJc w:val="left"/>
      <w:lvlText w:val="%1."/>
      <w:numFmt w:val="lowerRoman"/>
      <w:start w:val="3"/>
    </w:lvl>
  </w:abstractNum>
  <w:abstractNum w:abstractNumId="41">
    <w:nsid w:val="5092CA79"/>
    <w:multiLevelType w:val="hybridMultilevel"/>
    <w:lvl w:ilvl="0">
      <w:lvlJc w:val="left"/>
      <w:lvlText w:val="%1."/>
      <w:numFmt w:val="lowerRoman"/>
      <w:start w:val="4"/>
    </w:lvl>
  </w:abstractNum>
  <w:abstractNum w:abstractNumId="42">
    <w:nsid w:val="1D545C4D"/>
    <w:multiLevelType w:val="hybridMultilevel"/>
    <w:lvl w:ilvl="0">
      <w:lvlJc w:val="left"/>
      <w:lvlText w:val="%1."/>
      <w:numFmt w:val="lowerLetter"/>
      <w:start w:val="1"/>
    </w:lvl>
  </w:abstractNum>
  <w:abstractNum w:abstractNumId="43">
    <w:nsid w:val="59ADEA3D"/>
    <w:multiLevelType w:val="hybridMultilevel"/>
    <w:lvl w:ilvl="0">
      <w:lvlJc w:val="left"/>
      <w:lvlText w:val="%1."/>
      <w:numFmt w:val="lowerLetter"/>
      <w:start w:val="2"/>
    </w:lvl>
  </w:abstractNum>
  <w:abstractNum w:abstractNumId="44">
    <w:nsid w:val="288F1A34"/>
    <w:multiLevelType w:val="hybridMultilevel"/>
    <w:lvl w:ilvl="0">
      <w:lvlJc w:val="left"/>
      <w:lvlText w:val="%1."/>
      <w:numFmt w:val="lowerLetter"/>
      <w:start w:val="3"/>
    </w:lvl>
  </w:abstractNum>
  <w:abstractNum w:abstractNumId="45">
    <w:nsid w:val="2A155DBC"/>
    <w:multiLevelType w:val="hybridMultilevel"/>
    <w:lvl w:ilvl="0">
      <w:lvlJc w:val="left"/>
      <w:lvlText w:val="%1."/>
      <w:numFmt w:val="lowerLetter"/>
      <w:start w:val="4"/>
    </w:lvl>
  </w:abstractNum>
  <w:abstractNum w:abstractNumId="46">
    <w:nsid w:val="1D9F6E5F"/>
    <w:multiLevelType w:val="hybridMultilevel"/>
    <w:lvl w:ilvl="0">
      <w:lvlJc w:val="left"/>
      <w:lvlText w:val="1"/>
      <w:numFmt w:val="bullet"/>
      <w:start w:val="1"/>
    </w:lvl>
  </w:abstractNum>
  <w:abstractNum w:abstractNumId="47">
    <w:nsid w:val="97E1B4E"/>
    <w:multiLevelType w:val="hybridMultilevel"/>
    <w:lvl w:ilvl="0">
      <w:lvlJc w:val="left"/>
      <w:lvlText w:val="1"/>
      <w:numFmt w:val="bullet"/>
      <w:start w:val="1"/>
    </w:lvl>
  </w:abstractNum>
  <w:abstractNum w:abstractNumId="48">
    <w:nsid w:val="51088277"/>
    <w:multiLevelType w:val="hybridMultilevel"/>
    <w:lvl w:ilvl="0">
      <w:lvlJc w:val="left"/>
      <w:lvlText w:val="2"/>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
      <w:numFmt w:val="bullet"/>
      <w:start w:val="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1"/>
      <w:numFmt w:val="bullet"/>
      <w:start w:val="1"/>
    </w:lvl>
  </w:abstractNum>
  <w:abstractNum w:abstractNumId="57">
    <w:nsid w:val="3C5991AA"/>
    <w:multiLevelType w:val="hybridMultilevel"/>
    <w:lvl w:ilvl="0">
      <w:lvlJc w:val="left"/>
      <w:lvlText w:val="2"/>
      <w:numFmt w:val="bullet"/>
      <w:start w:val="1"/>
    </w:lvl>
  </w:abstractNum>
  <w:abstractNum w:abstractNumId="58">
    <w:nsid w:val="4BD8591A"/>
    <w:multiLevelType w:val="hybridMultilevel"/>
    <w:lvl w:ilvl="0">
      <w:lvlJc w:val="left"/>
      <w:lvlText w:val="%1."/>
      <w:numFmt w:val="decimal"/>
      <w:start w:val="5"/>
    </w:lvl>
  </w:abstractNum>
  <w:abstractNum w:abstractNumId="59">
    <w:nsid w:val="78DF6A55"/>
    <w:multiLevelType w:val="hybridMultilevel"/>
    <w:lvl w:ilvl="0">
      <w:lvlJc w:val="left"/>
      <w:lvlText w:val="*"/>
      <w:numFmt w:val="bullet"/>
      <w:start w:val="1"/>
    </w:lvl>
  </w:abstractNum>
  <w:abstractNum w:abstractNumId="60">
    <w:nsid w:val="39B7AAA2"/>
    <w:multiLevelType w:val="hybridMultilevel"/>
    <w:lvl w:ilvl="0">
      <w:lvlJc w:val="left"/>
      <w:lvlText w:val="●"/>
      <w:numFmt w:val="bullet"/>
      <w:start w:val="1"/>
    </w:lvl>
  </w:abstractNum>
  <w:abstractNum w:abstractNumId="61">
    <w:nsid w:val="2B0D8DBE"/>
    <w:multiLevelType w:val="hybridMultilevel"/>
    <w:lvl w:ilvl="0">
      <w:lvlJc w:val="left"/>
      <w:lvlText w:val="●"/>
      <w:numFmt w:val="bullet"/>
      <w:start w:val="1"/>
    </w:lvl>
  </w:abstractNum>
  <w:abstractNum w:abstractNumId="62">
    <w:nsid w:val="6C80EC70"/>
    <w:multiLevelType w:val="hybridMultilevel"/>
    <w:lvl w:ilvl="0">
      <w:lvlJc w:val="left"/>
      <w:lvlText w:val="●"/>
      <w:numFmt w:val="bullet"/>
      <w:start w:val="1"/>
    </w:lvl>
  </w:abstractNum>
  <w:abstractNum w:abstractNumId="63">
    <w:nsid w:val="379E21B5"/>
    <w:multiLevelType w:val="hybridMultilevel"/>
    <w:lvl w:ilvl="0">
      <w:lvlJc w:val="left"/>
      <w:lvlText w:val="1"/>
      <w:numFmt w:val="bullet"/>
      <w:start w:val="1"/>
    </w:lvl>
  </w:abstractNum>
  <w:abstractNum w:abstractNumId="64">
    <w:nsid w:val="69E373"/>
    <w:multiLevelType w:val="hybridMultilevel"/>
    <w:lvl w:ilvl="0">
      <w:lvlJc w:val="left"/>
      <w:lvlText w:val="2"/>
      <w:numFmt w:val="bullet"/>
      <w:start w:val="1"/>
    </w:lvl>
  </w:abstractNum>
  <w:abstractNum w:abstractNumId="65">
    <w:nsid w:val="2C27173B"/>
    <w:multiLevelType w:val="hybridMultilevel"/>
    <w:lvl w:ilvl="0">
      <w:lvlJc w:val="left"/>
      <w:lvlText w:val="%1."/>
      <w:numFmt w:val="upperLetter"/>
      <w:start w:val="1"/>
    </w:lvl>
  </w:abstractNum>
  <w:abstractNum w:abstractNumId="66">
    <w:nsid w:val="4C9B0904"/>
    <w:multiLevelType w:val="hybridMultilevel"/>
    <w:lvl w:ilvl="0">
      <w:lvlJc w:val="left"/>
      <w:lvlText w:val="%1."/>
      <w:numFmt w:val="upperLetter"/>
      <w:start w:val="1"/>
    </w:lvl>
  </w:abstractNum>
  <w:abstractNum w:abstractNumId="67">
    <w:nsid w:val="6AA7B75C"/>
    <w:multiLevelType w:val="hybridMultilevel"/>
    <w:lvl w:ilvl="0">
      <w:lvlJc w:val="left"/>
      <w:lvlText w:val="%1."/>
      <w:numFmt w:val="upperLetter"/>
      <w:start w:val="2"/>
    </w:lvl>
  </w:abstractNum>
  <w:abstractNum w:abstractNumId="68">
    <w:nsid w:val="1DF029D3"/>
    <w:multiLevelType w:val="hybridMultilevel"/>
    <w:lvl w:ilvl="0">
      <w:lvlJc w:val="left"/>
      <w:lvlText w:val="%1."/>
      <w:numFmt w:val="upperLetter"/>
      <w:start w:val="2"/>
    </w:lvl>
  </w:abstractNum>
  <w:abstractNum w:abstractNumId="69">
    <w:nsid w:val="5675FF36"/>
    <w:multiLevelType w:val="hybridMultilevel"/>
    <w:lvl w:ilvl="0">
      <w:lvlJc w:val="left"/>
      <w:lvlText w:val="%1."/>
      <w:numFmt w:val="upperLetter"/>
      <w:start w:val="3"/>
    </w:lvl>
  </w:abstractNum>
  <w:abstractNum w:abstractNumId="70">
    <w:nsid w:val="3DD15094"/>
    <w:multiLevelType w:val="hybridMultilevel"/>
    <w:lvl w:ilvl="0">
      <w:lvlJc w:val="left"/>
      <w:lvlText w:val="%1."/>
      <w:numFmt w:val="upperLetter"/>
      <w:start w:val="3"/>
    </w:lvl>
  </w:abstractNum>
  <w:abstractNum w:abstractNumId="71">
    <w:nsid w:val="3DB012B3"/>
    <w:multiLevelType w:val="hybridMultilevel"/>
    <w:lvl w:ilvl="0">
      <w:lvlJc w:val="left"/>
      <w:lvlText w:val="%1."/>
      <w:numFmt w:val="upperLetter"/>
      <w:start w:val="4"/>
    </w:lvl>
  </w:abstractNum>
  <w:abstractNum w:abstractNumId="72">
    <w:nsid w:val="2708C9AF"/>
    <w:multiLevelType w:val="hybridMultilevel"/>
    <w:lvl w:ilvl="0">
      <w:lvlJc w:val="left"/>
      <w:lvlText w:val="1"/>
      <w:numFmt w:val="bullet"/>
      <w:start w:val="1"/>
    </w:lvl>
  </w:abstractNum>
  <w:abstractNum w:abstractNumId="73">
    <w:nsid w:val="5B25ACE2"/>
    <w:multiLevelType w:val="hybridMultilevel"/>
    <w:lvl w:ilvl="0">
      <w:lvlJc w:val="left"/>
      <w:lvlText w:val="2"/>
      <w:numFmt w:val="bullet"/>
      <w:start w:val="1"/>
    </w:lvl>
  </w:abstractNum>
  <w:abstractNum w:abstractNumId="74">
    <w:nsid w:val="175DFCF0"/>
    <w:multiLevelType w:val="hybridMultilevel"/>
    <w:lvl w:ilvl="0">
      <w:lvlJc w:val="left"/>
      <w:lvlText w:val="3"/>
      <w:numFmt w:val="bullet"/>
      <w:start w:val="1"/>
    </w:lvl>
  </w:abstractNum>
  <w:abstractNum w:abstractNumId="75">
    <w:nsid w:val="4F97E3E4"/>
    <w:multiLevelType w:val="hybridMultilevel"/>
    <w:lvl w:ilvl="0">
      <w:lvlJc w:val="left"/>
      <w:lvlText w:val="%1."/>
      <w:numFmt w:val="upperLetter"/>
      <w:start w:val="1"/>
    </w:lvl>
  </w:abstractNum>
  <w:abstractNum w:abstractNumId="76">
    <w:nsid w:val="53B0A9E"/>
    <w:multiLevelType w:val="hybridMultilevel"/>
    <w:lvl w:ilvl="0">
      <w:lvlJc w:val="left"/>
      <w:lvlText w:val="1"/>
      <w:numFmt w:val="bullet"/>
      <w:start w:val="1"/>
    </w:lvl>
  </w:abstractNum>
  <w:abstractNum w:abstractNumId="77">
    <w:nsid w:val="34FD6B4F"/>
    <w:multiLevelType w:val="hybridMultilevel"/>
    <w:lvl w:ilvl="0">
      <w:lvlJc w:val="left"/>
      <w:lvlText w:val="2"/>
      <w:numFmt w:val="bullet"/>
      <w:start w:val="1"/>
    </w:lvl>
  </w:abstractNum>
  <w:abstractNum w:abstractNumId="78">
    <w:nsid w:val="5915FF32"/>
    <w:multiLevelType w:val="hybridMultilevel"/>
    <w:lvl w:ilvl="0">
      <w:lvlJc w:val="left"/>
      <w:lvlText w:val="3"/>
      <w:numFmt w:val="bullet"/>
      <w:start w:val="1"/>
    </w:lvl>
  </w:abstractNum>
  <w:abstractNum w:abstractNumId="79">
    <w:nsid w:val="56438D15"/>
    <w:multiLevelType w:val="hybridMultilevel"/>
    <w:lvl w:ilvl="0">
      <w:lvlJc w:val="left"/>
      <w:lvlText w:val="4"/>
      <w:numFmt w:val="bullet"/>
      <w:start w:val="1"/>
    </w:lvl>
  </w:abstractNum>
  <w:abstractNum w:abstractNumId="80">
    <w:nsid w:val="519E3149"/>
    <w:multiLevelType w:val="hybridMultilevel"/>
    <w:lvl w:ilvl="0">
      <w:lvlJc w:val="left"/>
      <w:lvlText w:val="%1."/>
      <w:numFmt w:val="upperLetter"/>
      <w:start w:val="1"/>
    </w:lvl>
  </w:abstractNum>
  <w:abstractNum w:abstractNumId="81">
    <w:nsid w:val="2C6E4AFD"/>
    <w:multiLevelType w:val="hybridMultilevel"/>
    <w:lvl w:ilvl="0">
      <w:lvlJc w:val="left"/>
      <w:lvlText w:val="%1."/>
      <w:numFmt w:val="upperLetter"/>
      <w:start w:val="1"/>
    </w:lvl>
  </w:abstractNum>
  <w:abstractNum w:abstractNumId="82">
    <w:nsid w:val="17A1B582"/>
    <w:multiLevelType w:val="hybridMultilevel"/>
    <w:lvl w:ilvl="0">
      <w:lvlJc w:val="left"/>
      <w:lvlText w:val="1"/>
      <w:numFmt w:val="bullet"/>
      <w:start w:val="1"/>
    </w:lvl>
  </w:abstractNum>
  <w:abstractNum w:abstractNumId="83">
    <w:nsid w:val="4DF72E4E"/>
    <w:multiLevelType w:val="hybridMultilevel"/>
    <w:lvl w:ilvl="0">
      <w:lvlJc w:val="left"/>
      <w:lvlText w:val="2"/>
      <w:numFmt w:val="bullet"/>
      <w:start w:val="1"/>
    </w:lvl>
  </w:abstractNum>
  <w:abstractNum w:abstractNumId="84">
    <w:nsid w:val="5046B5A9"/>
    <w:multiLevelType w:val="hybridMultilevel"/>
    <w:lvl w:ilvl="0">
      <w:lvlJc w:val="left"/>
      <w:lvlText w:val="3"/>
      <w:numFmt w:val="bullet"/>
      <w:start w:val="1"/>
    </w:lvl>
  </w:abstractNum>
  <w:abstractNum w:abstractNumId="85">
    <w:nsid w:val="5D888A08"/>
    <w:multiLevelType w:val="hybridMultilevel"/>
    <w:lvl w:ilvl="0">
      <w:lvlJc w:val="left"/>
      <w:lvlText w:val="4"/>
      <w:numFmt w:val="bullet"/>
      <w:start w:val="1"/>
    </w:lvl>
  </w:abstractNum>
  <w:abstractNum w:abstractNumId="86">
    <w:nsid w:val="2A082C70"/>
    <w:multiLevelType w:val="hybridMultilevel"/>
    <w:lvl w:ilvl="0">
      <w:lvlJc w:val="left"/>
      <w:lvlText w:val="%1."/>
      <w:numFmt w:val="upperLetter"/>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abstractNum>
  <w:abstractNum w:abstractNumId="89">
    <w:nsid w:val="75E0858A"/>
    <w:multiLevelType w:val="hybridMultilevel"/>
    <w:lvl w:ilvl="0">
      <w:lvlJc w:val="left"/>
      <w:lvlText w:val="%1."/>
      <w:numFmt w:val="upperLetter"/>
      <w:start w:val="2"/>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
      <w:numFmt w:val="bullet"/>
      <w:start w:val="1"/>
    </w:lvl>
  </w:abstractNum>
  <w:abstractNum w:abstractNumId="92">
    <w:nsid w:val="20EE1348"/>
    <w:multiLevelType w:val="hybridMultilevel"/>
    <w:lvl w:ilvl="0">
      <w:lvlJc w:val="left"/>
      <w:lvlText w:val="%1."/>
      <w:numFmt w:val="upperLetter"/>
      <w:start w:val="3"/>
    </w:lvl>
  </w:abstractNum>
  <w:abstractNum w:abstractNumId="93">
    <w:nsid w:val="4427069A"/>
    <w:multiLevelType w:val="hybridMultilevel"/>
    <w:lvl w:ilvl="0">
      <w:lvlJc w:val="left"/>
      <w:lvlText w:val="%1."/>
      <w:numFmt w:val="upperLetter"/>
      <w:start w:val="3"/>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
      <w:numFmt w:val="bullet"/>
      <w:start w:val="1"/>
    </w:lvl>
  </w:abstractNum>
  <w:abstractNum w:abstractNumId="98">
    <w:nsid w:val="BFFAE18"/>
    <w:multiLevelType w:val="hybridMultilevel"/>
    <w:lvl w:ilvl="0">
      <w:lvlJc w:val="left"/>
      <w:lvlText w:val="●"/>
      <w:numFmt w:val="bullet"/>
      <w:start w:val="1"/>
    </w:lvl>
  </w:abstractNum>
  <w:abstractNum w:abstractNumId="99">
    <w:nsid w:val="E3E47A8"/>
    <w:multiLevelType w:val="hybridMultilevel"/>
    <w:lvl w:ilvl="0">
      <w:lvlJc w:val="left"/>
      <w:lvlText w:val="1"/>
      <w:numFmt w:val="bullet"/>
      <w:start w:val="1"/>
    </w:lvl>
  </w:abstractNum>
  <w:abstractNum w:abstractNumId="100">
    <w:nsid w:val="2E48F044"/>
    <w:multiLevelType w:val="hybridMultilevel"/>
    <w:lvl w:ilvl="0">
      <w:lvlJc w:val="left"/>
      <w:lvlText w:val="%1."/>
      <w:numFmt w:val="upperLetter"/>
      <w:start w:val="4"/>
    </w:lvl>
  </w:abstractNum>
  <w:abstractNum w:abstractNumId="101">
    <w:nsid w:val="49D0FEAC"/>
    <w:multiLevelType w:val="hybridMultilevel"/>
    <w:lvl w:ilvl="0">
      <w:lvlJc w:val="left"/>
      <w:lvlText w:val="●"/>
      <w:numFmt w:val="bullet"/>
      <w:start w:val="1"/>
    </w:lvl>
  </w:abstractNum>
  <w:abstractNum w:abstractNumId="102">
    <w:nsid w:val="4BEE5A5B"/>
    <w:multiLevelType w:val="hybridMultilevel"/>
    <w:lvl w:ilvl="0">
      <w:lvlJc w:val="left"/>
      <w:lvlText w:val="●"/>
      <w:numFmt w:val="bullet"/>
      <w:start w:val="1"/>
    </w:lvl>
  </w:abstractNum>
  <w:abstractNum w:abstractNumId="103">
    <w:nsid w:val="5551B9F3"/>
    <w:multiLevelType w:val="hybridMultilevel"/>
    <w:lvl w:ilvl="0">
      <w:lvlJc w:val="left"/>
      <w:lvlText w:val="%1."/>
      <w:numFmt w:val="upperLetter"/>
      <w:start w:val="4"/>
    </w:lvl>
  </w:abstractNum>
  <w:abstractNum w:abstractNumId="104">
    <w:nsid w:val="24F6AB8E"/>
    <w:multiLevelType w:val="hybridMultilevel"/>
    <w:lvl w:ilvl="0">
      <w:lvlJc w:val="left"/>
      <w:lvlText w:val="●"/>
      <w:numFmt w:val="bullet"/>
      <w:start w:val="1"/>
    </w:lvl>
    <w:lvl w:ilvl="1">
      <w:lvlJc w:val="left"/>
      <w:lvlText w:val="◦"/>
      <w:numFmt w:val="bullet"/>
      <w:start w:val="1"/>
    </w:lvl>
  </w:abstractNum>
  <w:abstractNum w:abstractNumId="105">
    <w:nsid w:val="634C574C"/>
    <w:multiLevelType w:val="hybridMultilevel"/>
    <w:lvl w:ilvl="0">
      <w:lvlJc w:val="left"/>
      <w:lvlText w:val="1"/>
      <w:numFmt w:val="bullet"/>
      <w:start w:val="1"/>
    </w:lvl>
  </w:abstractNum>
  <w:abstractNum w:abstractNumId="106">
    <w:nsid w:val="24E99DD7"/>
    <w:multiLevelType w:val="hybridMultilevel"/>
    <w:lvl w:ilvl="0">
      <w:lvlJc w:val="left"/>
      <w:lvlText w:val="2"/>
      <w:numFmt w:val="bullet"/>
      <w:start w:val="1"/>
    </w:lvl>
  </w:abstractNum>
  <w:abstractNum w:abstractNumId="107">
    <w:nsid w:val="2A31B62D"/>
    <w:multiLevelType w:val="hybridMultilevel"/>
    <w:lvl w:ilvl="0">
      <w:lvlJc w:val="left"/>
      <w:lvlText w:val="-"/>
      <w:numFmt w:val="bullet"/>
      <w:start w:val="1"/>
    </w:lvl>
  </w:abstractNum>
  <w:abstractNum w:abstractNumId="108">
    <w:nsid w:val="1849C29B"/>
    <w:multiLevelType w:val="hybridMultilevel"/>
    <w:lvl w:ilvl="0">
      <w:lvlJc w:val="left"/>
      <w:lvlText w:val="%1."/>
      <w:numFmt w:val="decimal"/>
      <w:start w:val="9"/>
    </w:lvl>
  </w:abstractNum>
  <w:abstractNum w:abstractNumId="109">
    <w:nsid w:val="7DFF9D09"/>
    <w:multiLevelType w:val="hybridMultilevel"/>
    <w:lvl w:ilvl="0">
      <w:lvlJc w:val="left"/>
      <w:lvlText w:val="%1."/>
      <w:numFmt w:val="upperLetter"/>
      <w:start w:val="1"/>
    </w:lvl>
  </w:abstractNum>
  <w:abstractNum w:abstractNumId="110">
    <w:nsid w:val="754342"/>
    <w:multiLevelType w:val="hybridMultilevel"/>
    <w:lvl w:ilvl="0">
      <w:lvlJc w:val="left"/>
      <w:lvlText w:val="1"/>
      <w:numFmt w:val="bullet"/>
      <w:start w:val="1"/>
    </w:lvl>
  </w:abstractNum>
  <w:abstractNum w:abstractNumId="111">
    <w:nsid w:val="69E7F3E5"/>
    <w:multiLevelType w:val="hybridMultilevel"/>
    <w:lvl w:ilvl="0">
      <w:lvlJc w:val="left"/>
      <w:lvlText w:val="2"/>
      <w:numFmt w:val="bullet"/>
      <w:start w:val="1"/>
    </w:lvl>
  </w:abstractNum>
  <w:abstractNum w:abstractNumId="112">
    <w:nsid w:val="2A6DE806"/>
    <w:multiLevelType w:val="hybridMultilevel"/>
    <w:lvl w:ilvl="0">
      <w:lvlJc w:val="left"/>
      <w:lvlText w:val="%1."/>
      <w:numFmt w:val="upperLetter"/>
      <w:start w:val="2"/>
    </w:lvl>
  </w:abstractNum>
  <w:abstractNum w:abstractNumId="113">
    <w:nsid w:val="1816F8C4"/>
    <w:multiLevelType w:val="hybridMultilevel"/>
    <w:lvl w:ilvl="0">
      <w:lvlJc w:val="left"/>
      <w:lvlText w:val="(%1)"/>
      <w:numFmt w:val="decimal"/>
      <w:start w:val="2"/>
    </w:lvl>
  </w:abstractNum>
  <w:abstractNum w:abstractNumId="114">
    <w:nsid w:val="37DF2233"/>
    <w:multiLevelType w:val="hybridMultilevel"/>
    <w:lvl w:ilvl="0">
      <w:lvlJc w:val="left"/>
      <w:lvlText w:val="%1."/>
      <w:numFmt w:val="upperLetter"/>
      <w:start w:val="3"/>
    </w:lvl>
  </w:abstractNum>
  <w:abstractNum w:abstractNumId="115">
    <w:nsid w:val="7AB49DAF"/>
    <w:multiLevelType w:val="hybridMultilevel"/>
    <w:lvl w:ilvl="0">
      <w:lvlJc w:val="left"/>
      <w:lvlText w:val="%1."/>
      <w:numFmt w:val="upperLetter"/>
      <w:start w:val="4"/>
    </w:lvl>
  </w:abstractNum>
  <w:abstractNum w:abstractNumId="116">
    <w:nsid w:val="759F82CD"/>
    <w:multiLevelType w:val="hybridMultilevel"/>
    <w:lvl w:ilvl="0">
      <w:lvlJc w:val="left"/>
      <w:lvlText w:val="●"/>
      <w:numFmt w:val="bullet"/>
      <w:start w:val="1"/>
    </w:lvl>
  </w:abstractNum>
  <w:abstractNum w:abstractNumId="117">
    <w:nsid w:val="61E74EA3"/>
    <w:multiLevelType w:val="hybridMultilevel"/>
    <w:lvl w:ilvl="0">
      <w:lvlJc w:val="left"/>
      <w:lvlText w:val="●"/>
      <w:numFmt w:val="bullet"/>
      <w:start w:val="1"/>
    </w:lvl>
  </w:abstractNum>
  <w:abstractNum w:abstractNumId="118">
    <w:nsid w:val="597B4D84"/>
    <w:multiLevelType w:val="hybridMultilevel"/>
    <w:lvl w:ilvl="0">
      <w:lvlJc w:val="left"/>
      <w:lvlText w:val="●"/>
      <w:numFmt w:val="bullet"/>
      <w:start w:val="1"/>
    </w:lvl>
  </w:abstractNum>
  <w:abstractNum w:abstractNumId="119">
    <w:nsid w:val="F819E7F"/>
    <w:multiLevelType w:val="hybridMultilevel"/>
    <w:lvl w:ilvl="0">
      <w:lvlJc w:val="left"/>
      <w:lvlText w:val="●"/>
      <w:numFmt w:val="bullet"/>
      <w:start w:val="1"/>
    </w:lvl>
  </w:abstractNum>
  <w:abstractNum w:abstractNumId="120">
    <w:nsid w:val="57C7D42D"/>
    <w:multiLevelType w:val="hybridMultilevel"/>
    <w:lvl w:ilvl="0">
      <w:lvlJc w:val="left"/>
      <w:lvlText w:val="%1."/>
      <w:numFmt w:val="upperLetter"/>
      <w:start w:val="1"/>
    </w:lvl>
  </w:abstractNum>
  <w:abstractNum w:abstractNumId="121">
    <w:nsid w:val="312167AD"/>
    <w:multiLevelType w:val="hybridMultilevel"/>
    <w:lvl w:ilvl="0">
      <w:lvlJc w:val="left"/>
      <w:lvlText w:val="●"/>
      <w:numFmt w:val="bullet"/>
      <w:start w:val="1"/>
    </w:lvl>
    <w:lvl w:ilvl="1">
      <w:lvlJc w:val="left"/>
      <w:lvlText w:val="◦"/>
      <w:numFmt w:val="bullet"/>
      <w:start w:val="1"/>
    </w:lvl>
  </w:abstractNum>
  <w:abstractNum w:abstractNumId="122">
    <w:nsid w:val="631B64D4"/>
    <w:multiLevelType w:val="hybridMultilevel"/>
    <w:lvl w:ilvl="0">
      <w:lvlJc w:val="left"/>
      <w:lvlText w:val="●"/>
      <w:numFmt w:val="bullet"/>
      <w:start w:val="1"/>
    </w:lvl>
    <w:lvl w:ilvl="1">
      <w:lvlJc w:val="left"/>
      <w:lvlText w:val="◦"/>
      <w:numFmt w:val="bullet"/>
      <w:start w:val="1"/>
    </w:lvl>
  </w:abstractNum>
  <w:abstractNum w:abstractNumId="123">
    <w:nsid w:val="78B5E776"/>
    <w:multiLevelType w:val="hybridMultilevel"/>
    <w:lvl w:ilvl="0">
      <w:lvlJc w:val="left"/>
      <w:lvlText w:val="%1."/>
      <w:numFmt w:val="upperLetter"/>
      <w:start w:val="1"/>
    </w:lvl>
  </w:abstractNum>
  <w:abstractNum w:abstractNumId="124">
    <w:nsid w:val="75486E47"/>
    <w:multiLevelType w:val="hybridMultilevel"/>
    <w:lvl w:ilvl="0">
      <w:lvlJc w:val="left"/>
      <w:lvlText w:val="%1."/>
      <w:numFmt w:val="upperLetter"/>
      <w:start w:val="2"/>
    </w:lvl>
  </w:abstractNum>
  <w:abstractNum w:abstractNumId="125">
    <w:nsid w:val="6E534CDE"/>
    <w:multiLevelType w:val="hybridMultilevel"/>
    <w:lvl w:ilvl="0">
      <w:lvlJc w:val="left"/>
      <w:lvlText w:val="%1."/>
      <w:numFmt w:val="upperLetter"/>
      <w:start w:val="2"/>
    </w:lvl>
  </w:abstractNum>
  <w:abstractNum w:abstractNumId="126">
    <w:nsid w:val="1A0DDE32"/>
    <w:multiLevelType w:val="hybridMultilevel"/>
    <w:lvl w:ilvl="0">
      <w:lvlJc w:val="left"/>
      <w:lvlText w:val="%1."/>
      <w:numFmt w:val="upperLetter"/>
      <w:start w:val="2"/>
    </w:lvl>
  </w:abstractNum>
  <w:abstractNum w:abstractNumId="127">
    <w:nsid w:val="65968C1C"/>
    <w:multiLevelType w:val="hybridMultilevel"/>
    <w:lvl w:ilvl="0">
      <w:lvlJc w:val="left"/>
      <w:lvlText w:val="%1."/>
      <w:numFmt w:val="upperLetter"/>
      <w:start w:val="2"/>
    </w:lvl>
  </w:abstractNum>
  <w:abstractNum w:abstractNumId="128">
    <w:nsid w:val="46263DEC"/>
    <w:multiLevelType w:val="hybridMultilevel"/>
    <w:lvl w:ilvl="0">
      <w:lvlJc w:val="left"/>
      <w:lvlText w:val="%1."/>
      <w:numFmt w:val="upperLetter"/>
      <w:start w:val="3"/>
    </w:lvl>
  </w:abstractNum>
  <w:abstractNum w:abstractNumId="129">
    <w:nsid w:val="260D8C4A"/>
    <w:multiLevelType w:val="hybridMultilevel"/>
    <w:lvl w:ilvl="0">
      <w:lvlJc w:val="left"/>
      <w:lvlText w:val="%1."/>
      <w:numFmt w:val="upperLetter"/>
      <w:start w:val="5"/>
    </w:lvl>
  </w:abstractNum>
  <w:abstractNum w:abstractNumId="130">
    <w:nsid w:val="73D4D3C4"/>
    <w:multiLevelType w:val="hybridMultilevel"/>
    <w:lvl w:ilvl="0">
      <w:lvlJc w:val="left"/>
      <w:lvlText w:val="%1."/>
      <w:numFmt w:val="upperLetter"/>
      <w:start w:val="1"/>
    </w:lvl>
  </w:abstractNum>
  <w:abstractNum w:abstractNumId="131">
    <w:nsid w:val="746F2E30"/>
    <w:multiLevelType w:val="hybridMultilevel"/>
    <w:lvl w:ilvl="0">
      <w:lvlJc w:val="left"/>
      <w:lvlText w:val="●"/>
      <w:numFmt w:val="bullet"/>
      <w:start w:val="1"/>
    </w:lvl>
  </w:abstractNum>
  <w:abstractNum w:abstractNumId="132">
    <w:nsid w:val="6FDE8AF6"/>
    <w:multiLevelType w:val="hybridMultilevel"/>
    <w:lvl w:ilvl="0">
      <w:lvlJc w:val="left"/>
      <w:lvlText w:val="1"/>
      <w:numFmt w:val="bullet"/>
      <w:start w:val="1"/>
    </w:lvl>
  </w:abstractNum>
  <w:abstractNum w:abstractNumId="133">
    <w:nsid w:val="3FC32E20"/>
    <w:multiLevelType w:val="hybridMultilevel"/>
    <w:lvl w:ilvl="0">
      <w:lvlJc w:val="left"/>
      <w:lvlText w:val="●"/>
      <w:numFmt w:val="bullet"/>
      <w:start w:val="1"/>
    </w:lvl>
  </w:abstractNum>
  <w:abstractNum w:abstractNumId="134">
    <w:nsid w:val="49C0E823"/>
    <w:multiLevelType w:val="hybridMultilevel"/>
    <w:lvl w:ilvl="0">
      <w:lvlJc w:val="left"/>
      <w:lvlText w:val="%1."/>
      <w:numFmt w:val="upperLetter"/>
      <w:start w:val="3"/>
    </w:lvl>
  </w:abstractNum>
  <w:abstractNum w:abstractNumId="135">
    <w:nsid w:val="14D53685"/>
    <w:multiLevelType w:val="hybridMultilevel"/>
    <w:lvl w:ilvl="0">
      <w:lvlJc w:val="left"/>
      <w:lvlText w:val="1"/>
      <w:numFmt w:val="bullet"/>
      <w:start w:val="1"/>
    </w:lvl>
  </w:abstractNum>
  <w:abstractNum w:abstractNumId="136">
    <w:nsid w:val="230F856C"/>
    <w:multiLevelType w:val="hybridMultilevel"/>
    <w:lvl w:ilvl="0">
      <w:lvlJc w:val="left"/>
      <w:lvlText w:val="2"/>
      <w:numFmt w:val="bullet"/>
      <w:start w:val="1"/>
    </w:lvl>
  </w:abstractNum>
  <w:abstractNum w:abstractNumId="137">
    <w:nsid w:val="6EAA85FB"/>
    <w:multiLevelType w:val="hybridMultilevel"/>
    <w:lvl w:ilvl="0">
      <w:lvlJc w:val="left"/>
      <w:lvlText w:val="%1."/>
      <w:numFmt w:val="upperLetter"/>
      <w:start w:val="1"/>
    </w:lvl>
  </w:abstractNum>
  <w:abstractNum w:abstractNumId="138">
    <w:nsid w:val="3F06ECB2"/>
    <w:multiLevelType w:val="hybridMultilevel"/>
    <w:lvl w:ilvl="0">
      <w:lvlJc w:val="left"/>
      <w:lvlText w:val="%1)"/>
      <w:numFmt w:val="lowerRoman"/>
      <w:start w:val="1"/>
    </w:lvl>
  </w:abstractNum>
  <w:abstractNum w:abstractNumId="139">
    <w:nsid w:val="3B594807"/>
    <w:multiLevelType w:val="hybridMultilevel"/>
    <w:lvl w:ilvl="0">
      <w:lvlJc w:val="left"/>
      <w:lvlText w:val="%1."/>
      <w:numFmt w:val="upperLetter"/>
      <w:start w:val="2"/>
    </w:lvl>
  </w:abstractNum>
  <w:abstractNum w:abstractNumId="140">
    <w:nsid w:val="6CAA2304"/>
    <w:multiLevelType w:val="hybridMultilevel"/>
    <w:lvl w:ilvl="0">
      <w:lvlJc w:val="left"/>
      <w:lvlText w:val="%1."/>
      <w:numFmt w:val="upperLetter"/>
      <w:start w:val="2"/>
    </w:lvl>
  </w:abstractNum>
  <w:abstractNum w:abstractNumId="141">
    <w:nsid w:val="3F7C2FF4"/>
    <w:multiLevelType w:val="hybridMultilevel"/>
    <w:lvl w:ilvl="0">
      <w:lvlJc w:val="left"/>
      <w:lvlText w:val="%1."/>
      <w:numFmt w:val="upperLetter"/>
      <w:start w:val="3"/>
    </w:lvl>
  </w:abstractNum>
  <w:abstractNum w:abstractNumId="142">
    <w:nsid w:val="25413BEC"/>
    <w:multiLevelType w:val="hybridMultilevel"/>
    <w:lvl w:ilvl="0">
      <w:lvlJc w:val="left"/>
      <w:lvlText w:val="%1."/>
      <w:numFmt w:val="upperLetter"/>
      <w:start w:val="4"/>
    </w:lvl>
  </w:abstractNum>
  <w:abstractNum w:abstractNumId="143">
    <w:nsid w:val="17180B0B"/>
    <w:multiLevelType w:val="hybridMultilevel"/>
    <w:lvl w:ilvl="0">
      <w:lvlJc w:val="left"/>
      <w:lvlText w:val="%1."/>
      <w:numFmt w:val="upperLetter"/>
      <w:start w:val="1"/>
    </w:lvl>
  </w:abstractNum>
  <w:abstractNum w:abstractNumId="144">
    <w:nsid w:val="579328B9"/>
    <w:multiLevelType w:val="hybridMultilevel"/>
    <w:lvl w:ilvl="0">
      <w:lvlJc w:val="left"/>
      <w:lvlText w:val="-"/>
      <w:numFmt w:val="bullet"/>
      <w:start w:val="1"/>
    </w:lvl>
  </w:abstractNum>
  <w:abstractNum w:abstractNumId="145">
    <w:nsid w:val="5D205E20"/>
    <w:multiLevelType w:val="hybridMultilevel"/>
    <w:lvl w:ilvl="0">
      <w:lvlJc w:val="left"/>
      <w:lvlText w:val="●"/>
      <w:numFmt w:val="bullet"/>
      <w:start w:val="1"/>
    </w:lvl>
  </w:abstractNum>
  <w:abstractNum w:abstractNumId="146">
    <w:nsid w:val="11CCA8BA"/>
    <w:multiLevelType w:val="hybridMultilevel"/>
    <w:lvl w:ilvl="0">
      <w:lvlJc w:val="left"/>
      <w:lvlText w:val="%1."/>
      <w:numFmt w:val="decimal"/>
      <w:start w:val="22"/>
    </w:lvl>
    <w:lvl w:ilvl="1">
      <w:lvlJc w:val="left"/>
      <w:lvlText w:val="●"/>
      <w:numFmt w:val="bullet"/>
      <w:start w:val="1"/>
    </w:lvl>
  </w:abstractNum>
  <w:abstractNum w:abstractNumId="147">
    <w:nsid w:val="4D32AB86"/>
    <w:multiLevelType w:val="hybridMultilevel"/>
    <w:lvl w:ilvl="0">
      <w:lvlJc w:val="left"/>
      <w:lvlText w:val="-"/>
      <w:numFmt w:val="bullet"/>
      <w:start w:val="1"/>
    </w:lvl>
  </w:abstractNum>
  <w:abstractNum w:abstractNumId="148">
    <w:nsid w:val="3F07ACC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9">
    <w:nsid w:val="6B47F63E"/>
    <w:multiLevelType w:val="hybridMultilevel"/>
    <w:lvl w:ilvl="0">
      <w:lvlJc w:val="left"/>
      <w:lvlText w:val="%1"/>
      <w:numFmt w:val="decimal"/>
      <w:start w:val="1"/>
    </w:lvl>
    <w:lvl w:ilvl="1">
      <w:lvlJc w:val="left"/>
      <w:lvlText w:val="(%2)"/>
      <w:numFmt w:val="lowerLetter"/>
      <w:start w:val="1"/>
    </w:lvl>
  </w:abstractNum>
  <w:abstractNum w:abstractNumId="150">
    <w:nsid w:val="5CB44A05"/>
    <w:multiLevelType w:val="hybridMultilevel"/>
    <w:lvl w:ilvl="0">
      <w:lvlJc w:val="left"/>
      <w:lvlText w:val="%1."/>
      <w:numFmt w:val="decimal"/>
      <w:start w:val="6"/>
    </w:lvl>
    <w:lvl w:ilvl="1">
      <w:lvlJc w:val="left"/>
      <w:lvlText w:val="%2"/>
      <w:numFmt w:val="lowerLetter"/>
      <w:start w:val="1"/>
    </w:lvl>
  </w:abstractNum>
  <w:abstractNum w:abstractNumId="151">
    <w:nsid w:val="16CF80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2">
    <w:nsid w:val="1C695DEC"/>
    <w:multiLevelType w:val="hybridMultilevel"/>
    <w:lvl w:ilvl="0">
      <w:lvlJc w:val="left"/>
      <w:lvlText w:val="%1"/>
      <w:numFmt w:val="decimal"/>
      <w:start w:val="1"/>
    </w:lvl>
    <w:lvl w:ilvl="1">
      <w:lvlJc w:val="left"/>
      <w:lvlText w:val="(%2)"/>
      <w:numFmt w:val="lowerLetter"/>
      <w:start w:val="1"/>
    </w:lvl>
  </w:abstractNum>
  <w:abstractNum w:abstractNumId="153">
    <w:nsid w:val="3FCFAED9"/>
    <w:multiLevelType w:val="hybridMultilevel"/>
    <w:lvl w:ilvl="0">
      <w:lvlJc w:val="left"/>
      <w:lvlText w:val="%1."/>
      <w:numFmt w:val="decimal"/>
      <w:start w:val="6"/>
    </w:lvl>
    <w:lvl w:ilvl="1">
      <w:lvlJc w:val="left"/>
      <w:lvlText w:val="%2"/>
      <w:numFmt w:val="lowerLetter"/>
      <w:start w:val="1"/>
    </w:lvl>
  </w:abstractNum>
  <w:abstractNum w:abstractNumId="154">
    <w:nsid w:val="F856867"/>
    <w:multiLevelType w:val="hybridMultilevel"/>
    <w:lvl w:ilvl="0">
      <w:lvlJc w:val="left"/>
      <w:lvlText w:val="●"/>
      <w:numFmt w:val="bullet"/>
      <w:start w:val="1"/>
    </w:lvl>
    <w:lvl w:ilvl="1">
      <w:lvlJc w:val="left"/>
      <w:lvlText w:val="●"/>
      <w:numFmt w:val="bullet"/>
      <w:start w:val="1"/>
    </w:lvl>
  </w:abstractNum>
  <w:abstractNum w:abstractNumId="155">
    <w:nsid w:val="11B1CC33"/>
    <w:multiLevelType w:val="hybridMultilevel"/>
    <w:lvl w:ilvl="0">
      <w:lvlJc w:val="left"/>
      <w:lvlText w:val="●"/>
      <w:numFmt w:val="bullet"/>
      <w:start w:val="1"/>
    </w:lvl>
  </w:abstractNum>
  <w:abstractNum w:abstractNumId="156">
    <w:nsid w:val="2E22FBB7"/>
    <w:multiLevelType w:val="hybridMultilevel"/>
    <w:lvl w:ilvl="0">
      <w:lvlJc w:val="left"/>
      <w:lvlText w:val="●"/>
      <w:numFmt w:val="bullet"/>
      <w:start w:val="1"/>
    </w:lvl>
  </w:abstractNum>
  <w:abstractNum w:abstractNumId="157">
    <w:nsid w:val="29934699"/>
    <w:multiLevelType w:val="hybridMultilevel"/>
    <w:lvl w:ilvl="0">
      <w:lvlJc w:val="left"/>
      <w:lvlText w:val="*"/>
      <w:numFmt w:val="bullet"/>
      <w:start w:val="1"/>
    </w:lvl>
  </w:abstractNum>
  <w:abstractNum w:abstractNumId="158">
    <w:nsid w:val="77485850"/>
    <w:multiLevelType w:val="hybridMultilevel"/>
    <w:lvl w:ilvl="0">
      <w:lvlJc w:val="left"/>
      <w:lvlText w:val="**"/>
      <w:numFmt w:val="bullet"/>
      <w:start w:val="1"/>
    </w:lvl>
  </w:abstractNum>
  <w:abstractNum w:abstractNumId="159">
    <w:nsid w:val="744939A3"/>
    <w:multiLevelType w:val="hybridMultilevel"/>
    <w:lvl w:ilvl="0">
      <w:lvlJc w:val="left"/>
      <w:lvlText w:val="***"/>
      <w:numFmt w:val="bullet"/>
      <w:start w:val="1"/>
    </w:lvl>
  </w:abstractNum>
  <w:abstractNum w:abstractNumId="160">
    <w:nsid w:val="4FA0D2E3"/>
    <w:multiLevelType w:val="hybridMultilevel"/>
    <w:lvl w:ilvl="0">
      <w:lvlJc w:val="left"/>
      <w:lvlText w:val="****"/>
      <w:numFmt w:val="bullet"/>
      <w:start w:val="1"/>
    </w:lvl>
  </w:abstractNum>
  <w:abstractNum w:abstractNumId="161">
    <w:nsid w:val="6B1D2C14"/>
    <w:multiLevelType w:val="hybridMultilevel"/>
    <w:lvl w:ilvl="0">
      <w:lvlJc w:val="left"/>
      <w:lvlText w:val="●"/>
      <w:numFmt w:val="bullet"/>
      <w:start w:val="1"/>
    </w:lvl>
  </w:abstractNum>
  <w:abstractNum w:abstractNumId="162">
    <w:nsid w:val="68B867D3"/>
    <w:multiLevelType w:val="hybridMultilevel"/>
    <w:lvl w:ilvl="0">
      <w:lvlJc w:val="left"/>
      <w:lvlText w:val="●"/>
      <w:numFmt w:val="bullet"/>
      <w:start w:val="1"/>
    </w:lvl>
  </w:abstractNum>
  <w:abstractNum w:abstractNumId="163">
    <w:nsid w:val="3F7F5DD9"/>
    <w:multiLevelType w:val="hybridMultilevel"/>
    <w:lvl w:ilvl="0">
      <w:lvlJc w:val="left"/>
      <w:lvlText w:val="1"/>
      <w:numFmt w:val="bullet"/>
      <w:start w:val="1"/>
    </w:lvl>
  </w:abstractNum>
  <w:abstractNum w:abstractNumId="164">
    <w:nsid w:val="2AE05A34"/>
    <w:multiLevelType w:val="hybridMultilevel"/>
    <w:lvl w:ilvl="0">
      <w:lvlJc w:val="left"/>
      <w:lvlText w:val="2"/>
      <w:numFmt w:val="bullet"/>
      <w:start w:val="1"/>
    </w:lvl>
  </w:abstractNum>
  <w:abstractNum w:abstractNumId="165">
    <w:nsid w:val="32794FF7"/>
    <w:multiLevelType w:val="hybridMultilevel"/>
    <w:lvl w:ilvl="0">
      <w:lvlJc w:val="left"/>
      <w:lvlText w:val="3"/>
      <w:numFmt w:val="bullet"/>
      <w:start w:val="1"/>
    </w:lvl>
  </w:abstractNum>
  <w:abstractNum w:abstractNumId="166">
    <w:nsid w:val="5454945E"/>
    <w:multiLevelType w:val="hybridMultilevel"/>
    <w:lvl w:ilvl="0">
      <w:lvlJc w:val="left"/>
      <w:lvlText w:val="1"/>
      <w:numFmt w:val="bullet"/>
      <w:start w:val="1"/>
    </w:lvl>
  </w:abstractNum>
  <w:abstractNum w:abstractNumId="167">
    <w:nsid w:val="4DEFDFA0"/>
    <w:multiLevelType w:val="hybridMultilevel"/>
    <w:lvl w:ilvl="0">
      <w:lvlJc w:val="left"/>
      <w:lvlText w:val="2"/>
      <w:numFmt w:val="bullet"/>
      <w:start w:val="1"/>
    </w:lvl>
  </w:abstractNum>
  <w:abstractNum w:abstractNumId="168">
    <w:nsid w:val="2123D5F2"/>
    <w:multiLevelType w:val="hybridMultilevel"/>
    <w:lvl w:ilvl="0">
      <w:lvlJc w:val="left"/>
      <w:lvlText w:val="(%1)"/>
      <w:numFmt w:val="decimal"/>
      <w:start w:val="1"/>
    </w:lvl>
  </w:abstractNum>
  <w:abstractNum w:abstractNumId="169">
    <w:nsid w:val="135B8110"/>
    <w:multiLevelType w:val="hybridMultilevel"/>
    <w:lvl w:ilvl="0">
      <w:lvlJc w:val="left"/>
      <w:lvlText w:val="(%1)"/>
      <w:numFmt w:val="decimal"/>
      <w:start w:val="2"/>
    </w:lvl>
  </w:abstractNum>
  <w:abstractNum w:abstractNumId="170">
    <w:nsid w:val="94927A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jpe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jpe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jpe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2024-08-08T06:33:42Z</dcterms:created>
  <dcterms:modified xsi:type="dcterms:W3CDTF">2024-08-08T06:33:42Z</dcterms:modified>
</cp:coreProperties>
</file>